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Liran Ira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5TH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Vita Coco Company, Inc.</w:t>
              </w:r>
            </w:hyperlink>
            <w:r>
              <w:rPr/>
              <w:t xml:space="preserve"> [ </w:t>
            </w:r>
            <w:r>
              <w:rPr>
                <w:rFonts w:ascii="Times;serif" w:hAnsi="Times;serif"/>
                <w:color w:val="0000FF"/>
                <w:sz w:val="24"/>
                <w:shd w:fill="FFFFFF" w:val="clear"/>
              </w:rPr>
              <w:t>COCO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95,768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79.14</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384,103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96,158</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79.14</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476,421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Ira Liran 2012 FT</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of shares of common stock reported were effected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$76.19 to $80.37,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Ira Liran 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$76.35 to $80.37,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by the Ira Liran 2012 Family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Alison Klein, Attorney-in-Fact for Ira Liran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6269" TargetMode="External"/><Relationship Id="rId5" Type="http://schemas.openxmlformats.org/officeDocument/2006/relationships/hyperlink" Target="http://www.sec.gov/cgi-bin/browse-edgar?action=getcompany&amp;CIK=00014829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761</Words>
  <Characters>4041</Characters>
  <CharactersWithSpaces>4734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