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Burth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5TH AVENUE</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Vita Coco Company,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COCO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10003</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8"/>
              </w:rPr>
              <w:t>23,575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10.178</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81,485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34"/>
              <w:spacing w:after="0"/>
              <w:rPr>
                <w:sz w:val="20"/>
                <w:szCs w:val="20"/>
                <w:color w:val="auto"/>
              </w:rPr>
            </w:pPr>
            <w:r>
              <w:rPr>
                <w:rFonts w:ascii="Times New Roman" w:cs="Times New Roman" w:eastAsia="Times New Roman" w:hAnsi="Times New Roman"/>
                <w:sz w:val="17"/>
                <w:szCs w:val="17"/>
                <w:color w:val="0000FF"/>
                <w:w w:val="99"/>
              </w:rPr>
              <w:t>6,425</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10.178</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87,910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7"/>
                <w:szCs w:val="17"/>
                <w:color w:val="0000FF"/>
                <w:w w:val="98"/>
              </w:rPr>
              <w:t>30,000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57,910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10.178</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23,575</w:t>
            </w: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02/10/2030</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line="194" w:lineRule="exact"/>
              <w:rPr>
                <w:sz w:val="20"/>
                <w:szCs w:val="20"/>
                <w:color w:val="auto"/>
              </w:rPr>
            </w:pPr>
            <w:r>
              <w:rPr>
                <w:rFonts w:ascii="Times New Roman" w:cs="Times New Roman" w:eastAsia="Times New Roman" w:hAnsi="Times New Roman"/>
                <w:sz w:val="17"/>
                <w:szCs w:val="17"/>
                <w:color w:val="0000FF"/>
                <w:w w:val="98"/>
              </w:rPr>
              <w:t>23,575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59"/>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10.178</w:t>
            </w:r>
          </w:p>
        </w:tc>
        <w:tc>
          <w:tcPr>
            <w:tcW w:w="14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6,425</w:t>
            </w:r>
          </w:p>
        </w:tc>
        <w:tc>
          <w:tcPr>
            <w:tcW w:w="8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02/10/2030</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9"/>
              </w:rPr>
              <w:t>6,425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34,525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10.178</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01/11/2031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line="194" w:lineRule="exact"/>
              <w:rPr>
                <w:sz w:val="20"/>
                <w:szCs w:val="20"/>
                <w:color w:val="auto"/>
              </w:rPr>
            </w:pPr>
            <w:r>
              <w:rPr>
                <w:rFonts w:ascii="Times New Roman" w:cs="Times New Roman" w:eastAsia="Times New Roman" w:hAnsi="Times New Roman"/>
                <w:sz w:val="17"/>
                <w:szCs w:val="17"/>
                <w:color w:val="0000FF"/>
                <w:w w:val="98"/>
              </w:rPr>
              <w:t>34,125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rPr>
              <w:t>34,125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10/21/2031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w w:val="98"/>
              </w:rPr>
              <w:t>58,043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rPr>
              <w:t>58,043</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ind w:left="12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15.36</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08/15/2032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w w:val="98"/>
              </w:rPr>
              <w:t>42,980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rPr>
              <w:t>42,980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ind w:left="12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16.91</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03/10/2033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7"/>
                <w:szCs w:val="17"/>
                <w:color w:val="0000FF"/>
                <w:w w:val="98"/>
              </w:rPr>
              <w:t>14,025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rPr>
              <w:t>14,025</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3525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352552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16.91</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03/10/2033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8"/>
              </w:rPr>
              <w:t>14,205</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14,205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Option</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ind w:left="1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26.18</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03/04/2034</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9"/>
              </w:rPr>
              <w:t>8,746</w:t>
            </w:r>
          </w:p>
        </w:tc>
        <w:tc>
          <w:tcPr>
            <w:tcW w:w="6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8,746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33.36</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03/04/2035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2"/>
              <w:spacing w:after="0"/>
              <w:rPr>
                <w:sz w:val="20"/>
                <w:szCs w:val="20"/>
                <w:color w:val="auto"/>
              </w:rPr>
            </w:pPr>
            <w:r>
              <w:rPr>
                <w:rFonts w:ascii="Times New Roman" w:cs="Times New Roman" w:eastAsia="Times New Roman" w:hAnsi="Times New Roman"/>
                <w:sz w:val="17"/>
                <w:szCs w:val="17"/>
                <w:color w:val="0000FF"/>
                <w:w w:val="98"/>
              </w:rPr>
              <w:t>13,218</w:t>
            </w:r>
          </w:p>
        </w:tc>
        <w:tc>
          <w:tcPr>
            <w:tcW w:w="6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13,218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of shares of common stock reported were effected pursuant to a Rule 10b5-1 trading plan.</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43" w:lineRule="exact"/>
        <w:rPr>
          <w:rFonts w:ascii="Times New Roman" w:cs="Times New Roman" w:eastAsia="Times New Roman" w:hAnsi="Times New Roman"/>
          <w:sz w:val="13"/>
          <w:szCs w:val="13"/>
          <w:color w:val="008000"/>
        </w:rPr>
      </w:pPr>
    </w:p>
    <w:p>
      <w:pPr>
        <w:jc w:val="both"/>
        <w:ind w:left="20" w:right="200" w:firstLine="2"/>
        <w:spacing w:after="0" w:line="237"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eligible to vest in four tranches if certain performance conditions for each tranche of the option are met by the target date for the applicable performance condition(s) and expire relative to each tranche if the performance conditions for such tranche are not met by the final target date. The performance conditions were partially met and as a result, the first tranche of the option were timely satisfied, resulting in vesting of the option as to 18,200 shares on February 6, 2024. The performance conditions applicable to the fourth tranche of the option were timely satisfied, resulting in vesting of the option as to 22,750 shares on February 20, 2026.</w:t>
      </w:r>
    </w:p>
    <w:p>
      <w:pPr>
        <w:spacing w:after="0" w:line="28"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four equal annual installments beginning on November 27, 2022.</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three equal annual installments beginning on August 15, 2025.</w:t>
      </w:r>
    </w:p>
    <w:p>
      <w:pPr>
        <w:spacing w:after="0" w:line="43" w:lineRule="exact"/>
        <w:rPr>
          <w:rFonts w:ascii="Times New Roman" w:cs="Times New Roman" w:eastAsia="Times New Roman" w:hAnsi="Times New Roman"/>
          <w:sz w:val="13"/>
          <w:szCs w:val="13"/>
          <w:color w:val="008000"/>
        </w:rPr>
      </w:pPr>
    </w:p>
    <w:p>
      <w:pPr>
        <w:ind w:left="20" w:right="4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eligible to vest if certain performance conditions are met by the target date for the applicable performance condition(s) and expire if the performance conditions are not met by the final target date. The performance conditions applicable were timely satisfied, resulting in vesting of the option as to 14,025 shares on February 20, 2026.</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four equal annual installments beginning on March 10, 2024.</w:t>
      </w:r>
    </w:p>
    <w:p>
      <w:pPr>
        <w:spacing w:after="0" w:line="43"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in four equal annual installments beginning on March 4, 2025.</w:t>
      </w:r>
    </w:p>
    <w:p>
      <w:pPr>
        <w:spacing w:after="0" w:line="43" w:lineRule="exact"/>
        <w:rPr>
          <w:rFonts w:ascii="Times New Roman" w:cs="Times New Roman" w:eastAsia="Times New Roman" w:hAnsi="Times New Roman"/>
          <w:sz w:val="13"/>
          <w:szCs w:val="13"/>
          <w:color w:val="008000"/>
        </w:rPr>
      </w:pPr>
    </w:p>
    <w:p>
      <w:pPr>
        <w:ind w:left="20" w:right="20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stock options that will vest in four annual equal installments on each anniversary of the grant date provided that the Reporting Person remains in continuous service on each vesting date.</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Alison Klein,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Jonathan Burth</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6142"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2026-06-12T15:18:52Z</dcterms:created>
  <dcterms:modified xsi:type="dcterms:W3CDTF">2026-06-12T15:18:52Z</dcterms:modified>
</cp:coreProperties>
</file>