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259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5907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Zupo John</w:t>
              </w:r>
            </w:hyperlink>
          </w:p>
        </w:tc>
        <w:tc>
          <w:tcPr>
            <w:tcW w:w="9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Vita Coco Company,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COCO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0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111 5TH AVENUE</w:t>
            </w:r>
          </w:p>
        </w:tc>
        <w:tc>
          <w:tcPr>
            <w:tcW w:w="1620" w:type="dxa"/>
            <w:vAlign w:val="bottom"/>
          </w:tcPr>
          <w:p>
            <w:pPr>
              <w:spacing w:after="0"/>
              <w:rPr>
                <w:sz w:val="10"/>
                <w:szCs w:val="10"/>
                <w:color w:val="auto"/>
              </w:rPr>
            </w:pP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2ND FLOOR</w:t>
            </w:r>
          </w:p>
        </w:tc>
        <w:tc>
          <w:tcPr>
            <w:tcW w:w="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10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10003</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06/03/2026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5"/>
              </w:rPr>
              <w:t>1,530</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75.18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13,692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10.178</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12/16/2029</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20,675</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20,675</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ind w:left="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RSUs granted under the company's 2021 Incentive Award Plan which vest in full the earlier of (i) the day immediately preceding the Annual Stockholders Meeting after the grant date or (ii) the first anniversary of the grant date provided that the Reporting Person remains in continuous service on the applicable vesting date. The Reporting Persons deferred RSUs will settle on June 3, 2031. Each deferred RSU represents the right to receive one share of common stock of the Issuer.</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currently exercisable.</w:t>
      </w:r>
    </w:p>
    <w:p>
      <w:pPr>
        <w:spacing w:after="0" w:line="5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Alison Klein, Attorney-in-</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 for John Zupo</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86726" TargetMode="External"/><Relationship Id="rId14" Type="http://schemas.openxmlformats.org/officeDocument/2006/relationships/hyperlink" Target="http://www.sec.gov/cgi-bin/browse-edgar?action=getcompany&amp;CIK=00014829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2026-06-05T15:28:38Z</dcterms:created>
  <dcterms:modified xsi:type="dcterms:W3CDTF">2026-06-05T15:28:38Z</dcterms:modified>
</cp:coreProperties>
</file>