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9"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1"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380" w:right="360" w:hanging="354"/>
        <w:spacing w:after="0" w:line="275" w:lineRule="auto"/>
        <w:tabs>
          <w:tab w:leader="none" w:pos="3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420" w:right="300" w:hanging="394"/>
        <w:spacing w:after="0" w:line="262" w:lineRule="auto"/>
        <w:tabs>
          <w:tab w:leader="none" w:pos="42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001-40950</w:t>
      </w:r>
    </w:p>
    <w:p>
      <w:pPr>
        <w:spacing w:after="0" w:line="153"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Vita Coco Company,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51"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11-3713156</w:t>
            </w:r>
          </w:p>
        </w:tc>
      </w:tr>
      <w:tr>
        <w:trPr>
          <w:trHeight w:val="178"/>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6180" w:type="dxa"/>
            <w:vAlign w:val="bottom"/>
          </w:tcPr>
          <w:p>
            <w:pPr>
              <w:jc w:val="center"/>
              <w:ind w:right="3735"/>
              <w:spacing w:after="0"/>
              <w:rPr>
                <w:sz w:val="20"/>
                <w:szCs w:val="20"/>
                <w:color w:val="auto"/>
              </w:rPr>
            </w:pPr>
            <w:r>
              <w:rPr>
                <w:rFonts w:ascii="Times New Roman" w:cs="Times New Roman" w:eastAsia="Times New Roman" w:hAnsi="Times New Roman"/>
                <w:sz w:val="18"/>
                <w:szCs w:val="18"/>
                <w:b w:val="1"/>
                <w:bCs w:val="1"/>
                <w:color w:val="auto"/>
                <w:w w:val="99"/>
              </w:rPr>
              <w:t>250 Park Avenue South</w:t>
            </w:r>
          </w:p>
        </w:tc>
        <w:tc>
          <w:tcPr>
            <w:tcW w:w="1240" w:type="dxa"/>
            <w:vAlign w:val="bottom"/>
          </w:tcPr>
          <w:p>
            <w:pPr>
              <w:spacing w:after="0"/>
              <w:rPr>
                <w:sz w:val="24"/>
                <w:szCs w:val="24"/>
                <w:color w:val="auto"/>
              </w:rPr>
            </w:pPr>
          </w:p>
        </w:tc>
      </w:tr>
      <w:tr>
        <w:trPr>
          <w:trHeight w:val="203"/>
        </w:trPr>
        <w:tc>
          <w:tcPr>
            <w:tcW w:w="6180" w:type="dxa"/>
            <w:vAlign w:val="bottom"/>
          </w:tcPr>
          <w:p>
            <w:pPr>
              <w:jc w:val="center"/>
              <w:ind w:right="3715"/>
              <w:spacing w:after="0" w:line="202" w:lineRule="exact"/>
              <w:rPr>
                <w:sz w:val="20"/>
                <w:szCs w:val="20"/>
                <w:color w:val="auto"/>
              </w:rPr>
            </w:pPr>
            <w:r>
              <w:rPr>
                <w:rFonts w:ascii="Times New Roman" w:cs="Times New Roman" w:eastAsia="Times New Roman" w:hAnsi="Times New Roman"/>
                <w:sz w:val="18"/>
                <w:szCs w:val="18"/>
                <w:b w:val="1"/>
                <w:bCs w:val="1"/>
                <w:color w:val="auto"/>
                <w:w w:val="98"/>
              </w:rPr>
              <w:t>Seventh Floor</w:t>
            </w:r>
          </w:p>
        </w:tc>
        <w:tc>
          <w:tcPr>
            <w:tcW w:w="1240" w:type="dxa"/>
            <w:vAlign w:val="bottom"/>
          </w:tcPr>
          <w:p>
            <w:pPr>
              <w:spacing w:after="0"/>
              <w:rPr>
                <w:sz w:val="17"/>
                <w:szCs w:val="17"/>
                <w:color w:val="auto"/>
              </w:rPr>
            </w:pPr>
          </w:p>
        </w:tc>
      </w:tr>
      <w:tr>
        <w:trPr>
          <w:trHeight w:val="265"/>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10003</w:t>
            </w:r>
          </w:p>
        </w:tc>
      </w:tr>
      <w:tr>
        <w:trPr>
          <w:trHeight w:val="206"/>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14"/>
        </w:trPr>
        <w:tc>
          <w:tcPr>
            <w:tcW w:w="6180" w:type="dxa"/>
            <w:vAlign w:val="bottom"/>
          </w:tcPr>
          <w:p>
            <w:pPr>
              <w:jc w:val="center"/>
              <w:ind w:left="1775"/>
              <w:spacing w:after="0"/>
              <w:rPr>
                <w:sz w:val="20"/>
                <w:szCs w:val="20"/>
                <w:color w:val="auto"/>
              </w:rPr>
            </w:pPr>
            <w:r>
              <w:rPr>
                <w:rFonts w:ascii="Times New Roman" w:cs="Times New Roman" w:eastAsia="Times New Roman" w:hAnsi="Times New Roman"/>
                <w:sz w:val="18"/>
                <w:szCs w:val="18"/>
                <w:b w:val="1"/>
                <w:bCs w:val="1"/>
                <w:color w:val="auto"/>
                <w:w w:val="99"/>
              </w:rPr>
              <w:t>(212) 206-0763</w:t>
            </w:r>
          </w:p>
        </w:tc>
        <w:tc>
          <w:tcPr>
            <w:tcW w:w="1240" w:type="dxa"/>
            <w:vAlign w:val="bottom"/>
          </w:tcPr>
          <w:p>
            <w:pPr>
              <w:spacing w:after="0"/>
              <w:rPr>
                <w:sz w:val="24"/>
                <w:szCs w:val="24"/>
                <w:color w:val="auto"/>
              </w:rPr>
            </w:pPr>
          </w:p>
        </w:tc>
      </w:tr>
      <w:tr>
        <w:trPr>
          <w:trHeight w:val="238"/>
        </w:trPr>
        <w:tc>
          <w:tcPr>
            <w:tcW w:w="6180" w:type="dxa"/>
            <w:vAlign w:val="bottom"/>
          </w:tcPr>
          <w:p>
            <w:pPr>
              <w:jc w:val="center"/>
              <w:ind w:left="1795"/>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40" w:type="dxa"/>
            <w:vAlign w:val="bottom"/>
          </w:tcPr>
          <w:p>
            <w:pPr>
              <w:spacing w:after="0"/>
              <w:rPr>
                <w:sz w:val="20"/>
                <w:szCs w:val="20"/>
                <w:color w:val="auto"/>
              </w:rPr>
            </w:pPr>
          </w:p>
        </w:tc>
      </w:tr>
      <w:tr>
        <w:trPr>
          <w:trHeight w:val="425"/>
        </w:trPr>
        <w:tc>
          <w:tcPr>
            <w:tcW w:w="6180" w:type="dxa"/>
            <w:vAlign w:val="bottom"/>
          </w:tcPr>
          <w:p>
            <w:pPr>
              <w:jc w:val="center"/>
              <w:ind w:left="1775"/>
              <w:spacing w:after="0"/>
              <w:rPr>
                <w:sz w:val="20"/>
                <w:szCs w:val="20"/>
                <w:color w:val="auto"/>
              </w:rPr>
            </w:pPr>
            <w:r>
              <w:rPr>
                <w:rFonts w:ascii="Times New Roman" w:cs="Times New Roman" w:eastAsia="Times New Roman" w:hAnsi="Times New Roman"/>
                <w:sz w:val="18"/>
                <w:szCs w:val="18"/>
                <w:b w:val="1"/>
                <w:bCs w:val="1"/>
                <w:color w:val="auto"/>
              </w:rPr>
              <w:t>N/A</w:t>
            </w:r>
          </w:p>
        </w:tc>
        <w:tc>
          <w:tcPr>
            <w:tcW w:w="12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6"/>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COCO</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306"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5" w:right="35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x</w:t>
            </w:r>
          </w:p>
        </w:tc>
        <w:tc>
          <w:tcPr>
            <w:tcW w:w="50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50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7"/>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500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3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28, 2025, there were 56,733,572 shares of the registrant’s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7260" w:type="dxa"/>
            <w:vAlign w:val="bottom"/>
            <w:gridSpan w:val="12"/>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140" w:type="dxa"/>
            <w:vAlign w:val="bottom"/>
            <w:tcBorders>
              <w:bottom w:val="single" w:sz="8" w:color="0000FF"/>
            </w:tcBorders>
            <w:gridSpan w:val="11"/>
            <w:vMerge w:val="continue"/>
          </w:tcPr>
          <w:p>
            <w:pPr>
              <w:spacing w:after="0"/>
              <w:rPr>
                <w:sz w:val="20"/>
                <w:szCs w:val="20"/>
                <w:color w:val="auto"/>
              </w:rPr>
            </w:pPr>
          </w:p>
        </w:tc>
        <w:tc>
          <w:tcPr>
            <w:tcW w:w="7260" w:type="dxa"/>
            <w:vAlign w:val="bottom"/>
            <w:gridSpan w:val="12"/>
            <w:vMerge w:val="continue"/>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2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40" w:type="dxa"/>
            <w:vAlign w:val="bottom"/>
            <w:gridSpan w:val="9"/>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2025 and December 31, 2024</w:t>
            </w:r>
          </w:p>
        </w:tc>
        <w:tc>
          <w:tcPr>
            <w:tcW w:w="3180" w:type="dxa"/>
            <w:vAlign w:val="bottom"/>
            <w:gridSpan w:val="6"/>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&amp; Other Comprehensive Income (Loss) for the three months ended March 31,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560" w:type="dxa"/>
            <w:vAlign w:val="bottom"/>
            <w:tcBorders>
              <w:top w:val="single" w:sz="8" w:color="0000FF"/>
            </w:tcBorders>
            <w:gridSpan w:val="17"/>
          </w:tcPr>
          <w:p>
            <w:pPr>
              <w:spacing w:after="0" w:line="163" w:lineRule="exact"/>
              <w:rPr>
                <w:sz w:val="20"/>
                <w:szCs w:val="20"/>
                <w:color w:val="auto"/>
              </w:rPr>
            </w:pPr>
            <w:r>
              <w:rPr>
                <w:rFonts w:ascii="Times New Roman" w:cs="Times New Roman" w:eastAsia="Times New Roman" w:hAnsi="Times New Roman"/>
                <w:sz w:val="18"/>
                <w:szCs w:val="18"/>
                <w:color w:val="0000FF"/>
              </w:rPr>
              <w:t>2025 and 2024</w:t>
            </w:r>
          </w:p>
        </w:tc>
        <w:tc>
          <w:tcPr>
            <w:tcW w:w="10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2025 and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w:t>
            </w:r>
          </w:p>
        </w:tc>
        <w:tc>
          <w:tcPr>
            <w:tcW w:w="1200" w:type="dxa"/>
            <w:vAlign w:val="bottom"/>
            <w:gridSpan w:val="2"/>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580" w:type="dxa"/>
            <w:vAlign w:val="bottom"/>
            <w:tcBorders>
              <w:top w:val="single" w:sz="8" w:color="0000FF"/>
            </w:tcBorders>
            <w:gridSpan w:val="7"/>
          </w:tcPr>
          <w:p>
            <w:pPr>
              <w:spacing w:after="0"/>
              <w:rPr>
                <w:sz w:val="20"/>
                <w:szCs w:val="20"/>
                <w:color w:val="auto"/>
              </w:rPr>
            </w:pPr>
          </w:p>
        </w:tc>
        <w:tc>
          <w:tcPr>
            <w:tcW w:w="1880" w:type="dxa"/>
            <w:vAlign w:val="bottom"/>
            <w:gridSpan w:val="3"/>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0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0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680" w:type="dxa"/>
            <w:vAlign w:val="bottom"/>
            <w:gridSpan w:val="1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56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2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120" w:type="dxa"/>
            <w:vAlign w:val="bottom"/>
            <w:gridSpan w:val="8"/>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40" w:type="dxa"/>
            <w:vAlign w:val="bottom"/>
            <w:gridSpan w:val="11"/>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0"/>
                <w:szCs w:val="20"/>
                <w:color w:val="auto"/>
              </w:rPr>
            </w:pPr>
          </w:p>
        </w:tc>
        <w:tc>
          <w:tcPr>
            <w:tcW w:w="7700" w:type="dxa"/>
            <w:vAlign w:val="bottom"/>
            <w:gridSpan w:val="1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4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280" w:type="dxa"/>
            <w:vAlign w:val="bottom"/>
            <w:gridSpan w:val="15"/>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projected costs, plans, prospects, expectations, market growth, new products, supply chain predictions, and our objectives for future operations.</w:t>
      </w:r>
    </w:p>
    <w:p>
      <w:pPr>
        <w:spacing w:after="0" w:line="18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Annual Report on Form 10-K for the fiscal year ended December 31, 2024.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herein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83"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otherwise stated or the context requires otherwise, the terms “Vita Coco,” the “Company,” “we,” “us,” and “our” refer to The Vita Coco Company, Inc. and its consolidated subsidiaries.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164,669</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of $2,804 at March 31, 2025, and $2,255 at December 31, 2024</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63,450</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83,600</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Supplier advances, current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31,197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27,236</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341,291</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Supplier advances, long-term</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0" w:type="dxa"/>
            <w:vAlign w:val="bottom"/>
          </w:tcPr>
          <w:p>
            <w:pPr>
              <w:spacing w:after="0"/>
              <w:rPr>
                <w:sz w:val="1"/>
                <w:szCs w:val="1"/>
                <w:color w:val="auto"/>
              </w:rPr>
            </w:pPr>
          </w:p>
        </w:tc>
      </w:tr>
      <w:tr>
        <w:trPr>
          <w:trHeight w:val="212"/>
        </w:trPr>
        <w:tc>
          <w:tcPr>
            <w:tcW w:w="8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383,969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362,381</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30,758</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65,603</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Notes payable, current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Derivative liabilities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6,895</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103,266</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payable, long-term</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106,111</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103,564</w:t>
            </w:r>
          </w:p>
        </w:tc>
        <w:tc>
          <w:tcPr>
            <w:tcW w:w="0" w:type="dxa"/>
            <w:vAlign w:val="bottom"/>
          </w:tcPr>
          <w:p>
            <w:pPr>
              <w:spacing w:after="0"/>
              <w:rPr>
                <w:sz w:val="1"/>
                <w:szCs w:val="1"/>
                <w:color w:val="auto"/>
              </w:rPr>
            </w:pP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(See Note 7)</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500,000,000 shares authorized; 63,807,719 and 63,702,387 shares issued at March 31,</w:t>
            </w: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162"/>
        </w:trPr>
        <w:tc>
          <w:tcPr>
            <w:tcW w:w="80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2025 and December 31, 2024, respectively 57,018,300 and 56,961,941 shares outstanding at March 31, 2025 and</w:t>
            </w: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174,077</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156,694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Treasury stock, 6,789,419 shares at cost as of March 31, 2025, and 6,740,446 shares at cost as of December 31, 2024.</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(73,232)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(71,731)</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277,858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258,817</w:t>
            </w:r>
          </w:p>
        </w:tc>
        <w:tc>
          <w:tcPr>
            <w:tcW w:w="0" w:type="dxa"/>
            <w:vAlign w:val="bottom"/>
          </w:tcPr>
          <w:p>
            <w:pPr>
              <w:spacing w:after="0"/>
              <w:rPr>
                <w:sz w:val="1"/>
                <w:szCs w:val="1"/>
                <w:color w:val="auto"/>
              </w:rPr>
            </w:pPr>
          </w:p>
        </w:tc>
      </w:tr>
      <w:tr>
        <w:trPr>
          <w:trHeight w:val="212"/>
        </w:trPr>
        <w:tc>
          <w:tcPr>
            <w:tcW w:w="8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383,969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362,381</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&amp;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111,698</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64,521</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47,177</w:t>
            </w:r>
          </w:p>
        </w:tc>
        <w:tc>
          <w:tcPr>
            <w:tcW w:w="0" w:type="dxa"/>
            <w:vAlign w:val="bottom"/>
          </w:tcPr>
          <w:p>
            <w:pPr>
              <w:spacing w:after="0"/>
              <w:rPr>
                <w:sz w:val="1"/>
                <w:szCs w:val="1"/>
                <w:color w:val="auto"/>
              </w:rPr>
            </w:pPr>
          </w:p>
        </w:tc>
      </w:tr>
      <w:tr>
        <w:trPr>
          <w:trHeight w:val="21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18,959</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18,015</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attributable to The Vita Coco Company,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56,994,146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56,589,565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59,975,827</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58,746,631</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shares)</w:t>
      </w:r>
    </w:p>
    <w:p>
      <w:pPr>
        <w:spacing w:after="0" w:line="200" w:lineRule="exact"/>
        <w:rPr>
          <w:sz w:val="20"/>
          <w:szCs w:val="20"/>
          <w:color w:val="auto"/>
        </w:rPr>
      </w:pP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87"/>
        </w:trPr>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97"/>
        </w:trPr>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3"/>
            <w:vMerge w:val="restart"/>
          </w:tcPr>
          <w:p>
            <w:pPr>
              <w:jc w:val="center"/>
              <w:ind w:left="294"/>
              <w:spacing w:after="0" w:line="151" w:lineRule="exact"/>
              <w:rPr>
                <w:sz w:val="20"/>
                <w:szCs w:val="20"/>
                <w:color w:val="auto"/>
              </w:rPr>
            </w:pPr>
            <w:r>
              <w:rPr>
                <w:rFonts w:ascii="Times New Roman" w:cs="Times New Roman" w:eastAsia="Times New Roman" w:hAnsi="Times New Roman"/>
                <w:sz w:val="14"/>
                <w:szCs w:val="14"/>
                <w:b w:val="1"/>
                <w:bCs w:val="1"/>
                <w:color w:val="auto"/>
              </w:rPr>
              <w:t>with Exit</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5"/>
            <w:vMerge w:val="restart"/>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Total Common</w:t>
            </w:r>
          </w:p>
        </w:tc>
        <w:tc>
          <w:tcPr>
            <w:tcW w:w="840" w:type="dxa"/>
            <w:vAlign w:val="bottom"/>
            <w:gridSpan w:val="2"/>
            <w:vMerge w:val="restart"/>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Attributable</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520" w:type="dxa"/>
            <w:vAlign w:val="bottom"/>
            <w:gridSpan w:val="4"/>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620" w:type="dxa"/>
            <w:vAlign w:val="bottom"/>
            <w:gridSpan w:val="3"/>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restart"/>
          </w:tcPr>
          <w:p>
            <w:pPr>
              <w:jc w:val="center"/>
              <w:ind w:right="36"/>
              <w:spacing w:after="0" w:line="146" w:lineRule="exact"/>
              <w:rPr>
                <w:sz w:val="20"/>
                <w:szCs w:val="20"/>
                <w:color w:val="auto"/>
              </w:rPr>
            </w:pPr>
            <w:r>
              <w:rPr>
                <w:rFonts w:ascii="Times New Roman" w:cs="Times New Roman" w:eastAsia="Times New Roman" w:hAnsi="Times New Roman"/>
                <w:sz w:val="14"/>
                <w:szCs w:val="14"/>
                <w:b w:val="1"/>
                <w:bCs w:val="1"/>
                <w:color w:val="auto"/>
              </w:rPr>
              <w:t>to The Vita</w:t>
            </w:r>
          </w:p>
        </w:tc>
        <w:tc>
          <w:tcPr>
            <w:tcW w:w="0" w:type="dxa"/>
            <w:vAlign w:val="bottom"/>
          </w:tcPr>
          <w:p>
            <w:pPr>
              <w:spacing w:after="0"/>
              <w:rPr>
                <w:sz w:val="1"/>
                <w:szCs w:val="1"/>
                <w:color w:val="auto"/>
              </w:rPr>
            </w:pPr>
          </w:p>
        </w:tc>
      </w:tr>
      <w:tr>
        <w:trPr>
          <w:trHeight w:val="92"/>
        </w:trPr>
        <w:tc>
          <w:tcPr>
            <w:tcW w:w="104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60" w:type="dxa"/>
            <w:vAlign w:val="bottom"/>
            <w:gridSpan w:val="3"/>
            <w:vMerge w:val="restart"/>
          </w:tcPr>
          <w:p>
            <w:pPr>
              <w:jc w:val="center"/>
              <w:ind w:left="294"/>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vMerge w:val="restart"/>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620" w:type="dxa"/>
            <w:vAlign w:val="bottom"/>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40" w:type="dxa"/>
            <w:vAlign w:val="bottom"/>
          </w:tcPr>
          <w:p>
            <w:pPr>
              <w:spacing w:after="0"/>
              <w:rPr>
                <w:sz w:val="8"/>
                <w:szCs w:val="8"/>
                <w:color w:val="auto"/>
              </w:rPr>
            </w:pPr>
          </w:p>
        </w:tc>
        <w:tc>
          <w:tcPr>
            <w:tcW w:w="15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60" w:type="dxa"/>
            <w:vAlign w:val="bottom"/>
            <w:tcBorders>
              <w:bottom w:val="single" w:sz="8" w:color="auto"/>
            </w:tcBorders>
            <w:gridSpan w:val="3"/>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bottom w:val="single" w:sz="8" w:color="auto"/>
            </w:tcBorders>
            <w:gridSpan w:val="2"/>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00"/>
              <w:spacing w:after="0" w:line="103" w:lineRule="exact"/>
              <w:rPr>
                <w:sz w:val="20"/>
                <w:szCs w:val="20"/>
                <w:color w:val="auto"/>
              </w:rPr>
            </w:pPr>
            <w:r>
              <w:rPr>
                <w:rFonts w:ascii="Times New Roman" w:cs="Times New Roman" w:eastAsia="Times New Roman" w:hAnsi="Times New Roman"/>
                <w:sz w:val="11"/>
                <w:szCs w:val="11"/>
                <w:b w:val="1"/>
                <w:bCs w:val="1"/>
                <w:color w:val="auto"/>
              </w:rPr>
              <w:t>Other</w:t>
            </w:r>
          </w:p>
        </w:tc>
        <w:tc>
          <w:tcPr>
            <w:tcW w:w="162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right="76"/>
              <w:spacing w:after="0" w:line="103" w:lineRule="exact"/>
              <w:rPr>
                <w:sz w:val="20"/>
                <w:szCs w:val="20"/>
                <w:color w:val="auto"/>
              </w:rPr>
            </w:pPr>
            <w:r>
              <w:rPr>
                <w:rFonts w:ascii="Times New Roman" w:cs="Times New Roman" w:eastAsia="Times New Roman" w:hAnsi="Times New Roman"/>
                <w:sz w:val="11"/>
                <w:szCs w:val="11"/>
                <w:b w:val="1"/>
                <w:bCs w:val="1"/>
                <w:color w:val="auto"/>
              </w:rPr>
              <w:t>Coco</w:t>
            </w:r>
          </w:p>
        </w:tc>
        <w:tc>
          <w:tcPr>
            <w:tcW w:w="0" w:type="dxa"/>
            <w:vAlign w:val="bottom"/>
          </w:tcPr>
          <w:p>
            <w:pPr>
              <w:spacing w:after="0"/>
              <w:rPr>
                <w:sz w:val="1"/>
                <w:szCs w:val="1"/>
                <w:color w:val="auto"/>
              </w:rPr>
            </w:pPr>
          </w:p>
        </w:tc>
      </w:tr>
      <w:tr>
        <w:trPr>
          <w:trHeight w:val="160"/>
        </w:trPr>
        <w:tc>
          <w:tcPr>
            <w:tcW w:w="1040" w:type="dxa"/>
            <w:vAlign w:val="bottom"/>
          </w:tcPr>
          <w:p>
            <w:pPr>
              <w:spacing w:after="0"/>
              <w:rPr>
                <w:sz w:val="13"/>
                <w:szCs w:val="13"/>
                <w:color w:val="auto"/>
              </w:rPr>
            </w:pP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3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4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20" w:type="dxa"/>
            <w:vAlign w:val="bottom"/>
          </w:tcPr>
          <w:p>
            <w:pPr>
              <w:spacing w:after="0"/>
              <w:rPr>
                <w:sz w:val="13"/>
                <w:szCs w:val="13"/>
                <w:color w:val="auto"/>
              </w:rPr>
            </w:pPr>
          </w:p>
        </w:tc>
        <w:tc>
          <w:tcPr>
            <w:tcW w:w="8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continue"/>
          </w:tcPr>
          <w:p>
            <w:pPr>
              <w:spacing w:after="0"/>
              <w:rPr>
                <w:sz w:val="17"/>
                <w:szCs w:val="17"/>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vMerge w:val="continue"/>
          </w:tcPr>
          <w:p>
            <w:pPr>
              <w:spacing w:after="0"/>
              <w:rPr>
                <w:sz w:val="17"/>
                <w:szCs w:val="17"/>
                <w:color w:val="auto"/>
              </w:rPr>
            </w:pP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continue"/>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8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167"/>
        </w:trPr>
        <w:tc>
          <w:tcPr>
            <w:tcW w:w="10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55,022,348</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8,113,105</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63,135,453</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161,414</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100,742</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6,236,200</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(59,701)</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202,437</w:t>
            </w:r>
          </w:p>
        </w:tc>
        <w:tc>
          <w:tcPr>
            <w:tcW w:w="0" w:type="dxa"/>
            <w:vAlign w:val="bottom"/>
          </w:tcPr>
          <w:p>
            <w:pPr>
              <w:spacing w:after="0"/>
              <w:rPr>
                <w:sz w:val="1"/>
                <w:szCs w:val="1"/>
                <w:color w:val="auto"/>
              </w:rPr>
            </w:pPr>
          </w:p>
        </w:tc>
      </w:tr>
      <w:tr>
        <w:trPr>
          <w:trHeight w:val="221"/>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Purchase of</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391,544</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8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16"/>
        </w:trPr>
        <w:tc>
          <w:tcPr>
            <w:tcW w:w="1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Exercise of</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awards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currency</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w:t>
            </w: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55,198,632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8,113,105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63,311,737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163,674</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114,980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6,627,744</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(68,936)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209,690</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0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55,589,282</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8,113,105</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63,702,387</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174,077</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156,694</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6,740,446</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(71,731)</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258,817</w:t>
            </w:r>
          </w:p>
        </w:tc>
        <w:tc>
          <w:tcPr>
            <w:tcW w:w="0" w:type="dxa"/>
            <w:vAlign w:val="bottom"/>
          </w:tcPr>
          <w:p>
            <w:pPr>
              <w:spacing w:after="0"/>
              <w:rPr>
                <w:sz w:val="1"/>
                <w:szCs w:val="1"/>
                <w:color w:val="auto"/>
              </w:rPr>
            </w:pPr>
          </w:p>
        </w:tc>
      </w:tr>
      <w:tr>
        <w:trPr>
          <w:trHeight w:val="221"/>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Purchase of</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48,973</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8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16"/>
        </w:trPr>
        <w:tc>
          <w:tcPr>
            <w:tcW w:w="1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w:t>
            </w: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Exercise of</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awards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currency</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55,694,614</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8,113,105</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63,807,719</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w:t>
            </w: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175,241</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175,576</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6,789,419</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(73,232)</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277,858</w:t>
            </w:r>
          </w:p>
        </w:tc>
        <w:tc>
          <w:tcPr>
            <w:tcW w:w="0" w:type="dxa"/>
            <w:vAlign w:val="bottom"/>
          </w:tcPr>
          <w:p>
            <w:pPr>
              <w:spacing w:after="0"/>
              <w:rPr>
                <w:sz w:val="1"/>
                <w:szCs w:val="1"/>
                <w:color w:val="auto"/>
              </w:rPr>
            </w:pPr>
          </w:p>
        </w:tc>
      </w:tr>
      <w:tr>
        <w:trPr>
          <w:trHeight w:val="221"/>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40" w:right="2280"/>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CONDENSED CONSOLIDATED STATEMENTS OF CASH FLOWS (UNAUDITED)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14,238</w:t>
            </w: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required to reconcile net income to cash flows from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(Gain)/loss on disposal of equipment</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Bad debt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r>
      <w:tr>
        <w:trPr>
          <w:trHeight w:val="230"/>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r>
      <w:tr>
        <w:trPr>
          <w:trHeight w:val="229"/>
        </w:trPr>
        <w:tc>
          <w:tcPr>
            <w:tcW w:w="7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r>
      <w:tr>
        <w:trPr>
          <w:trHeight w:val="229"/>
        </w:trPr>
        <w:tc>
          <w:tcPr>
            <w:tcW w:w="7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Prepaid expenses, net supplier advances, and other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r>
      <w:tr>
        <w:trPr>
          <w:trHeight w:val="230"/>
        </w:trPr>
        <w:tc>
          <w:tcPr>
            <w:tcW w:w="796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w:t>
            </w:r>
          </w:p>
        </w:tc>
      </w:tr>
      <w:tr>
        <w:trPr>
          <w:trHeight w:val="223"/>
        </w:trPr>
        <w:tc>
          <w:tcPr>
            <w:tcW w:w="79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property and equipment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79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awards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on notes payable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Cash paid to acquire treasury stock</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(9,235)</w:t>
            </w:r>
          </w:p>
        </w:tc>
      </w:tr>
      <w:tr>
        <w:trPr>
          <w:trHeight w:val="223"/>
        </w:trPr>
        <w:tc>
          <w:tcPr>
            <w:tcW w:w="79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w:t>
            </w:r>
          </w:p>
        </w:tc>
      </w:tr>
      <w:tr>
        <w:trPr>
          <w:trHeight w:val="22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165,933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132,867</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154,876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123,310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$1,268 and $332 of restricted cash as of March 31, 2025 and 2024, respectively, that were included in other current assets.</w:t>
      </w:r>
    </w:p>
    <w:p>
      <w:pPr>
        <w:spacing w:after="0" w:line="16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60" w:right="2020"/>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NOTES TO CONDENSED CONSOLIDATED FINANCIAL STATEMENTS (UNAUDITED) (Amounts in thousands, except share and per share amounts)</w:t>
      </w:r>
    </w:p>
    <w:p>
      <w:pPr>
        <w:spacing w:after="0" w:line="279"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NATURE OF BUSINESS AND BASIS OF PRESENTATION</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Vita Coco Company, Inc. and subsidiaries (the “Company”) develops, markets, and distributes various coconut water products under the brand name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and for retailers' own brands, predominantly in the United States. Other products include coconut milk, coconut oil, water (under the brand name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protein infused fitness drinks (under the brand name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and other revenue transactions (e.g., bulk product sales). The Company completed an initial public offering (the "IPO") of its Common Stock in October 2021.</w:t>
      </w:r>
    </w:p>
    <w:p>
      <w:pPr>
        <w:spacing w:after="0" w:line="180"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We are a public benefit corporation under Section 362 of the Delaware General Corporation Law. As a public benefit corporation, our Board of Directors (the "Board")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w:t>
      </w:r>
    </w:p>
    <w:p>
      <w:pPr>
        <w:spacing w:after="0" w:line="18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ten wholly-owned subsidiaries, including four wholly-owned Asian subsidiaries established between fiscal 2012 and 2015, four North American subsidiaries established between 2012 and 2018, All Market Europe, Ltd. (“AME”) in the United Kingdom established in 2009, and one subsidiary in Germany established during 2024. Through one of its subsidiaries, the Company has a 60% joint venture interest in a company, Coco Ventures Limited, which provides for the development, marketing, distribution and branding of coconut water-based products under the Vita Coco brand in China. See Note 16, </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for further details.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interim financial information</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interim financial statements are prepared in accordance with accounting principles generally accepted in the United States of America (“U.S. GAAP”) and Article 10 of Regulation S-X. As permitted under those rules, certain footnotes or other financial information that are normally required by U.S. GAAP can be condensed or omitted. In the opinion of the Company, the accompanying unaudited condensed consolidated financial statements contain all adjustments, consisting of only normal recurring adjustments, necessary for a fair presentation of the Company’s financial information for the interim period presented. These interim results are not necessarily indicative of the results to be expected for the year ending December 31, 2025 or for any other interim period or for any other future year. The condensed consolidated balance sheet as of March 31, 2025 is unaudited and should be read in conjunction with the audited consolidated financial statements and the related notes thereto for the fiscal year ended December 31, 2024.</w:t>
      </w:r>
    </w:p>
    <w:p>
      <w:pPr>
        <w:spacing w:after="0" w:line="19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there were no significant changes to the Company’s significant accounting policies as described in the Company’s audited consolidated financial statements as of and for the year ended December 31, 2024.</w:t>
      </w:r>
    </w:p>
    <w:p>
      <w:pPr>
        <w:spacing w:after="0" w:line="266"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are presented in accordance with U.S. GAAP.</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all the accounts of the wholly-owned subsidiaries. All intercompany accounts and transactions have been eliminated in consolidation.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condensed consolidated financial statements. Management must apply significant judgment in this process. In addition, other factors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may affect estimates, including expected business and operational changes, sensitivity and volatility associated with the assumptions used in developing estimates, and whether historical trends are expected to be representative of future trends. Additionally, uncertainty in the macroeconomic environment resulting from current geopolitical and economic instability (including the effects of current wars and other international conflicts, as well as recently imposed tariffs) and the high interest rate and inflationary cost environment make estimates and assumptions difficult to calculate with precision. The estimation process often may yield a range of reasonable estimates of the ultimate future outcomes, and management must select an amount that falls within that range of reasonable estimates. The most significant estimates in the condensed consolidated financial statements relate to share-based compensation, assessing long-lived assets for impairment, estimating the net realizable value of inventories, determining the accounts receivables reserve, assessing goodwill for impairment, determining the value of trade promotions, and assessing the realizability of deferred income taxes. Actual results could differ from those estimates.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institutions, which may include banks, financial institutions and investment firms, and invest daily or reserve operating cash in money market funds, government securities, bank obligations, municipal securities or other investment vehicles with short-term maturities.</w:t>
      </w:r>
    </w:p>
    <w:p>
      <w:pPr>
        <w:spacing w:after="0" w:line="7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Substantially all of the Company’s customers are either wholesalers or retailers of beverages. A material default in payment, a material reduction in purchases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in aggregate represented 45% and 47% of total net sales for the three months ended March 31, 2025 and 2024, respectively. In addition, the two customers in aggregate also accounted for 36% and 30% of total accounts receivable as of March 31, 2025 and December 31, 2024, respectively. The Company has not experienced credit issues with these customers. Refer to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regarding additional information on the Company's major customers.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Accounting Standards Codification ("ASC") - Topic 280 on an interim and annual basis. ASU 2023-07 is effective for fiscal years beginning after December 15, 2023, and for interim periods within fiscal years beginning after December 15, 2024, with early adoption permitted. The Company adopted the standard for the year ended December 31, 2024. The adoption of the standard did not have a material impact on the Company’s condensed consolidated statements of operations and disclosures.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expenses in the consolidated statement of operations to be disaggregated into functional categories and separate significant individual expense items that are material to the understanding of the financial statements. ASU 2024-03 is effective for fiscal years beginning after December 15, 2026. In January 2025, the FASB issued ASU 2025-01, which clarified the adoption date to include interim periods with annual reporting periods after December 31, 2027. The Company is currently evaluating the impact of adopting ASU 2024-03.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public entities, on an annual basis, to provide disclosure of specific</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categories in the effective tax rate reconciliation, as well as disclosure of income taxes paid disaggregated by jurisdiction. ASU 2023-09 is effective for fiscal years beginning after December 15, 2024, with early adoption permitted. The Company is currently evaluating the impact of adopting this new accounting standard on its consolidated financial statements.</w:t>
      </w:r>
    </w:p>
    <w:p>
      <w:pPr>
        <w:spacing w:after="0" w:line="280"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Revenues are accounted for in accordance with ASC Topic 606, Revenue Recognition ("ASC 606"). The Company disaggregates revenue into the following product categories:</w:t>
      </w:r>
    </w:p>
    <w:p>
      <w:pPr>
        <w:spacing w:after="0" w:line="50" w:lineRule="exact"/>
        <w:rPr>
          <w:sz w:val="20"/>
          <w:szCs w:val="20"/>
          <w:color w:val="auto"/>
        </w:rPr>
      </w:pPr>
    </w:p>
    <w:p>
      <w:pPr>
        <w:ind w:left="820" w:right="20" w:hanging="326"/>
        <w:spacing w:after="0" w:line="259"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Vita Coco 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spacing w:after="0" w:line="71"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Private Label</w:t>
      </w:r>
      <w:r>
        <w:rPr>
          <w:rFonts w:ascii="Times New Roman" w:cs="Times New Roman" w:eastAsia="Times New Roman" w:hAnsi="Times New Roman"/>
          <w:sz w:val="17"/>
          <w:szCs w:val="17"/>
          <w:color w:val="auto"/>
        </w:rPr>
        <w:t>—This product category consists of all private label product offerings, which includes coconut water and oil.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53" w:lineRule="exact"/>
        <w:rPr>
          <w:rFonts w:ascii="Times New Roman" w:cs="Times New Roman" w:eastAsia="Times New Roman" w:hAnsi="Times New Roman"/>
          <w:sz w:val="17"/>
          <w:szCs w:val="17"/>
          <w:color w:val="auto"/>
        </w:rPr>
      </w:pPr>
    </w:p>
    <w:p>
      <w:pPr>
        <w:ind w:left="820" w:right="160" w:hanging="326"/>
        <w:spacing w:after="0" w:line="262"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consists of all other products,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extensions beyond coconut water, consisting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coconut milk products, including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product offerings;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oil sold internationally; and other revenue transactions (e.g., bulk product sales). For these products, control is transferred upon customer receipt, at which point the Company recognizes the transaction price for the product as revenue.</w:t>
      </w:r>
    </w:p>
    <w:p>
      <w:pPr>
        <w:spacing w:after="0" w:line="126"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5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These condensed consolidated financial statements include accruals for these promotion and discounts. The accruals are made for invoices that have not yet been received as of the end of the reporting period and are recorded as a reduction of sales, and are based on contract terms and our historical experience with similar programs and require management judgment with respect to estimating customer and consumer participation and performance levels.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disaggregates net revenue by product type and reportable segment: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gridSpan w:val="6"/>
          </w:tcPr>
          <w:p>
            <w:pPr>
              <w:jc w:val="center"/>
              <w:ind w:left="776"/>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6"/>
                <w:szCs w:val="16"/>
                <w:color w:val="auto"/>
              </w:rPr>
            </w:pPr>
          </w:p>
        </w:tc>
        <w:tc>
          <w:tcPr>
            <w:tcW w:w="11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9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25,956</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130,921</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tcPr>
          <w:p>
            <w:pPr>
              <w:spacing w:after="0"/>
              <w:rPr>
                <w:sz w:val="17"/>
                <w:szCs w:val="17"/>
                <w:color w:val="auto"/>
              </w:rPr>
            </w:pPr>
          </w:p>
        </w:tc>
        <w:tc>
          <w:tcPr>
            <w:tcW w:w="29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center"/>
              <w:ind w:left="776"/>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9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69,522</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79,187</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29,425</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7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00" w:type="dxa"/>
            <w:vAlign w:val="bottom"/>
            <w:tcBorders>
              <w:bottom w:val="single" w:sz="8" w:color="9A9A9A"/>
            </w:tcBorders>
          </w:tcPr>
          <w:p>
            <w:pPr>
              <w:spacing w:after="0"/>
              <w:rPr>
                <w:sz w:val="8"/>
                <w:szCs w:val="8"/>
                <w:color w:val="auto"/>
              </w:rPr>
            </w:pPr>
          </w:p>
        </w:tc>
        <w:tc>
          <w:tcPr>
            <w:tcW w:w="29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3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packaging</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85,196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80,064</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GOODWILL</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Goodwill consists of the following:</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24"/>
                <w:szCs w:val="24"/>
                <w:color w:val="auto"/>
              </w:rPr>
            </w:pPr>
          </w:p>
        </w:tc>
        <w:tc>
          <w:tcPr>
            <w:tcW w:w="13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9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5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All of the Company’s goodwill is associated with an acquisition in June 2018. The goodwill is allocated to the Americas reporting unit and is tax deductible. The Company has not recognized any impairment since acquisition in accordance with ASC topic 350 - Intangibles, Goodwill &amp; Other.</w:t>
      </w:r>
    </w:p>
    <w:p>
      <w:pPr>
        <w:spacing w:after="0" w:line="266"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details the outstanding balances on the Company’s debt as of March 31, 2025 and December 31, 2024: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9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Vehicle loans</w:t>
            </w: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9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tcBorders>
              <w:bottom w:val="single" w:sz="8" w:color="CCEEFF"/>
            </w:tcBorders>
            <w:vMerge w:val="continue"/>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Credit Facility</w:t>
      </w:r>
    </w:p>
    <w:p>
      <w:pPr>
        <w:spacing w:after="0" w:line="121" w:lineRule="exact"/>
        <w:rPr>
          <w:sz w:val="20"/>
          <w:szCs w:val="20"/>
          <w:color w:val="auto"/>
        </w:rPr>
      </w:pPr>
    </w:p>
    <w:p>
      <w:pPr>
        <w:ind w:right="120" w:firstLine="551"/>
        <w:spacing w:after="0" w:line="266" w:lineRule="auto"/>
        <w:rPr>
          <w:sz w:val="20"/>
          <w:szCs w:val="20"/>
          <w:color w:val="auto"/>
        </w:rPr>
      </w:pPr>
      <w:r>
        <w:rPr>
          <w:rFonts w:ascii="Times New Roman" w:cs="Times New Roman" w:eastAsia="Times New Roman" w:hAnsi="Times New Roman"/>
          <w:sz w:val="18"/>
          <w:szCs w:val="18"/>
          <w:color w:val="auto"/>
        </w:rPr>
        <w:t>In May 2020, the Company entered into a five-year credit facility with Wells Fargo Bank, National Association consisting of a revolving line of credit, which provides for committed borrowings of $60,000 (the "2020 Credit Facility"). During the three months ended March 31, 2025, the 2020 Credit Facility was amended, extending the maturity date five years to February 13, 2030.</w:t>
      </w:r>
    </w:p>
    <w:p>
      <w:pPr>
        <w:spacing w:after="0" w:line="68" w:lineRule="exact"/>
        <w:rPr>
          <w:sz w:val="20"/>
          <w:szCs w:val="20"/>
          <w:color w:val="auto"/>
        </w:rPr>
      </w:pPr>
    </w:p>
    <w:p>
      <w:pPr>
        <w:ind w:right="40" w:firstLine="551"/>
        <w:spacing w:after="0" w:line="243" w:lineRule="auto"/>
        <w:rPr>
          <w:sz w:val="20"/>
          <w:szCs w:val="20"/>
          <w:color w:val="auto"/>
        </w:rPr>
      </w:pPr>
      <w:r>
        <w:rPr>
          <w:rFonts w:ascii="Times New Roman" w:cs="Times New Roman" w:eastAsia="Times New Roman" w:hAnsi="Times New Roman"/>
          <w:sz w:val="18"/>
          <w:szCs w:val="18"/>
          <w:color w:val="auto"/>
        </w:rPr>
        <w:t>Starting in December 2022, borrowings on the 2020 Credit Facility bear interest at rates based on either: 1) a fluctuating rate per annum determined to be the sum of Daily Simple Secured Overnight Financing Rate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was subject to unused commitment fees ranging from 0.10% and 0.20% on the unused amount of the line of credit in the year ended December 31, 2024, with the rate based on the Company’s leverage ratio (as defined in the credit agreement). Starting February 14, 2025, the effective date of the amendment, the unused commitment fees ranges from 0.13% and 0.23% on the unused amount of the line of credit, with the rate being based on the Company’s leverage ratio (as defined in the credit agreement).</w:t>
      </w:r>
    </w:p>
    <w:p>
      <w:pPr>
        <w:spacing w:after="0" w:line="200" w:lineRule="exact"/>
        <w:rPr>
          <w:sz w:val="20"/>
          <w:szCs w:val="20"/>
          <w:color w:val="auto"/>
        </w:rPr>
      </w:pPr>
    </w:p>
    <w:p>
      <w:pPr>
        <w:ind w:right="200" w:firstLine="648"/>
        <w:spacing w:after="0" w:line="274" w:lineRule="auto"/>
        <w:rPr>
          <w:sz w:val="20"/>
          <w:szCs w:val="20"/>
          <w:color w:val="auto"/>
        </w:rPr>
      </w:pPr>
      <w:r>
        <w:rPr>
          <w:rFonts w:ascii="Times New Roman" w:cs="Times New Roman" w:eastAsia="Times New Roman" w:hAnsi="Times New Roman"/>
          <w:sz w:val="18"/>
          <w:szCs w:val="18"/>
          <w:color w:val="auto"/>
        </w:rPr>
        <w:t>As of March 31, 2025 and December 31, 2024, the Company had no outstanding balance and $60,000 undrawn and available under its amended 2020 Credit Facility. The Company incurred no interest expense for the 2020 Credit Facility for the three months ended March 31, 2025 and March 31, 2024, respectively. The unused commitment fee for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Credit Facility amounted to $17 and $15 for the three months ended March 31, 2025 and March 31, 2024, respectively.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2020 Credit Facility is collateralized by substantially all of the Company’s assets.</w:t>
      </w:r>
    </w:p>
    <w:p>
      <w:pPr>
        <w:spacing w:after="0" w:line="225" w:lineRule="exact"/>
        <w:rPr>
          <w:sz w:val="20"/>
          <w:szCs w:val="20"/>
          <w:color w:val="auto"/>
        </w:rPr>
      </w:pPr>
    </w:p>
    <w:p>
      <w:pPr>
        <w:ind w:right="160" w:firstLine="551"/>
        <w:spacing w:after="0" w:line="244" w:lineRule="auto"/>
        <w:rPr>
          <w:sz w:val="20"/>
          <w:szCs w:val="20"/>
          <w:color w:val="auto"/>
        </w:rPr>
      </w:pPr>
      <w:r>
        <w:rPr>
          <w:rFonts w:ascii="Times New Roman" w:cs="Times New Roman" w:eastAsia="Times New Roman" w:hAnsi="Times New Roman"/>
          <w:sz w:val="18"/>
          <w:szCs w:val="18"/>
          <w:color w:val="auto"/>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2020 Credit Facility also requires the Company to maintain certain financial covenants including a maximum leverage ratio, a minimum fixed charge coverage ratio, and a minimum asset coverage ratio. As of March 31, 2025, the Company was in compliance with all financial covenants.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Loans</w:t>
      </w:r>
    </w:p>
    <w:p>
      <w:pPr>
        <w:spacing w:after="0" w:line="11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We periodically enter into vehicle loans. Interest rates on these vehicle loans range from 4.56% to 5.68%. The outstanding balance on the vehicle loans as of March 31, 2025 was less than $100.</w:t>
      </w:r>
    </w:p>
    <w:p>
      <w:pPr>
        <w:spacing w:after="0" w:line="266"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5" w:lineRule="exact"/>
        <w:rPr>
          <w:sz w:val="20"/>
          <w:szCs w:val="20"/>
          <w:color w:val="auto"/>
        </w:rPr>
      </w:pPr>
    </w:p>
    <w:p>
      <w:pPr>
        <w:ind w:right="8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—The Company may engage in various litigation matters in the ordinary course of business. The Company intends to vigorously defend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itself in such matters, based upon the advice of legal counsel, and is of the opinion that the resolution of these matters will not have a material effect on the condensed consolidated financial statements. The Company records a liability when it is probable that a loss has been incurred and the amount is reasonably estimable. The Company also discloses when it is reasonably possible that a material loss may be incurred. As of March 31, 2025 and December 31, 2024, the Company has not recorded any liabilities relating to such legal matters.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Business Risk</w:t>
      </w:r>
      <w:r>
        <w:rPr>
          <w:rFonts w:ascii="Times New Roman" w:cs="Times New Roman" w:eastAsia="Times New Roman" w:hAnsi="Times New Roman"/>
          <w:sz w:val="18"/>
          <w:szCs w:val="18"/>
          <w:color w:val="auto"/>
        </w:rPr>
        <w:t>—The Company imports finished goods predominantly from manufacturers located in South American and Southeast Asian countries.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be subject to certain business risks due to potential instability in these regions.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r>
        <w:rPr>
          <w:rFonts w:ascii="Times New Roman" w:cs="Times New Roman" w:eastAsia="Times New Roman" w:hAnsi="Times New Roman"/>
          <w:sz w:val="18"/>
          <w:szCs w:val="18"/>
          <w:color w:val="auto"/>
        </w:rPr>
        <w:t>—The Company’s customers that accounted for 10% or more of total net sales and total accounts receivable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3"/>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23"/>
        </w:trPr>
        <w:tc>
          <w:tcPr>
            <w:tcW w:w="4740" w:type="dxa"/>
            <w:vAlign w:val="bottom"/>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2660" w:type="dxa"/>
            <w:vAlign w:val="bottom"/>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4740" w:type="dxa"/>
            <w:vAlign w:val="bottom"/>
          </w:tcPr>
          <w:p>
            <w:pPr>
              <w:spacing w:after="0"/>
              <w:rPr>
                <w:sz w:val="17"/>
                <w:szCs w:val="17"/>
                <w:color w:val="auto"/>
              </w:rPr>
            </w:pPr>
          </w:p>
        </w:tc>
        <w:tc>
          <w:tcPr>
            <w:tcW w:w="10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4"/>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60" w:lineRule="exact"/>
        <w:rPr>
          <w:sz w:val="20"/>
          <w:szCs w:val="20"/>
          <w:color w:val="auto"/>
        </w:rPr>
      </w:pPr>
    </w:p>
    <w:p>
      <w:pPr>
        <w:ind w:right="40" w:firstLine="486"/>
        <w:spacing w:after="0" w:line="236" w:lineRule="auto"/>
        <w:rPr>
          <w:sz w:val="20"/>
          <w:szCs w:val="20"/>
          <w:color w:val="auto"/>
        </w:rPr>
      </w:pPr>
      <w:r>
        <w:rPr>
          <w:rFonts w:ascii="Times New Roman" w:cs="Times New Roman" w:eastAsia="Times New Roman" w:hAnsi="Times New Roman"/>
          <w:sz w:val="18"/>
          <w:szCs w:val="18"/>
          <w:color w:val="auto"/>
        </w:rPr>
        <w:t xml:space="preserve">Net sales include branded and private label products. One of the customers acquired less than 5% ownership in the Company upon consummation of the IPO. As discussed in Note 11,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the same customer also was granted 200,000 restricted stock awards at the time of the IPO, of which 100,000 vested on March 31, 2023 and 100,000 vested on March 31, 2024. The customer advised the Company that as of March 31, 2025, it had monetized its investment in the Company .</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Major Suppliers</w:t>
      </w:r>
      <w:r>
        <w:rPr>
          <w:rFonts w:ascii="Times New Roman" w:cs="Times New Roman" w:eastAsia="Times New Roman" w:hAnsi="Times New Roman"/>
          <w:sz w:val="18"/>
          <w:szCs w:val="18"/>
          <w:color w:val="auto"/>
        </w:rPr>
        <w:t>—The Company’s suppliers that accounted for 10% or more of the Company’s purchases were as follows:</w:t>
      </w:r>
    </w:p>
    <w:p>
      <w:pPr>
        <w:spacing w:after="0" w:line="263"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C</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931"/>
        </w:trPr>
        <w:tc>
          <w:tcPr>
            <w:tcW w:w="774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88"/>
        </w:trPr>
        <w:tc>
          <w:tcPr>
            <w:tcW w:w="77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right="100" w:firstLine="486"/>
        <w:spacing w:after="0" w:line="273" w:lineRule="auto"/>
        <w:rPr>
          <w:sz w:val="20"/>
          <w:szCs w:val="20"/>
          <w:color w:val="auto"/>
        </w:rPr>
      </w:pPr>
      <w:r>
        <w:rPr>
          <w:rFonts w:ascii="Times New Roman" w:cs="Times New Roman" w:eastAsia="Times New Roman" w:hAnsi="Times New Roman"/>
          <w:sz w:val="17"/>
          <w:szCs w:val="17"/>
          <w:color w:val="auto"/>
        </w:rPr>
        <w:t>The Company accounts for derivative instruments in accordance with the ASC Topic 815, Derivatives and Hedging ("ASC 815"). These principles require that all derivative instruments be recognized at fair value on each balance sheet date unless they qualify for a scope exclusion as a normal purchase or sales transaction, which is accounted for under the accrual method of accounting. In addition, these principles permit derivative instruments that qualify for hedge accounting to reflect the changes in the fair value of the derivative instruments through earnings or stockholders’ equity as other comprehensive income on a net basis until the hedged item is settled and recognized in earnings, depending on whether the derivative is being used to hedge changes in fair value or cash flows. The ineffective portion of a derivative instrument’s change in fair value is immediately recognized in earnings. As of March 31, 2025 and December 31, 2024, the Company did not have any derivative instruments that it had designated as fair value or cash flow hedges.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is subject to the following currency risks:</w:t>
      </w:r>
    </w:p>
    <w:p>
      <w:pPr>
        <w:spacing w:after="0" w:line="221" w:lineRule="exact"/>
        <w:rPr>
          <w:sz w:val="20"/>
          <w:szCs w:val="20"/>
          <w:color w:val="auto"/>
        </w:rPr>
      </w:pPr>
    </w:p>
    <w:p>
      <w:pPr>
        <w:ind w:right="1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Inventory Purchases from Brazilian, Malaysian and Thai Manufacturers</w:t>
      </w:r>
      <w:r>
        <w:rPr>
          <w:rFonts w:ascii="Times New Roman" w:cs="Times New Roman" w:eastAsia="Times New Roman" w:hAnsi="Times New Roman"/>
          <w:sz w:val="18"/>
          <w:szCs w:val="18"/>
          <w:color w:val="auto"/>
        </w:rPr>
        <w:t>—In order to mitigate the currency risk on inventory purchases from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Brazilian, Malaysian and Thai manufacturers, which are settled in Brazilian real ("BRL"), Malaysian ringgit ("MYR") and Thai baht ("THB"), the Company's subsidiary, All Market Singapore Pte. Ltd. ("AMS"), enters a series of forward currency swaps to buy BRL, MYR and THB.</w:t>
      </w:r>
    </w:p>
    <w:p>
      <w:pPr>
        <w:spacing w:after="0" w:line="171" w:lineRule="exact"/>
        <w:rPr>
          <w:sz w:val="20"/>
          <w:szCs w:val="20"/>
          <w:color w:val="auto"/>
        </w:rPr>
      </w:pPr>
    </w:p>
    <w:p>
      <w:pPr>
        <w:ind w:right="4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Intercompany Transactions Between AME and AMS</w:t>
      </w:r>
      <w:r>
        <w:rPr>
          <w:rFonts w:ascii="Times New Roman" w:cs="Times New Roman" w:eastAsia="Times New Roman" w:hAnsi="Times New Roman"/>
          <w:sz w:val="18"/>
          <w:szCs w:val="18"/>
          <w:color w:val="auto"/>
        </w:rPr>
        <w:t>—In order to mitigate the currency risk on intercompany transactions between AME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AMS, AMS enters into foreign currency swaps to sell British pounds ("GBP").</w:t>
      </w:r>
    </w:p>
    <w:p>
      <w:pPr>
        <w:spacing w:after="0" w:line="155" w:lineRule="exact"/>
        <w:rPr>
          <w:sz w:val="20"/>
          <w:szCs w:val="20"/>
          <w:color w:val="auto"/>
        </w:rPr>
      </w:pPr>
    </w:p>
    <w:p>
      <w:pPr>
        <w:ind w:right="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Intercompany Transactions with Canadian Customer and Vendors</w:t>
      </w:r>
      <w:r>
        <w:rPr>
          <w:rFonts w:ascii="Times New Roman" w:cs="Times New Roman" w:eastAsia="Times New Roman" w:hAnsi="Times New Roman"/>
          <w:sz w:val="18"/>
          <w:szCs w:val="18"/>
          <w:color w:val="auto"/>
        </w:rPr>
        <w:t>—In order to mitigate the currency risk on transactions with Canadian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vendors, the Company enters into foreign currency swaps to sell Canadian dollars ("CAD").</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notional amount and fair value of all outstanding derivative instruments in the condensed consolidated balance sheets consist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80" w:type="dxa"/>
            <w:vAlign w:val="bottom"/>
            <w:tcBorders>
              <w:top w:val="single" w:sz="8" w:color="auto"/>
            </w:tcBorders>
          </w:tcPr>
          <w:p>
            <w:pPr>
              <w:jc w:val="center"/>
              <w:ind w:left="1194"/>
              <w:spacing w:after="0" w:line="153"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Notional</w:t>
            </w:r>
          </w:p>
        </w:tc>
        <w:tc>
          <w:tcPr>
            <w:tcW w:w="3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rPr>
              <w:t>Fair</w:t>
            </w:r>
          </w:p>
        </w:tc>
        <w:tc>
          <w:tcPr>
            <w:tcW w:w="204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Balance Sheet Location</w:t>
            </w:r>
          </w:p>
        </w:tc>
        <w:tc>
          <w:tcPr>
            <w:tcW w:w="0" w:type="dxa"/>
            <w:vAlign w:val="bottom"/>
          </w:tcPr>
          <w:p>
            <w:pPr>
              <w:spacing w:after="0"/>
              <w:rPr>
                <w:sz w:val="1"/>
                <w:szCs w:val="1"/>
                <w:color w:val="auto"/>
              </w:rPr>
            </w:pPr>
          </w:p>
        </w:tc>
      </w:tr>
      <w:tr>
        <w:trPr>
          <w:trHeight w:val="68"/>
        </w:trPr>
        <w:tc>
          <w:tcPr>
            <w:tcW w:w="4680" w:type="dxa"/>
            <w:vAlign w:val="bottom"/>
            <w:vMerge w:val="restart"/>
          </w:tcPr>
          <w:p>
            <w:pPr>
              <w:jc w:val="center"/>
              <w:ind w:left="1214"/>
              <w:spacing w:after="0" w:line="145" w:lineRule="exact"/>
              <w:rPr>
                <w:sz w:val="20"/>
                <w:szCs w:val="20"/>
                <w:color w:val="auto"/>
              </w:rPr>
            </w:pPr>
            <w:r>
              <w:rPr>
                <w:rFonts w:ascii="Times New Roman" w:cs="Times New Roman" w:eastAsia="Times New Roman" w:hAnsi="Times New Roman"/>
                <w:sz w:val="14"/>
                <w:szCs w:val="14"/>
                <w:color w:val="auto"/>
              </w:rPr>
              <w:t>hedging instruments under</w:t>
            </w: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468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Amount</w:t>
            </w:r>
          </w:p>
        </w:tc>
        <w:tc>
          <w:tcPr>
            <w:tcW w:w="340" w:type="dxa"/>
            <w:vAlign w:val="bottom"/>
          </w:tcPr>
          <w:p>
            <w:pPr>
              <w:spacing w:after="0"/>
              <w:rPr>
                <w:sz w:val="6"/>
                <w:szCs w:val="6"/>
                <w:color w:val="auto"/>
              </w:rPr>
            </w:pPr>
          </w:p>
        </w:tc>
        <w:tc>
          <w:tcPr>
            <w:tcW w:w="12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w w:val="95"/>
              </w:rPr>
              <w:t>Value</w:t>
            </w: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4680" w:type="dxa"/>
            <w:vAlign w:val="bottom"/>
            <w:vMerge w:val="restart"/>
          </w:tcPr>
          <w:p>
            <w:pPr>
              <w:jc w:val="center"/>
              <w:ind w:left="1194"/>
              <w:spacing w:after="0"/>
              <w:rPr>
                <w:sz w:val="20"/>
                <w:szCs w:val="20"/>
                <w:color w:val="auto"/>
              </w:rPr>
            </w:pPr>
            <w:r>
              <w:rPr>
                <w:rFonts w:ascii="Times New Roman" w:cs="Times New Roman" w:eastAsia="Times New Roman" w:hAnsi="Times New Roman"/>
                <w:sz w:val="14"/>
                <w:szCs w:val="14"/>
                <w:color w:val="auto"/>
              </w:rPr>
              <w:t>ASC 815-20</w:t>
            </w: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680" w:type="dxa"/>
            <w:vAlign w:val="bottom"/>
            <w:tcBorders>
              <w:bottom w:val="single" w:sz="8" w:color="auto"/>
            </w:tcBorders>
            <w:vMerge w:val="continue"/>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CAD</w:t>
            </w:r>
          </w:p>
        </w:tc>
        <w:tc>
          <w:tcPr>
            <w:tcW w:w="1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EUR</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BRL/sell USD</w:t>
            </w:r>
          </w:p>
        </w:tc>
        <w:tc>
          <w:tcPr>
            <w:tcW w:w="1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GBP</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THB/sell USD</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USD/sell THB</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EUR/pay USD</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918"/>
        </w:trPr>
        <w:tc>
          <w:tcPr>
            <w:tcW w:w="4680" w:type="dxa"/>
            <w:vAlign w:val="bottom"/>
          </w:tcPr>
          <w:p>
            <w:pPr>
              <w:spacing w:after="0"/>
              <w:rPr>
                <w:sz w:val="24"/>
                <w:szCs w:val="24"/>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80" w:type="dxa"/>
            <w:vAlign w:val="bottom"/>
            <w:tcBorders>
              <w:top w:val="single" w:sz="8" w:color="auto"/>
            </w:tcBorders>
            <w:gridSpan w:val="2"/>
          </w:tcPr>
          <w:p>
            <w:pPr>
              <w:jc w:val="center"/>
              <w:ind w:right="80"/>
              <w:spacing w:after="0" w:line="153"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3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Notional</w:t>
            </w:r>
          </w:p>
        </w:tc>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w w:val="97"/>
              </w:rPr>
              <w:t>Fair</w:t>
            </w:r>
          </w:p>
        </w:tc>
        <w:tc>
          <w:tcPr>
            <w:tcW w:w="204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Balance Sheet Location</w:t>
            </w:r>
          </w:p>
        </w:tc>
        <w:tc>
          <w:tcPr>
            <w:tcW w:w="0" w:type="dxa"/>
            <w:vAlign w:val="bottom"/>
          </w:tcPr>
          <w:p>
            <w:pPr>
              <w:spacing w:after="0"/>
              <w:rPr>
                <w:sz w:val="1"/>
                <w:szCs w:val="1"/>
                <w:color w:val="auto"/>
              </w:rPr>
            </w:pPr>
          </w:p>
        </w:tc>
      </w:tr>
      <w:tr>
        <w:trPr>
          <w:trHeight w:val="68"/>
        </w:trPr>
        <w:tc>
          <w:tcPr>
            <w:tcW w:w="6080" w:type="dxa"/>
            <w:vAlign w:val="bottom"/>
            <w:gridSpan w:val="2"/>
            <w:vMerge w:val="restart"/>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hedging instruments under</w:t>
            </w:r>
          </w:p>
        </w:tc>
        <w:tc>
          <w:tcPr>
            <w:tcW w:w="3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0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Amount</w:t>
            </w:r>
          </w:p>
        </w:tc>
        <w:tc>
          <w:tcPr>
            <w:tcW w:w="340" w:type="dxa"/>
            <w:vAlign w:val="bottom"/>
          </w:tcPr>
          <w:p>
            <w:pPr>
              <w:spacing w:after="0"/>
              <w:rPr>
                <w:sz w:val="6"/>
                <w:szCs w:val="6"/>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rPr>
              <w:t>Value</w:t>
            </w: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6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ASC 815-20</w:t>
            </w:r>
          </w:p>
        </w:tc>
        <w:tc>
          <w:tcPr>
            <w:tcW w:w="3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60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EUR</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6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Receive USD/pay GBP</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CAD</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Receive THB/sell USD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BRL/sell USD</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amount and location of realized and unrealized gains and losses of the derivative instruments in the condensed consolidated statements of operations for the three months ended March 31, 2025 and 2024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700" w:type="dxa"/>
            <w:vAlign w:val="bottom"/>
            <w:gridSpan w:val="4"/>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gain/(loss) on derivative instruments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Foreign currency gain / (loss)</w:t>
            </w:r>
          </w:p>
        </w:tc>
        <w:tc>
          <w:tcPr>
            <w:tcW w:w="48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(1,332)</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607</w:t>
            </w:r>
          </w:p>
        </w:tc>
      </w:tr>
      <w:tr>
        <w:trPr>
          <w:trHeight w:val="20"/>
        </w:trPr>
        <w:tc>
          <w:tcPr>
            <w:tcW w:w="7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Company applies recurring fair value measurements to its derivative instruments in accordance with ASC Topic 820, Fair Value Measurements ("ASC 820"). In determining fair value, the Company used a market approach and incorporates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FAIR VALUE MEASUREMENTS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—Quoted market prices in active markets for identical assets or liabilities.</w:t>
      </w:r>
    </w:p>
    <w:p>
      <w:pPr>
        <w:spacing w:after="0" w:line="225" w:lineRule="exact"/>
        <w:rPr>
          <w:sz w:val="20"/>
          <w:szCs w:val="20"/>
          <w:color w:val="auto"/>
        </w:rPr>
      </w:pPr>
    </w:p>
    <w:p>
      <w:pPr>
        <w:ind w:right="1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market prices in markets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active, or other inputs that are observable or can be corroborated by observable market data.</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internally developed models and methodologies utilizing significant unobservable inputs.</w:t>
      </w:r>
    </w:p>
    <w:p>
      <w:pPr>
        <w:spacing w:after="0" w:line="203" w:lineRule="exact"/>
        <w:rPr>
          <w:sz w:val="20"/>
          <w:szCs w:val="20"/>
          <w:color w:val="auto"/>
        </w:rPr>
      </w:pPr>
    </w:p>
    <w:p>
      <w:pPr>
        <w:ind w:right="9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Forward Currency Swap Contracts</w:t>
      </w:r>
      <w:r>
        <w:rPr>
          <w:rFonts w:ascii="Times New Roman" w:cs="Times New Roman" w:eastAsia="Times New Roman" w:hAnsi="Times New Roman"/>
          <w:sz w:val="18"/>
          <w:szCs w:val="18"/>
          <w:color w:val="auto"/>
        </w:rPr>
        <w:t>—See Note 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a description of these contracts. The Company’s valuation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methodology for forward currency swap contracts is based upon third-party institution data.</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those assets (liabilities) measured at fair value on a recurring basis at March 31, 2025 and December 31, 2024,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1"/>
        </w:trPr>
        <w:tc>
          <w:tcPr>
            <w:tcW w:w="4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right="161"/>
              <w:spacing w:after="0" w:line="131" w:lineRule="exact"/>
              <w:rPr>
                <w:sz w:val="20"/>
                <w:szCs w:val="20"/>
                <w:color w:val="auto"/>
              </w:rPr>
            </w:pPr>
            <w:r>
              <w:rPr>
                <w:rFonts w:ascii="Times New Roman" w:cs="Times New Roman" w:eastAsia="Times New Roman" w:hAnsi="Times New Roman"/>
                <w:sz w:val="14"/>
                <w:szCs w:val="14"/>
                <w:b w:val="1"/>
                <w:bCs w:val="1"/>
                <w:color w:val="auto"/>
              </w:rPr>
              <w:t>Forward Currency</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95"/>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Swaps/Contracts</w:t>
            </w: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3"/>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03"/>
        </w:trPr>
        <w:tc>
          <w:tcPr>
            <w:tcW w:w="4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(5,513)</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ind w:left="1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(5,513)</w:t>
            </w:r>
          </w:p>
        </w:tc>
      </w:tr>
      <w:tr>
        <w:trPr>
          <w:trHeight w:val="21"/>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transfers between any levels of the fair value hierarchy for any of the Company’s fair value measurements.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STOCKHOLDERS’ EQUITY</w:t>
      </w:r>
    </w:p>
    <w:p>
      <w:pPr>
        <w:spacing w:after="0" w:line="117"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Common and Treasury Stock</w:t>
      </w:r>
      <w:r>
        <w:rPr>
          <w:rFonts w:ascii="Times New Roman" w:cs="Times New Roman" w:eastAsia="Times New Roman" w:hAnsi="Times New Roman"/>
          <w:sz w:val="18"/>
          <w:szCs w:val="18"/>
          <w:color w:val="auto"/>
        </w:rPr>
        <w:t>—Each share of Common Stock entitles its holder to one vote on matters required to be voted on by the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 and to receive dividends, when and if declared by the Company’s Board.</w:t>
      </w:r>
    </w:p>
    <w:p>
      <w:pPr>
        <w:spacing w:after="0" w:line="19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Company held 6,789,419 and 6,740,446 shares, respectively, in treasury stock. As of March 31, 2025 and December 31, 2024, the Company had 2,822,547 and 3,254,762 shares, respectively, of Common Stock available for issuance upon the conversion of outstanding equity awards under the 2021 Incentive Award Plan ("2021 Plan").</w:t>
      </w:r>
    </w:p>
    <w:p>
      <w:pPr>
        <w:spacing w:after="0" w:line="162" w:lineRule="exact"/>
        <w:rPr>
          <w:sz w:val="20"/>
          <w:szCs w:val="20"/>
          <w:color w:val="auto"/>
        </w:rPr>
      </w:pPr>
    </w:p>
    <w:p>
      <w:pPr>
        <w:ind w:right="20" w:firstLine="486"/>
        <w:spacing w:after="0" w:line="238" w:lineRule="auto"/>
        <w:rPr>
          <w:sz w:val="20"/>
          <w:szCs w:val="20"/>
          <w:color w:val="auto"/>
        </w:rPr>
      </w:pPr>
      <w:r>
        <w:rPr>
          <w:rFonts w:ascii="Times New Roman" w:cs="Times New Roman" w:eastAsia="Times New Roman" w:hAnsi="Times New Roman"/>
          <w:sz w:val="18"/>
          <w:szCs w:val="18"/>
          <w:color w:val="auto"/>
        </w:rPr>
        <w:t>On October 30, 2023, the Company's Board approved a share repurchase program (the "Repurchase Program") authorizing the Company to repurchase up to $40,000 of Common Stock. Shares of Common Stock may be repurchased under the Repurchase Program from time to time through open market purchases, block trades, private transactions or accelerated or other structured share repurchase programs. To the extent not retired, shares of Common Stock repurchased under the Repurchase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Repurchase Program has no time limits and may be suspended or discontinued at</w:t>
      </w:r>
    </w:p>
    <w:p>
      <w:pPr>
        <w:spacing w:after="0" w:line="1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any time. The Company repurchased 48,973 shares under the Repurchase Program at a cost of $1,501 during the three months ended March 31, 2025. The Company repurchased 504,246 shares under the Repurchase Program at a cost of $12,030 during the year ended December 31, 2024. As of March 31, 2025, the Company had $25,695 remaining under the Repurchase Program.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STOCK-BASED COMPENSATION</w:t>
      </w:r>
    </w:p>
    <w:p>
      <w:pPr>
        <w:spacing w:after="0" w:line="229"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The stockholders of the Company approved the adoption of the Company’s 2014 Stock Option and Restricted Stock Plan (the “2014 Plan”). The 2014 Plan allowed for a maximum of 8% of the sum of the Available Equity defined as the sum of: (i) the total then outstanding shares of common shares; and (ii) all available stock options (i.e., granted and outstanding stock options and stock options not yet granted). Under the terms of the 2014 Plan, the Company may grant employees, directors and consultants stock options and restricted stock awards and has the authority to establish the specific terms of each award, including exercise price, expiration and vesting. Currently, only stock options were granted under the 2014 Plan. Generally, stock options issued pursuant to the 2014 Plan contain exercise prices no less than the fair value of Common Stock on the date of grant and have a ten-year contractual term.</w:t>
      </w:r>
    </w:p>
    <w:p>
      <w:pPr>
        <w:spacing w:after="0" w:line="189" w:lineRule="exact"/>
        <w:rPr>
          <w:sz w:val="20"/>
          <w:szCs w:val="20"/>
          <w:color w:val="auto"/>
        </w:rPr>
      </w:pPr>
    </w:p>
    <w:p>
      <w:pPr>
        <w:jc w:val="both"/>
        <w:ind w:right="20" w:firstLine="551"/>
        <w:spacing w:after="0" w:line="257" w:lineRule="auto"/>
        <w:rPr>
          <w:sz w:val="20"/>
          <w:szCs w:val="20"/>
          <w:color w:val="auto"/>
        </w:rPr>
      </w:pPr>
      <w:r>
        <w:rPr>
          <w:rFonts w:ascii="Times New Roman" w:cs="Times New Roman" w:eastAsia="Times New Roman" w:hAnsi="Times New Roman"/>
          <w:sz w:val="18"/>
          <w:szCs w:val="18"/>
          <w:color w:val="auto"/>
        </w:rPr>
        <w:t>Subsequent to September 30, 2021, the stockholders of the Company approved the adoption of the 2021 Incentive Award Plan ("2021 Plan"), which became effective after the closing of the IPO. On and after closing of the offering and the effectiveness of the 2021 Plan, no further grants have been made under the 2014 Plan. The maximum number of shares of our Common Stock available for issuance under the 2021 Plan is equal to the sum of: (i)</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3,431,312 shares of our Common Stock; and (ii) an annual increase on the first day of each year beginning in 2022 and ending in and including 2031, equal to the lesser of (A) two percent (2%) of the outstanding shares of our Common Stock on the last day of the immediately preceding fiscal year; and (B) such lesser amount as determined by our Board; provided, however, no more than 3,431,312 shares may be issued upon the exercise of incentive stock options ("ISOs"). The 2021 Plan provides for the grant of stock options, including ISOs and nonqualified stock options ("NSOs"), dividend equivalents, stock payments, service-based restricted stock units ("RSUs"), performance-based restricted stock units ("PSUs"), other incentive awards, stock appreciation rights ("SARs"), and cash awards. For the year beginning January 1, 2025, the Board elected not to increase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available for the 2021 Plan. As of March 31, 2025, only stock options, RSUs, and PSUs have been granted under the 2021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2025 and 2024, the Company recorded stock compensation costs totaling:</w:t>
      </w:r>
    </w:p>
    <w:p>
      <w:pPr>
        <w:spacing w:after="0" w:line="259"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6660515"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0515" cy="214630"/>
                    </a:xfrm>
                    <a:prstGeom prst="rect">
                      <a:avLst/>
                    </a:prstGeom>
                    <a:noFill/>
                  </pic:spPr>
                </pic:pic>
              </a:graphicData>
            </a:graphic>
          </wp:anchor>
        </w:drawing>
      </w:r>
    </w:p>
    <w:p>
      <w:pPr>
        <w:ind w:left="90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8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8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Reduction in revenue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firstLine="8"/>
        <w:spacing w:after="0" w:line="258" w:lineRule="auto"/>
        <w:tabs>
          <w:tab w:leader="none" w:pos="181"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cost recognized as a reduction in revenue is related to the RSUs previously granted to a major customer based on guidance in ASC 606 as stock based sales incentive. These awards are shares of restricted Common Stock valued at $3,000 granted at the time of the IPO to an entity affiliated with a significant customer, at a price per share granted at the IPO of $15.00, or 200,000 restricted shares, in connection with an amendment to extend the distributor agreement term to June 10, 2026. Since the distribution agreement had not been terminated by either party for cause as of March 31, 2023, 50% of the shares were released on March 31, 2023. The remaining 50% were released on March 31, 2024.</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 with Service-based Vesting Conditions</w:t>
      </w:r>
    </w:p>
    <w:p>
      <w:pPr>
        <w:spacing w:after="0" w:line="5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Most of the stock option awards granted under the 2014 Plan and 2021 Plan vest based on continuous service. The options awarded to the employees have differing vesting schedules as specified in each grant agreement. The following table summarizes the service-based stock option activity during the three months ended March 31, 2025:</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46"/>
        </w:trPr>
        <w:tc>
          <w:tcPr>
            <w:tcW w:w="9600" w:type="dxa"/>
            <w:vAlign w:val="bottom"/>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r>
      <w:tr>
        <w:trPr>
          <w:trHeight w:val="196"/>
        </w:trPr>
        <w:tc>
          <w:tcPr>
            <w:tcW w:w="960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56"/>
        </w:trPr>
        <w:tc>
          <w:tcPr>
            <w:tcW w:w="9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Outstanding—December 31, 2024</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3,054,060</w:t>
            </w:r>
          </w:p>
        </w:tc>
      </w:tr>
      <w:tr>
        <w:trPr>
          <w:trHeight w:val="25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201,100</w:t>
            </w:r>
          </w:p>
        </w:tc>
      </w:tr>
      <w:tr>
        <w:trPr>
          <w:trHeight w:val="263"/>
        </w:trPr>
        <w:tc>
          <w:tcPr>
            <w:tcW w:w="9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38,785</w:t>
            </w:r>
          </w:p>
        </w:tc>
      </w:tr>
      <w:tr>
        <w:trPr>
          <w:trHeight w:val="250"/>
        </w:trPr>
        <w:tc>
          <w:tcPr>
            <w:tcW w:w="96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10,453</w:t>
            </w:r>
          </w:p>
        </w:tc>
      </w:tr>
      <w:tr>
        <w:trPr>
          <w:trHeight w:val="230"/>
        </w:trPr>
        <w:tc>
          <w:tcPr>
            <w:tcW w:w="9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Outstanding—March 31, 2025</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3,205,922</w:t>
            </w:r>
          </w:p>
        </w:tc>
      </w:tr>
      <w:tr>
        <w:trPr>
          <w:trHeight w:val="228"/>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Exercisable—March 31, 2025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2,438,867</w:t>
            </w:r>
          </w:p>
        </w:tc>
      </w:tr>
    </w:tbl>
    <w:p>
      <w:pPr>
        <w:spacing w:after="0" w:line="287" w:lineRule="exact"/>
        <w:rPr>
          <w:sz w:val="20"/>
          <w:szCs w:val="20"/>
          <w:color w:val="auto"/>
        </w:rPr>
      </w:pPr>
    </w:p>
    <w:p>
      <w:pPr>
        <w:ind w:right="80" w:firstLine="551"/>
        <w:spacing w:after="0" w:line="282" w:lineRule="auto"/>
        <w:rPr>
          <w:sz w:val="20"/>
          <w:szCs w:val="20"/>
          <w:color w:val="auto"/>
        </w:rPr>
      </w:pPr>
      <w:r>
        <w:rPr>
          <w:rFonts w:ascii="Times New Roman" w:cs="Times New Roman" w:eastAsia="Times New Roman" w:hAnsi="Times New Roman"/>
          <w:sz w:val="18"/>
          <w:szCs w:val="18"/>
          <w:color w:val="auto"/>
        </w:rPr>
        <w:t>The fair value of the service-based stock options granted in 2025 and 2024 pursuant to the 2021 Plan was estimated on a grant or on a modification date using the Black-Scholes option-pricing model. The weighted average assumptions used in the Black-Scholes option-pricing model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2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expected term</w:t>
            </w:r>
          </w:p>
        </w:tc>
        <w:tc>
          <w:tcPr>
            <w:tcW w:w="17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6.25 years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 years</w:t>
            </w: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6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12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dividend yield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 with Performance and Market-based Vesting Conditions</w:t>
      </w:r>
    </w:p>
    <w:p>
      <w:pPr>
        <w:spacing w:after="0" w:line="119" w:lineRule="exact"/>
        <w:rPr>
          <w:sz w:val="20"/>
          <w:szCs w:val="20"/>
          <w:color w:val="auto"/>
        </w:rPr>
      </w:pPr>
    </w:p>
    <w:p>
      <w:pPr>
        <w:ind w:right="380" w:firstLine="551"/>
        <w:spacing w:after="0" w:line="266" w:lineRule="auto"/>
        <w:rPr>
          <w:sz w:val="20"/>
          <w:szCs w:val="20"/>
          <w:color w:val="auto"/>
        </w:rPr>
      </w:pPr>
      <w:r>
        <w:rPr>
          <w:rFonts w:ascii="Times New Roman" w:cs="Times New Roman" w:eastAsia="Times New Roman" w:hAnsi="Times New Roman"/>
          <w:sz w:val="18"/>
          <w:szCs w:val="18"/>
          <w:color w:val="auto"/>
        </w:rPr>
        <w:t>The Company also has outstanding stock option awards containing performance-based vesting conditions, subject to achievement of various performance goals by a future period, such as revenue and Adjusted EBITDA targets. There were no new stock option awards granted during the three months ended March 31, 2025 with performance-based vesting conditions.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Service-based and Performance-based Restricted Stock</w:t>
      </w:r>
    </w:p>
    <w:p>
      <w:pPr>
        <w:spacing w:after="0" w:line="11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RSUs were granted under the 2021 Plan and primarily vest based on continuous service. The RSUs with service-based vesting conditions awarded to the employees have differing vesting schedules as specified in each grant agreement. The RSUs granted to non-employee directors vest in full on the earlier of: (i) the day immediately preceding the date of the first Annual Shareholders Meeting following the date of grant; or (ii) the first anniversary of the date of grant. During the three months ended March 31, 2025 and March 31, 2024, the Company also granted PSUs, which are subject to achievement of various performance goals in the future, specifically net sales growth and Adjusted EBITDA targets. The following table summarizes the RSU and PSU activity for the three months ended March 31, 2025:</w:t>
      </w:r>
    </w:p>
    <w:p>
      <w:pPr>
        <w:spacing w:after="0" w:line="200" w:lineRule="exact"/>
        <w:rPr>
          <w:sz w:val="20"/>
          <w:szCs w:val="20"/>
          <w:color w:val="auto"/>
        </w:rPr>
      </w:pPr>
    </w:p>
    <w:p>
      <w:pPr>
        <w:spacing w:after="0" w:line="264"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RSU Awards</w:t>
            </w:r>
          </w:p>
        </w:tc>
        <w:tc>
          <w:tcPr>
            <w:tcW w:w="18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 of PSU Awards</w:t>
            </w:r>
          </w:p>
        </w:tc>
      </w:tr>
      <w:tr>
        <w:trPr>
          <w:trHeight w:val="23"/>
        </w:trPr>
        <w:tc>
          <w:tcPr>
            <w:tcW w:w="67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634,803</w:t>
            </w:r>
          </w:p>
        </w:tc>
        <w:tc>
          <w:tcPr>
            <w:tcW w:w="16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74,579</w:t>
            </w:r>
          </w:p>
        </w:tc>
      </w:tr>
      <w:tr>
        <w:trPr>
          <w:trHeight w:val="25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183,504</w:t>
            </w:r>
          </w:p>
        </w:tc>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71,140</w:t>
            </w:r>
          </w:p>
        </w:tc>
      </w:tr>
      <w:tr>
        <w:trPr>
          <w:trHeight w:val="26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108,620</w:t>
            </w: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Forfeited/Cancelled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16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82"/>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 March 31, 2025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695,864</w:t>
            </w:r>
          </w:p>
        </w:tc>
        <w:tc>
          <w:tcPr>
            <w:tcW w:w="16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INCOME TAXES</w:t>
      </w:r>
    </w:p>
    <w:p>
      <w:pPr>
        <w:spacing w:after="0" w:line="121"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recorded income tax expense of $5,481 and $3,777, respectively, in its condensed consolidated statements of operations.</w:t>
      </w:r>
    </w:p>
    <w:p>
      <w:pPr>
        <w:spacing w:after="0" w:line="189"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In assessing the recoverability of its deferred tax assets, the Company continually evaluates all available positive and negative evidence to assess the amount of deferred tax assets for which it is more likely than not to realize a benefit. For any deferred tax asset in excess of the amount for which it is more likely than not that the Company will realize a benefit, the Company establishes a valuation allowance.</w:t>
      </w:r>
    </w:p>
    <w:p>
      <w:pPr>
        <w:spacing w:after="0" w:line="217"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As of March 31, 2025 and December 31, 2024, there was a $106 liability for income tax uncertainties recorded in the Company's condensed consolidated balance sheet and consolidated balance sheet, respectively. The Company’s policy is to record interest and penalties related to income taxes as part of its income tax provision. The Company does not expect its uncertain tax positions to change significantly over the next twelve months. The Company recognized no interest and penalties related to income tax uncertainties in its condensed consolidated statement of operations for the three months ended March 31, 2025 and 2024. The Company is subject to income tax examinations by the Internal Revenue Service ("IRS") and various state and local jurisdictions for the open tax years between December 31, 2019 and December 31, 2023.</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EARNINGS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p>
      <w:pPr>
        <w:spacing w:after="0" w:line="259"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1380" w:type="dxa"/>
        <w:tblCellMar>
          <w:top w:w="0" w:type="dxa"/>
          <w:left w:w="0" w:type="dxa"/>
          <w:bottom w:w="0" w:type="dxa"/>
          <w:right w:w="0" w:type="dxa"/>
        </w:tblCellMar>
      </w:tblPr>
      <w:tr>
        <w:trPr>
          <w:trHeight w:val="200"/>
        </w:trPr>
        <w:tc>
          <w:tcPr>
            <w:tcW w:w="8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58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4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8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0" w:type="dxa"/>
            <w:vAlign w:val="bottom"/>
          </w:tcPr>
          <w:p>
            <w:pPr>
              <w:spacing w:after="0"/>
              <w:rPr>
                <w:sz w:val="1"/>
                <w:szCs w:val="1"/>
                <w:color w:val="auto"/>
              </w:rPr>
            </w:pPr>
          </w:p>
        </w:tc>
      </w:tr>
      <w:tr>
        <w:trPr>
          <w:trHeight w:val="189"/>
        </w:trPr>
        <w:tc>
          <w:tcPr>
            <w:tcW w:w="5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earnings per share—basic</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56,994,146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56,589,565</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8"/>
                <w:szCs w:val="18"/>
                <w:color w:val="auto"/>
              </w:rPr>
              <w:t>Effect of conversion of stock options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2,981,681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2,157,066</w:t>
            </w:r>
          </w:p>
        </w:tc>
        <w:tc>
          <w:tcPr>
            <w:tcW w:w="0" w:type="dxa"/>
            <w:vAlign w:val="bottom"/>
          </w:tcPr>
          <w:p>
            <w:pPr>
              <w:spacing w:after="0"/>
              <w:rPr>
                <w:sz w:val="1"/>
                <w:szCs w:val="1"/>
                <w:color w:val="auto"/>
              </w:rPr>
            </w:pPr>
          </w:p>
        </w:tc>
      </w:tr>
      <w:tr>
        <w:trPr>
          <w:trHeight w:val="155"/>
        </w:trPr>
        <w:tc>
          <w:tcPr>
            <w:tcW w:w="584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number of common shares used in earnings per share—</w:t>
            </w:r>
          </w:p>
        </w:tc>
        <w:tc>
          <w:tcPr>
            <w:tcW w:w="2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59,975,827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58,746,631</w:t>
            </w:r>
          </w:p>
        </w:tc>
        <w:tc>
          <w:tcPr>
            <w:tcW w:w="0" w:type="dxa"/>
            <w:vAlign w:val="bottom"/>
          </w:tcPr>
          <w:p>
            <w:pPr>
              <w:spacing w:after="0"/>
              <w:rPr>
                <w:sz w:val="1"/>
                <w:szCs w:val="1"/>
                <w:color w:val="auto"/>
              </w:rPr>
            </w:pPr>
          </w:p>
        </w:tc>
      </w:tr>
      <w:tr>
        <w:trPr>
          <w:trHeight w:val="135"/>
        </w:trPr>
        <w:tc>
          <w:tcPr>
            <w:tcW w:w="584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840" w:type="dxa"/>
            <w:vAlign w:val="bottom"/>
            <w:tcBorders>
              <w:bottom w:val="single" w:sz="8" w:color="CCEEFF"/>
            </w:tcBorders>
            <w:gridSpan w:val="3"/>
            <w:vMerge w:val="continue"/>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04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Earnings per share—basic</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prior to the use of the treasury stock method, have been excluded from the computation of diluted weighted-average number of common shares outstanding, as they would be anti-dilutive:</w:t>
      </w:r>
    </w:p>
    <w:p>
      <w:pPr>
        <w:spacing w:after="0" w:line="188"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1500" w:type="dxa"/>
        <w:tblCellMar>
          <w:top w:w="0" w:type="dxa"/>
          <w:left w:w="0" w:type="dxa"/>
          <w:bottom w:w="0" w:type="dxa"/>
          <w:right w:w="0" w:type="dxa"/>
        </w:tblCellMar>
      </w:tblPr>
      <w:tr>
        <w:trPr>
          <w:trHeight w:val="210"/>
        </w:trPr>
        <w:tc>
          <w:tcPr>
            <w:tcW w:w="560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4"/>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and RSUs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169,720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301,813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SEGMENT REPORTING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two operating and reportable segments:</w:t>
      </w:r>
    </w:p>
    <w:p>
      <w:pPr>
        <w:spacing w:after="0" w:line="117" w:lineRule="exact"/>
        <w:rPr>
          <w:sz w:val="20"/>
          <w:szCs w:val="20"/>
          <w:color w:val="auto"/>
        </w:rPr>
      </w:pPr>
    </w:p>
    <w:p>
      <w:pPr>
        <w:ind w:left="820" w:right="20" w:hanging="326"/>
        <w:spacing w:after="0" w:line="261"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Americas—The Americas segment is comprised primarily of the U.S. and Canada, and derives its revenues from the marketing and distribution of various coconut water and non-coconut water products (e.g., coconut oil and milk). The Company’s aluminum bottle canned water (</w:t>
      </w:r>
      <w:r>
        <w:rPr>
          <w:rFonts w:ascii="Times New Roman" w:cs="Times New Roman" w:eastAsia="Times New Roman" w:hAnsi="Times New Roman"/>
          <w:sz w:val="18"/>
          <w:szCs w:val="18"/>
          <w:i w:val="1"/>
          <w:iCs w:val="1"/>
          <w:color w:val="auto"/>
        </w:rPr>
        <w:t>Ever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Ever</w:t>
      </w:r>
      <w:r>
        <w:rPr>
          <w:rFonts w:ascii="Times New Roman" w:cs="Times New Roman" w:eastAsia="Times New Roman" w:hAnsi="Times New Roman"/>
          <w:sz w:val="18"/>
          <w:szCs w:val="18"/>
          <w:color w:val="auto"/>
        </w:rPr>
        <w:t>) and protein infused fitness drink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are marketed only in the Americas segment. The Company also offered guayusa leaf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xml:space="preserve"> in the Americas segment. As of December 2023, we ceased offering the Runa brand.</w:t>
      </w:r>
    </w:p>
    <w:p>
      <w:pPr>
        <w:spacing w:after="0" w:line="71" w:lineRule="exact"/>
        <w:rPr>
          <w:rFonts w:ascii="Times New Roman" w:cs="Times New Roman" w:eastAsia="Times New Roman" w:hAnsi="Times New Roman"/>
          <w:sz w:val="18"/>
          <w:szCs w:val="18"/>
          <w:color w:val="auto"/>
        </w:rPr>
      </w:pPr>
    </w:p>
    <w:p>
      <w:pPr>
        <w:ind w:left="820" w:right="360" w:hanging="326"/>
        <w:spacing w:after="0" w:line="266"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International—The International segment is comprised primarily of Europe, the Middle East, and Asia Pacific. Asia Pacific includes the Company’s procurement arm and derives its revenues from the marketing and distribution of various coconut water and non-coconut water products, including product that is shipped directly to customers outside of Asia Pacific regions.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intercompany transactions between the segments have been eliminated.</w:t>
      </w:r>
    </w:p>
    <w:p>
      <w:pPr>
        <w:spacing w:after="0" w:line="11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Company’s CEO is the chief operating decision maker ("CODM") and manages and allocates resources between the Americas and International segments. Consistent with this decision-making process, the CODM uses financial information disaggregated between the Americas and International segment for purposes of evaluating performance, forecasting future period financial results, allocating resources and setting incentive targets. The CODM evaluates segment business performance based primarily on net sales and gross profit. The CODM considers budget-to-actual variances on a monthly basis for both measures when making decisions about allocating capital and personnel to the segments and also uses segment gross profit for evaluating product pricing.</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about the Company’s operations by operating segment as of and for the three months ended March 31, 2025 and 2024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7"/>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130,921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111,698</w:t>
            </w:r>
          </w:p>
        </w:tc>
        <w:tc>
          <w:tcPr>
            <w:tcW w:w="0" w:type="dxa"/>
            <w:vAlign w:val="bottom"/>
          </w:tcPr>
          <w:p>
            <w:pPr>
              <w:spacing w:after="0"/>
              <w:rPr>
                <w:sz w:val="1"/>
                <w:szCs w:val="1"/>
                <w:color w:val="auto"/>
              </w:rPr>
            </w:pPr>
          </w:p>
        </w:tc>
      </w:tr>
      <w:tr>
        <w:trPr>
          <w:trHeight w:val="230"/>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112,600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96,091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82,836</w:t>
            </w:r>
          </w:p>
        </w:tc>
        <w:tc>
          <w:tcPr>
            <w:tcW w:w="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64,521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55,219</w:t>
            </w:r>
          </w:p>
        </w:tc>
        <w:tc>
          <w:tcPr>
            <w:tcW w:w="0" w:type="dxa"/>
            <w:vAlign w:val="bottom"/>
          </w:tcPr>
          <w:p>
            <w:pPr>
              <w:spacing w:after="0"/>
              <w:rPr>
                <w:sz w:val="1"/>
                <w:szCs w:val="1"/>
                <w:color w:val="auto"/>
              </w:rPr>
            </w:pPr>
          </w:p>
        </w:tc>
      </w:tr>
      <w:tr>
        <w:trPr>
          <w:trHeight w:val="229"/>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48,085</w:t>
            </w:r>
          </w:p>
        </w:tc>
        <w:tc>
          <w:tcPr>
            <w:tcW w:w="3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47,177</w:t>
            </w:r>
          </w:p>
        </w:tc>
        <w:tc>
          <w:tcPr>
            <w:tcW w:w="0" w:type="dxa"/>
            <w:vAlign w:val="bottom"/>
          </w:tcPr>
          <w:p>
            <w:pPr>
              <w:spacing w:after="0"/>
              <w:rPr>
                <w:sz w:val="1"/>
                <w:szCs w:val="1"/>
                <w:color w:val="auto"/>
              </w:rPr>
            </w:pPr>
          </w:p>
        </w:tc>
      </w:tr>
      <w:tr>
        <w:trPr>
          <w:trHeight w:val="229"/>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42,312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0" w:type="dxa"/>
            <w:vAlign w:val="bottom"/>
          </w:tcPr>
          <w:p>
            <w:pPr>
              <w:spacing w:after="0"/>
              <w:rPr>
                <w:sz w:val="1"/>
                <w:szCs w:val="1"/>
                <w:color w:val="auto"/>
              </w:rPr>
            </w:pPr>
          </w:p>
        </w:tc>
      </w:tr>
      <w:tr>
        <w:trPr>
          <w:trHeight w:val="473"/>
        </w:trPr>
        <w:tc>
          <w:tcPr>
            <w:tcW w:w="8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24"/>
                <w:szCs w:val="24"/>
                <w:color w:val="auto"/>
              </w:rPr>
            </w:pPr>
          </w:p>
        </w:tc>
        <w:tc>
          <w:tcPr>
            <w:tcW w:w="1380" w:type="dxa"/>
            <w:vAlign w:val="bottom"/>
            <w:gridSpan w:val="4"/>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8180" w:type="dxa"/>
            <w:vAlign w:val="bottom"/>
          </w:tcPr>
          <w:p>
            <w:pPr>
              <w:spacing w:after="0"/>
              <w:rPr>
                <w:sz w:val="17"/>
                <w:szCs w:val="17"/>
                <w:color w:val="auto"/>
              </w:rPr>
            </w:pPr>
          </w:p>
        </w:tc>
        <w:tc>
          <w:tcPr>
            <w:tcW w:w="15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7"/>
                <w:szCs w:val="17"/>
                <w:color w:val="auto"/>
              </w:rPr>
            </w:pPr>
          </w:p>
        </w:tc>
        <w:tc>
          <w:tcPr>
            <w:tcW w:w="13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4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383,969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362,381</w:t>
            </w:r>
          </w:p>
        </w:tc>
        <w:tc>
          <w:tcPr>
            <w:tcW w:w="0" w:type="dxa"/>
            <w:vAlign w:val="bottom"/>
          </w:tcPr>
          <w:p>
            <w:pPr>
              <w:spacing w:after="0"/>
              <w:rPr>
                <w:sz w:val="1"/>
                <w:szCs w:val="1"/>
                <w:color w:val="auto"/>
              </w:rPr>
            </w:pPr>
          </w:p>
        </w:tc>
      </w:tr>
      <w:tr>
        <w:trPr>
          <w:trHeight w:val="229"/>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241,894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8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47,177</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8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18,959</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5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8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8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Foreign currency gain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8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58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18,015</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5"/>
        </w:trPr>
        <w:tc>
          <w:tcPr>
            <w:tcW w:w="7180" w:type="dxa"/>
            <w:vAlign w:val="bottom"/>
            <w:gridSpan w:val="2"/>
          </w:tcPr>
          <w:p>
            <w:pPr>
              <w:jc w:val="right"/>
              <w:ind w:right="1372"/>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300" w:type="dxa"/>
            <w:vAlign w:val="bottom"/>
            <w:tcBorders>
              <w:bottom w:val="single" w:sz="8" w:color="9A9A9A"/>
            </w:tcBorders>
          </w:tcPr>
          <w:p>
            <w:pPr>
              <w:spacing w:after="0"/>
              <w:rPr>
                <w:sz w:val="7"/>
                <w:szCs w:val="7"/>
                <w:color w:val="auto"/>
              </w:rPr>
            </w:pPr>
          </w:p>
        </w:tc>
        <w:tc>
          <w:tcPr>
            <w:tcW w:w="58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Data:</w:t>
      </w:r>
    </w:p>
    <w:p>
      <w:pPr>
        <w:spacing w:after="0" w:line="11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related to the Company’s net sales by country, which is presented on the basis of the location that revenue from customers is recorded: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90,153</w:t>
            </w:r>
          </w:p>
        </w:tc>
      </w:tr>
      <w:tr>
        <w:trPr>
          <w:trHeight w:val="23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w:t>
            </w:r>
          </w:p>
        </w:tc>
      </w:tr>
      <w:tr>
        <w:trPr>
          <w:trHeight w:val="229"/>
        </w:trPr>
        <w:tc>
          <w:tcPr>
            <w:tcW w:w="8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All other countries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w:t>
            </w:r>
          </w:p>
        </w:tc>
      </w:tr>
      <w:tr>
        <w:trPr>
          <w:trHeight w:val="22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130,921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111,698</w:t>
            </w:r>
          </w:p>
        </w:tc>
      </w:tr>
      <w:tr>
        <w:trPr>
          <w:trHeight w:val="20"/>
        </w:trPr>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93" w:lineRule="exact"/>
        <w:rPr>
          <w:sz w:val="20"/>
          <w:szCs w:val="20"/>
          <w:color w:val="auto"/>
        </w:rPr>
      </w:pPr>
    </w:p>
    <w:p>
      <w:pPr>
        <w:ind w:left="500" w:right="2660" w:hanging="474"/>
        <w:spacing w:after="0" w:line="609" w:lineRule="auto"/>
        <w:tabs>
          <w:tab w:leader="none" w:pos="42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individual country is greater than 10% of total net sales for the three months ended March 31, 2025 and 2024. The following table provides information related to the Company’s property and equipment, net by country:</w:t>
      </w:r>
    </w:p>
    <w:tbl>
      <w:tblPr>
        <w:tblLayout w:type="fixed"/>
        <w:tblInd w:w="0" w:type="dxa"/>
        <w:tblCellMar>
          <w:top w:w="0" w:type="dxa"/>
          <w:left w:w="0" w:type="dxa"/>
          <w:bottom w:w="0" w:type="dxa"/>
          <w:right w:w="0" w:type="dxa"/>
        </w:tblCellMar>
      </w:tblPr>
      <w:tr>
        <w:trPr>
          <w:trHeight w:val="149"/>
        </w:trPr>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26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8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All other countries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93" w:lineRule="exact"/>
        <w:rPr>
          <w:sz w:val="20"/>
          <w:szCs w:val="20"/>
          <w:color w:val="auto"/>
        </w:rPr>
      </w:pPr>
    </w:p>
    <w:p>
      <w:pPr>
        <w:ind w:left="420" w:hanging="394"/>
        <w:spacing w:after="0"/>
        <w:tabs>
          <w:tab w:leader="none" w:pos="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country is greater than 10% of total property and equipment, net as of March 31, 2025 and December 31, 2024.</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19"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Director Nominee Agreement </w:t>
      </w:r>
      <w:r>
        <w:rPr>
          <w:rFonts w:ascii="Times New Roman" w:cs="Times New Roman" w:eastAsia="Times New Roman" w:hAnsi="Times New Roman"/>
          <w:sz w:val="18"/>
          <w:szCs w:val="18"/>
          <w:color w:val="auto"/>
        </w:rPr>
        <w:t>- On May 24, 2022, a member of the Board appointed as a nominee under the Investor Rights Agreement by Verlinvest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Beverages SA ("Verlinvest"), a stockholder of the Company, entered into a nominee agreement instructing the Company to pay all cash and equity compensation earned in connection with his board of director service to Verlinvest. Based on the aforementioned nominee agreement, RSUs granted to this director will be held by him as a nominee for Verlinvest and, upon vesting of the RSUs, the shares will be transferred to Verlinvest. The nominee agreement is primarily between the director and Verlinvest. The Company is a party to this arrangement solely to agree to the manner in which it would satisfy the compensation obligations to this director.</w:t>
      </w:r>
    </w:p>
    <w:p>
      <w:pPr>
        <w:spacing w:after="0" w:line="61" w:lineRule="exact"/>
        <w:rPr>
          <w:sz w:val="20"/>
          <w:szCs w:val="20"/>
          <w:color w:val="auto"/>
        </w:rPr>
      </w:pPr>
    </w:p>
    <w:p>
      <w:pPr>
        <w:ind w:right="20" w:firstLine="486"/>
        <w:spacing w:after="0"/>
        <w:rPr>
          <w:sz w:val="20"/>
          <w:szCs w:val="20"/>
          <w:color w:val="auto"/>
        </w:rPr>
      </w:pPr>
      <w:r>
        <w:rPr>
          <w:rFonts w:ascii="Times New Roman" w:cs="Times New Roman" w:eastAsia="Times New Roman" w:hAnsi="Times New Roman"/>
          <w:sz w:val="18"/>
          <w:szCs w:val="18"/>
          <w:i w:val="1"/>
          <w:iCs w:val="1"/>
          <w:color w:val="auto"/>
        </w:rPr>
        <w:t xml:space="preserve">Registration Rights and Underwriting Agreements </w:t>
      </w:r>
      <w:r>
        <w:rPr>
          <w:rFonts w:ascii="Times New Roman" w:cs="Times New Roman" w:eastAsia="Times New Roman" w:hAnsi="Times New Roman"/>
          <w:sz w:val="18"/>
          <w:szCs w:val="18"/>
          <w:color w:val="auto"/>
        </w:rPr>
        <w:t>- Under the Registration Rights agreement by and among the Company, Verlinvest,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investors, in connection with each demand registration, piggyback or shelf offering, the Company agreed to reimburse the holders of registrable securities for the reasonable fees and disbursements of not more than one law firm. As part of the two secondary offerings during 2023, the Company also entered into underwriting agreements, to which Verlinvest was a party. In connection with the secondary share offering by Verlinvest in May 2023, Verlinvest agreed to waive its right to reimbursement of legal fees for its counsel in the fourth quarter of 2023, and those expenses, in the amount of $140, were not reimbursed by the Company. In connection with the secondary share offering by Verlinvest in November 2023, in April 2024, Verlinvest agreed to waive its right to reimbursement of legal fees for its counsel, and those expenses, in the amount of $324, were not reimbursed by the Company.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16. INVESTMENT IN UNCONSOLIDATED JOINT VENTURE</w:t>
      </w:r>
    </w:p>
    <w:p>
      <w:pPr>
        <w:spacing w:after="0" w:line="229"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In accordance with ASC 323, Investments - Equity Method and Joint Ventures, investments in entities over which the Company does not have a controlling financial interest but has significant influence are accounted for using the equity method, with the Company’s share of earnings or losses reported in the condensed consolidated statements of operations.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firstLine="648"/>
        <w:spacing w:after="0" w:line="231" w:lineRule="auto"/>
        <w:rPr>
          <w:sz w:val="20"/>
          <w:szCs w:val="20"/>
          <w:color w:val="auto"/>
        </w:rPr>
      </w:pPr>
      <w:r>
        <w:rPr>
          <w:rFonts w:ascii="Times New Roman" w:cs="Times New Roman" w:eastAsia="Times New Roman" w:hAnsi="Times New Roman"/>
          <w:sz w:val="18"/>
          <w:szCs w:val="18"/>
          <w:color w:val="auto"/>
        </w:rPr>
        <w:t>Through one of its subsidiaries, the Company has a 60% joint venture interest in a company, Coco Ventures Limited, which provides for the development, marketing, distribution and branding of coconut water-based products under the Vita Coco brand in China. It is anticipated that Coco Ventures Limited will initially purchase coconut water products from the Company. The Company acquired this interest on August 2, 2024, the date on which the Company obtained significant influence, for $585 to be paid in cash within one year. The Company will record the initial investment in the joint venture upon cash payment. Since the Company is deemed not to have a controlling interest in Coco Ventures Limited, the Company’s investment will be accounted using the equity method of accounting in accordance with ASC 323. During the three months ended March 31, 2025, the Company contributed $104 as a part of initial capital funding. As of March 31, 2025, Coco Ventures Limited commenced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108"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7"/>
          <w:szCs w:val="17"/>
          <w:color w:val="auto"/>
        </w:rPr>
        <w:t>In August 2024, the Company signed a lease agreement for a new office in New York, NY. The Company's existing New York office lease expires on April 30, 2025. The operating lease commenced on January 1, 2025, ending in December 2034, with an option to extend for an additional two years. The Company recognized right-of-use assets and lease liabilities of $10,002 and $11,692, respectively, on the Company’s condensed consolidated balance sheet as of March 31, 2025. Additionally, upon signing the agreement, the Company was required to establish a line of credit of $920 as a security deposit which may be used in case of delinquency. The Company established the letter of credit and accounted $920 as restricted cash. In addition, in November, 2024, the Company signed a lease agreement for a new office in London, United Kingdom. The operating lease commenced on January 2, 2025 and terminates in December 2030. The Company recognized right-of-use assets and lease liabilities of $1,140 and $1,252 respectively, on the Company’s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 as of March 31, 2025</w:t>
      </w:r>
      <w:r>
        <w:rPr>
          <w:rFonts w:ascii="Arial" w:cs="Arial" w:eastAsia="Arial" w:hAnsi="Arial"/>
          <w:sz w:val="21"/>
          <w:szCs w:val="2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supplemental balance sheet information for the Company’s operating leases: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60" w:type="dxa"/>
            <w:vAlign w:val="bottom"/>
            <w:shd w:val="clear" w:color="auto" w:fill="CCEEFF"/>
          </w:tcPr>
          <w:p>
            <w:pPr>
              <w:spacing w:after="0"/>
              <w:rPr>
                <w:sz w:val="22"/>
                <w:szCs w:val="22"/>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Line Item in Balance Sheet</w:t>
            </w:r>
          </w:p>
        </w:tc>
        <w:tc>
          <w:tcPr>
            <w:tcW w:w="22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21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22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11,028</w:t>
            </w:r>
          </w:p>
        </w:tc>
        <w:tc>
          <w:tcPr>
            <w:tcW w:w="10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184"/>
        </w:trPr>
        <w:tc>
          <w:tcPr>
            <w:tcW w:w="4660" w:type="dxa"/>
            <w:vAlign w:val="bottom"/>
            <w:shd w:val="clear" w:color="auto" w:fill="CCEEFF"/>
          </w:tcPr>
          <w:p>
            <w:pPr>
              <w:spacing w:after="0"/>
              <w:rPr>
                <w:sz w:val="16"/>
                <w:szCs w:val="16"/>
                <w:color w:val="auto"/>
              </w:rPr>
            </w:pPr>
          </w:p>
        </w:tc>
        <w:tc>
          <w:tcPr>
            <w:tcW w:w="22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Accrued expenses and other</w:t>
            </w:r>
          </w:p>
        </w:tc>
        <w:tc>
          <w:tcPr>
            <w:tcW w:w="2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4"/>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current liabilities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w:t>
            </w:r>
          </w:p>
        </w:tc>
        <w:tc>
          <w:tcPr>
            <w:tcW w:w="10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184"/>
        </w:trPr>
        <w:tc>
          <w:tcPr>
            <w:tcW w:w="4660" w:type="dxa"/>
            <w:vAlign w:val="bottom"/>
          </w:tcPr>
          <w:p>
            <w:pPr>
              <w:spacing w:after="0"/>
              <w:rPr>
                <w:sz w:val="16"/>
                <w:szCs w:val="16"/>
                <w:color w:val="auto"/>
              </w:rPr>
            </w:pP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Operating lease liabilities,</w:t>
            </w: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4"/>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long-term</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12,583</w:t>
            </w:r>
          </w:p>
        </w:tc>
        <w:tc>
          <w:tcPr>
            <w:tcW w:w="10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April 2025, the Company signed an agreement for a new office in Singapore. The operating lease commences in April 2025, and terminates in June 2030. Total undiscounted future payments for this new office lease are $1,384. Additionally, the Company agreed to establish a security deposit of $184, which is refundable at the end of the lease period.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0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On April 28, 2025, the Company's Board approved an additional $25,000 to the Repurchase Program, authorizing the Company to repurchase up to a total of $65,000 of the Company's Common Stock. There were no other changes made to the terms of the Repurchase Program.</w:t>
      </w:r>
    </w:p>
    <w:p>
      <w:pPr>
        <w:spacing w:after="0" w:line="162" w:lineRule="exact"/>
        <w:rPr>
          <w:sz w:val="20"/>
          <w:szCs w:val="20"/>
          <w:color w:val="auto"/>
        </w:rPr>
      </w:pPr>
    </w:p>
    <w:p>
      <w:pPr>
        <w:jc w:val="both"/>
        <w:ind w:right="180" w:firstLine="486"/>
        <w:spacing w:after="0" w:line="250" w:lineRule="auto"/>
        <w:rPr>
          <w:sz w:val="20"/>
          <w:szCs w:val="20"/>
          <w:color w:val="auto"/>
        </w:rPr>
      </w:pPr>
      <w:r>
        <w:rPr>
          <w:rFonts w:ascii="Times New Roman" w:cs="Times New Roman" w:eastAsia="Times New Roman" w:hAnsi="Times New Roman"/>
          <w:sz w:val="18"/>
          <w:szCs w:val="18"/>
          <w:color w:val="auto"/>
        </w:rPr>
        <w:t>Beginning April 1, 2025 and through April 29, 2025, the Company repurchased 284,728 shares under the Repurchase Program at a cost of $8,552. On a year to date basis through April 29, 2025, the Company repurchased a total of 333,701 shares at a cost of $10,053 and had $42,144 remaining under the Repurchase Program.</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1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2024 and filed with the Securities and Exchange Commission ("SEC") on February 26, 2025 (the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of the Form 10-K and other factors set forth in the Form 10-K and Quarterly Reports on Form 10-Q.</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jc w:val="both"/>
        <w:ind w:right="440" w:firstLine="648"/>
        <w:spacing w:after="0" w:line="250" w:lineRule="auto"/>
        <w:rPr>
          <w:sz w:val="20"/>
          <w:szCs w:val="20"/>
          <w:color w:val="auto"/>
        </w:rPr>
      </w:pPr>
      <w:r>
        <w:rPr>
          <w:rFonts w:ascii="Times New Roman" w:cs="Times New Roman" w:eastAsia="Times New Roman" w:hAnsi="Times New Roman"/>
          <w:sz w:val="18"/>
          <w:szCs w:val="18"/>
          <w:color w:val="auto"/>
        </w:rPr>
        <w:t>The Vita Coco Company pioneered packaged coconut water in 2004 and have extended our business into other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w:t>
      </w:r>
    </w:p>
    <w:p>
      <w:pPr>
        <w:spacing w:after="0" w:line="202"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 xml:space="preserve">Our branded portfolio is led by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which is the leader in the coconut water category in the United States, and also includes coconut oil, juice, and milk offerings. Our other brands include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 sustainably packaged water,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 protein-infused fitness drink. We also previously offered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a plant-based energy drink inspired by the guayusa plant native to Ecuador, which we ceased selling in December 2023. We supply private label products to key retailers in both the coconut water and coconut oil categories. Additionally, we generate revenue from bulk product sales to beverage and food companies.</w:t>
      </w:r>
    </w:p>
    <w:p>
      <w:pPr>
        <w:spacing w:after="0" w:line="25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As of March 31, 2025, we source our coconut water from a diversified global network of 16 factories across six countries supported by thousands of coconut farmers. As we do not own any of these factories, our supply chain is a fixed asset-lite model designed to better react to changes in the market or consumer preferences. We also work with co-packers in U.S., Canada, Mexico, and Europe to support local packaging and repacking of our products to better service our customers’ needs.</w:t>
      </w:r>
    </w:p>
    <w:p>
      <w:pPr>
        <w:spacing w:after="0" w:line="206"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is available in over 35 countries, with our primary markets located in North America, the United Kingdom and Germany. Our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for private label are North America and Europe. Our products are distributed primarily through club, food, drug, mass, convenience, e-commerce and food service channels. Our products are also available in a variety of on-premise locations such as corporate offices, fitness clubs, airports and educational institutions.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4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During the first quarter of 2025, the U.S. government announced tariffs on certain imports, including imports from Mexico, and Canada. We currently believe that our production in Mexico and Canada is exempt from these tariffs under the United States-Mexico-Canada Agreement ("USMCA"). On April 2, 2025, the U.S. announced a new universal baseline tariff of 10%, plus significant additional country-specific tariffs for select trading partners, on all U.S. imports. The reciprocal country-specific tariffs were subsequently paused for 90 days on most countries. The uncertainty around the long-term tariff rates that could be applied to our importation of products into the U.S. presents significant challenges to our operations and supply chain, and may result in future results being significantly different than any outlook given. We cannot predict what additional actions might be considered or implemented by the U.S. or its trade partners, particularly in the current geopolitical environment. We anticipate that the imposition of the baseline 10% tariff will increase our cost of goods sold. The uncertainty could also cause disturbances in ocean shipping capacity that could affect our ability to secure ocean freight containers for our products, and create inflationary effects on our costs, in addition to the direct impact of tariffs. We are closely monitoring the evolving tariff landscape and attempting to mitigate these impacts, including using pricing adjustments, sourcing strategies and other cost-mitigation measures. However, there can be no assurance that we will be able to fully mitigate the impacts of such tariffs or that the imposition of tariffs, and the resulting economic impact on the U.S. market and consumer, will not be material to our financial results. We primarily source from the Philippines and Brazil, with additional sourcing from Sri Lanka, Thailand, Malaysia, Vietnam, Canada, and Mexico. There have been significant proposed reciprocal tariffs on certain of these countries. At this time, the overall impact on our business related to tariffs remains uncertain and depends on multiple factors, including the duration and potential expansion of current tariffs, future changes to tariff rates, scope, or enforcement, reciprocal measures by impacted trade partners, inflationary effects, changes to consumer purchasing behavior, and the effectiveness of our responses in managing these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94"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Our sales to one of our major customers include branded and private label product. As discussed in our Form 10-K, the private label coconut oil business with this customer discontinued in early 2024 and we expect private label coconut water net sales with this customer to be impacted by the loss of some regions during 2025.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43" w:lineRule="exact"/>
        <w:rPr>
          <w:sz w:val="20"/>
          <w:szCs w:val="20"/>
          <w:color w:val="auto"/>
        </w:rPr>
      </w:pPr>
    </w:p>
    <w:p>
      <w:pPr>
        <w:ind w:right="40" w:firstLine="486"/>
        <w:spacing w:after="0" w:line="245"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There have been no material changes to such factors from those described in the Form 10-K under the heading “Key Factors Affecting our Performance” and the changes noted below in "Impact of Global Events Causing Macroeconomic Uncertainty." Those factors also pose risks and challenges, including those discussed in Part I, Item 1A. “Risk Factors” of the Form 10-K.</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Events Causing Macroeconomic Uncertainty</w:t>
      </w:r>
    </w:p>
    <w:p>
      <w:pPr>
        <w:spacing w:after="0" w:line="20"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8"/>
          <w:szCs w:val="18"/>
          <w:color w:val="auto"/>
        </w:rPr>
        <w:t>Uncertainty in the macroeconomic environment resulting from geopolitical and economic instability (including the effects of current wars and other international conflicts) and variability in interest rates, foreign exchange rates, tariffs and other import related fees, and inflationary cost environments may affect our global supply chain. Additionally, the extent and duration of tariffs imposed by the U.S. government on other countries and reciprocal tariffs placed on U.S. goods in response thereto remains uncertain and may depend on various factors, including negotiations and relationships between the U.S. and affected countries, tariff exemptions, negative sentiment toward U.S. companies and products, and availability of domestic alternatives in our supply chain. It is not currently possible to ascertain the overall impact of these macroeconomic uncertainties on our business, results of operations, financial condition or liquidity. Future events and effects related to these macroeconomic uncertainties cannot be determined with precision and actual results could significantly differ from estimates or forecasts. For a further discussion of the risks and challenges posed by these events, please see Part I, Item 1A. “Risk Factors” of the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9" w:lineRule="exact"/>
        <w:rPr>
          <w:sz w:val="20"/>
          <w:szCs w:val="20"/>
          <w:color w:val="auto"/>
        </w:rPr>
      </w:pPr>
    </w:p>
    <w:p>
      <w:pPr>
        <w:ind w:right="40" w:firstLine="551"/>
        <w:spacing w:after="0" w:line="251" w:lineRule="auto"/>
        <w:rPr>
          <w:sz w:val="20"/>
          <w:szCs w:val="20"/>
          <w:color w:val="auto"/>
        </w:rPr>
      </w:pPr>
      <w:r>
        <w:rPr>
          <w:rFonts w:ascii="Times New Roman" w:cs="Times New Roman" w:eastAsia="Times New Roman" w:hAnsi="Times New Roman"/>
          <w:sz w:val="18"/>
          <w:szCs w:val="18"/>
          <w:color w:val="auto"/>
        </w:rPr>
        <w:t xml:space="preserve">We generate revenue through the sale of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spacing w:after="0" w:line="68" w:lineRule="exact"/>
        <w:rPr>
          <w:sz w:val="20"/>
          <w:szCs w:val="20"/>
          <w:color w:val="auto"/>
        </w:rPr>
      </w:pPr>
    </w:p>
    <w:p>
      <w:pPr>
        <w:ind w:right="40" w:firstLine="551"/>
        <w:spacing w:after="0" w:line="245" w:lineRule="auto"/>
        <w:rPr>
          <w:sz w:val="20"/>
          <w:szCs w:val="20"/>
          <w:color w:val="auto"/>
        </w:rPr>
      </w:pPr>
      <w:r>
        <w:rPr>
          <w:rFonts w:ascii="Times New Roman" w:cs="Times New Roman" w:eastAsia="Times New Roman" w:hAnsi="Times New Roman"/>
          <w:sz w:val="18"/>
          <w:szCs w:val="18"/>
          <w:color w:val="auto"/>
        </w:rPr>
        <w:t>We provide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 accompanying condensed consolidated financial statements include accruals for these promotions and discounts. The accruals are made for invoices that have not yet been received as of the end of the reporting period and are recorded as a reduction of sales, and are based on contract terms and our historical experience with similar programs and require management judgment with respect to estimating customer and consumer participation and performance levels.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08" w:lineRule="exact"/>
        <w:rPr>
          <w:sz w:val="20"/>
          <w:szCs w:val="20"/>
          <w:color w:val="auto"/>
        </w:rPr>
      </w:pPr>
    </w:p>
    <w:p>
      <w:pPr>
        <w:ind w:right="440" w:firstLine="551"/>
        <w:spacing w:after="0" w:line="266" w:lineRule="auto"/>
        <w:rPr>
          <w:sz w:val="20"/>
          <w:szCs w:val="20"/>
          <w:color w:val="auto"/>
        </w:rPr>
      </w:pPr>
      <w:r>
        <w:rPr>
          <w:rFonts w:ascii="Times New Roman" w:cs="Times New Roman" w:eastAsia="Times New Roman" w:hAnsi="Times New Roman"/>
          <w:sz w:val="18"/>
          <w:szCs w:val="18"/>
          <w:color w:val="auto"/>
        </w:rPr>
        <w:t>Cost of goods sold includes the costs of the products sold to customers, inbound and outbound shipping and handling costs, freight and duties, shipping and packaging supplies, and warehouse fulfillment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08"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Gross profit is net sales less cost of goods sold, and gross margin is gross profit as a percentage of net sales. Gross profit has been, and will continue to be, affected by various factors, including the mix of products we sell, the channels through which we sell our products, the promotional environment in the marketplace, manufacturing costs, commodity prices, warehouse costs, and transportation rates. We expect that our gross margin will fluctuate from period to period depending on the interplay of these variables.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80" w:firstLine="551"/>
        <w:spacing w:after="0" w:line="258" w:lineRule="auto"/>
        <w:rPr>
          <w:sz w:val="20"/>
          <w:szCs w:val="20"/>
          <w:color w:val="auto"/>
        </w:rPr>
      </w:pPr>
      <w:r>
        <w:rPr>
          <w:rFonts w:ascii="Times New Roman" w:cs="Times New Roman" w:eastAsia="Times New Roman" w:hAnsi="Times New Roman"/>
          <w:sz w:val="18"/>
          <w:szCs w:val="18"/>
          <w:color w:val="auto"/>
        </w:rPr>
        <w:t>Management believes gross margin provides investors with useful information related to the profitability of our business prior to considering the operating costs incurred. Management uses gross profit and gross margin as key measures in making financial, operating, and planning decisions and in evaluating our performance.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firstLine="551"/>
        <w:spacing w:after="0" w:line="244" w:lineRule="auto"/>
        <w:rPr>
          <w:sz w:val="20"/>
          <w:szCs w:val="20"/>
          <w:color w:val="auto"/>
        </w:rPr>
      </w:pPr>
      <w:r>
        <w:rPr>
          <w:rFonts w:ascii="Times New Roman" w:cs="Times New Roman" w:eastAsia="Times New Roman" w:hAnsi="Times New Roman"/>
          <w:sz w:val="18"/>
          <w:szCs w:val="18"/>
          <w:color w:val="auto"/>
        </w:rPr>
        <w:t>Selling, general and administrative expenses ("SG&amp;A") include marketing expenses, promotional expenses, and general and administrative expenses. Marketing and promotional expenses consist primarily of costs incurred promoting and marketing our products and are primarily driven by investments to grow our business and retain customers.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Unrealized Gain/(Loss) on Derivative Instruments</w:t>
      </w:r>
    </w:p>
    <w:p>
      <w:pPr>
        <w:spacing w:after="0" w:line="108" w:lineRule="exact"/>
        <w:rPr>
          <w:sz w:val="20"/>
          <w:szCs w:val="20"/>
          <w:color w:val="auto"/>
        </w:rPr>
      </w:pPr>
    </w:p>
    <w:p>
      <w:pPr>
        <w:ind w:right="4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gain/(loss) on derivative instruments consists of gains or losses on such foreign currency exchange contracts which are unsettled as of period end. See Part I, Item 3 “Quantitative and Qualitative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Gain/(Loss)</w:t>
      </w:r>
    </w:p>
    <w:p>
      <w:pPr>
        <w:spacing w:after="0" w:line="121"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“—Quantitative and Qualitative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consists of interest income earned on our cash and cash equivalents, and money market funds.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jc w:val="both"/>
        <w:ind w:right="12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in two reporting segments:</w:t>
      </w:r>
    </w:p>
    <w:p>
      <w:pPr>
        <w:spacing w:after="0" w:line="113" w:lineRule="exact"/>
        <w:rPr>
          <w:sz w:val="20"/>
          <w:szCs w:val="20"/>
          <w:color w:val="auto"/>
        </w:rPr>
      </w:pPr>
    </w:p>
    <w:p>
      <w:pPr>
        <w:ind w:left="820" w:hanging="245"/>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Americas</w:t>
      </w:r>
      <w:r>
        <w:rPr>
          <w:rFonts w:ascii="Times New Roman" w:cs="Times New Roman" w:eastAsia="Times New Roman" w:hAnsi="Times New Roman"/>
          <w:sz w:val="18"/>
          <w:szCs w:val="18"/>
          <w:color w:val="auto"/>
        </w:rPr>
        <w:t>—The Americas segment is comprised of our operations in the Americas region, primarily in the United States and Canada.</w:t>
      </w:r>
    </w:p>
    <w:p>
      <w:pPr>
        <w:spacing w:after="0" w:line="117" w:lineRule="exact"/>
        <w:rPr>
          <w:rFonts w:ascii="Times New Roman" w:cs="Times New Roman" w:eastAsia="Times New Roman" w:hAnsi="Times New Roman"/>
          <w:sz w:val="18"/>
          <w:szCs w:val="18"/>
          <w:color w:val="auto"/>
        </w:rPr>
      </w:pPr>
    </w:p>
    <w:p>
      <w:pPr>
        <w:ind w:left="820" w:right="280" w:hanging="245"/>
        <w:spacing w:after="0" w:line="271"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w:t>
      </w:r>
      <w:r>
        <w:rPr>
          <w:rFonts w:ascii="Times New Roman" w:cs="Times New Roman" w:eastAsia="Times New Roman" w:hAnsi="Times New Roman"/>
          <w:sz w:val="18"/>
          <w:szCs w:val="18"/>
          <w:color w:val="auto"/>
        </w:rPr>
        <w:t>—The International segment is comprised of our operations primarily in Europe, the Middle East, and the Asia Pacific regions,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includes the Company’s procurement arm.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segment derives its revenues from the following product categories:</w:t>
      </w:r>
    </w:p>
    <w:p>
      <w:pPr>
        <w:spacing w:after="0" w:line="113" w:lineRule="exact"/>
        <w:rPr>
          <w:sz w:val="20"/>
          <w:szCs w:val="20"/>
          <w:color w:val="auto"/>
        </w:rPr>
      </w:pPr>
    </w:p>
    <w:p>
      <w:pPr>
        <w:ind w:left="820" w:right="40" w:hanging="245"/>
        <w:spacing w:after="0" w:line="271"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Vita Coco 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For these products, control is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transferred upon customer receipt, at which point the Company recognizes the transaction price for the product as revenue.</w:t>
      </w:r>
    </w:p>
    <w:p>
      <w:pPr>
        <w:spacing w:after="0" w:line="100" w:lineRule="exact"/>
        <w:rPr>
          <w:sz w:val="20"/>
          <w:szCs w:val="20"/>
          <w:color w:val="auto"/>
        </w:rPr>
      </w:pPr>
    </w:p>
    <w:p>
      <w:pPr>
        <w:ind w:left="820" w:right="260" w:hanging="245"/>
        <w:spacing w:after="0" w:line="251"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Private Label </w:t>
      </w:r>
      <w:r>
        <w:rPr>
          <w:rFonts w:ascii="Times New Roman" w:cs="Times New Roman" w:eastAsia="Times New Roman" w:hAnsi="Times New Roman"/>
          <w:sz w:val="18"/>
          <w:szCs w:val="18"/>
          <w:color w:val="auto"/>
        </w:rPr>
        <w:t>—This product category consists of all private label product offerings, which includes coconut water and coconut oil.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65" w:lineRule="exact"/>
        <w:rPr>
          <w:rFonts w:ascii="Times New Roman" w:cs="Times New Roman" w:eastAsia="Times New Roman" w:hAnsi="Times New Roman"/>
          <w:sz w:val="18"/>
          <w:szCs w:val="18"/>
          <w:color w:val="auto"/>
        </w:rPr>
      </w:pPr>
    </w:p>
    <w:p>
      <w:pPr>
        <w:ind w:left="820" w:right="160" w:hanging="245"/>
        <w:spacing w:after="0" w:line="25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consists of all other products,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extensions beyond coconut water, consisting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coconut milk products, including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product offerings;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oil sold internationally; and other revenue transactions (e.g., bulk product sales). For these products, control is transferred upon customer receipt, at which point the Company recognizes the transaction price for the product as revenue.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2025 and 2024</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2025 and 2024, respectively:</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tcBorders>
              <w:bottom w:val="single" w:sz="8" w:color="CCEEFF"/>
            </w:tcBorders>
            <w:vMerge w:val="continue"/>
          </w:tcPr>
          <w:p>
            <w:pPr>
              <w:spacing w:after="0"/>
              <w:rPr>
                <w:sz w:val="16"/>
                <w:szCs w:val="16"/>
                <w:color w:val="auto"/>
              </w:rPr>
            </w:pPr>
          </w:p>
        </w:tc>
        <w:tc>
          <w:tcPr>
            <w:tcW w:w="3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9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9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9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9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9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gain/(loss) on derivative instrument</w:t>
            </w: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w:t>
            </w:r>
          </w:p>
        </w:tc>
        <w:tc>
          <w:tcPr>
            <w:tcW w:w="3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39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9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39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273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46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4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comparative summary of net sales by operating segment and product category: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60" w:type="dxa"/>
            <w:vAlign w:val="bottom"/>
          </w:tcPr>
          <w:p>
            <w:pPr>
              <w:spacing w:after="0"/>
              <w:rPr>
                <w:sz w:val="13"/>
                <w:szCs w:val="13"/>
                <w:color w:val="auto"/>
              </w:rPr>
            </w:pPr>
          </w:p>
        </w:tc>
        <w:tc>
          <w:tcPr>
            <w:tcW w:w="122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16"/>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Americas segment</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Vita Coco Coconut Water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Label</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130.2 %</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112,600</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16,509</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0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segment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Vita Coco Coconut Water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0" w:type="dxa"/>
            <w:vAlign w:val="bottom"/>
          </w:tcPr>
          <w:p>
            <w:pPr>
              <w:spacing w:after="0"/>
              <w:rPr>
                <w:sz w:val="1"/>
                <w:szCs w:val="1"/>
                <w:color w:val="auto"/>
              </w:rPr>
            </w:pPr>
          </w:p>
        </w:tc>
      </w:tr>
      <w:tr>
        <w:trPr>
          <w:trHeight w:val="229"/>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Label</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For the three months ended March 31, 2025, the primary driver of the consolidated net sales increase of 17.2% was strong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volume growth.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net sales increased 25.4%, with a case equivalents ("CE") volume increase of 25.2%. This was partially offset by a 11.8% decrease in private label net sales, which was in part due to the transition out of private label coconut oil sales to a major customer, partially offset by higher private label coconut water volumes.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Volume in Case Equivalents</w:t>
      </w:r>
    </w:p>
    <w:p>
      <w:pPr>
        <w:spacing w:after="0" w:line="11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comparative summary of the percentage change in our volume in CE for the three months ended March 31, 2025 compared to the three months ended March 31, 2024, by operating segment and product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285750</wp:posOffset>
            </wp:positionV>
            <wp:extent cx="44145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Percentage Change - Three Months Ended March 31, 2025 vs. 2024</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366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7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240" w:type="dxa"/>
            <w:vAlign w:val="bottom"/>
            <w:tcBorders>
              <w:top w:val="single" w:sz="8" w:color="auto"/>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Vita Coco Coconut Water</w:t>
            </w:r>
          </w:p>
        </w:tc>
        <w:tc>
          <w:tcPr>
            <w:tcW w:w="1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30"/>
        </w:trPr>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Private Label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187.8 %</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172.4 %</w:t>
            </w:r>
          </w:p>
        </w:tc>
      </w:tr>
      <w:tr>
        <w:trPr>
          <w:trHeight w:val="22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volume (CE)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0"/>
        </w:trPr>
        <w:tc>
          <w:tcPr>
            <w:tcW w:w="36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Note: A CE is a standard volume measure used by management, which is defined as a case of 12 bottles of 330ml liquid beverages or the same liter volume of oil.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International, Other excludes minor volume that is treated as zero 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 Segment</w:t>
      </w:r>
    </w:p>
    <w:p>
      <w:pPr>
        <w:spacing w:after="0" w:line="11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 xml:space="preserve">Americas net sales increased $16.5 million, or 17.2%, to $112.6 million for the three months ended March 31, 2025 from $96.1 million for the three months ended March 31, 2024. The increase was primarily driven by CE volume growth of 23.5%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and private label coconut water growth, partially offset by private label oil due to the transition out of private label coconut oil at a major customer.</w:t>
      </w:r>
    </w:p>
    <w:p>
      <w:pPr>
        <w:spacing w:after="0" w:line="174" w:lineRule="exact"/>
        <w:rPr>
          <w:sz w:val="20"/>
          <w:szCs w:val="20"/>
          <w:color w:val="auto"/>
        </w:rPr>
      </w:pPr>
    </w:p>
    <w:p>
      <w:pPr>
        <w:ind w:right="4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Coconut Water net sales increased $16.6 million, or 23.9%, to $86.1 million for the three months ended March 31, 2025, from $69.5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2024. The increase was the result of CE volume growth of 23.5% due to increased demand.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Private label net sales decreased $3.1 million, or 12.7%, to $21.2 million for the three months ended March 31, 2025, from $24.3 million for the three months ended March 31, 2024, due to a decrease in the private label coconut oil business, resulting in CE volume decline of 2.3%. The decrease was partially offset by 7.2% CE volume growth in private label coconut water.</w:t>
      </w:r>
    </w:p>
    <w:p>
      <w:pPr>
        <w:spacing w:after="0" w:line="176"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 xml:space="preserve">Net sales from Other products increased by $3.0 million, or 130.2%, to $5.3 million for the three months ended March 31, 2025 from $2.3 million for the three months ended March 31, 2024, primarily due to the national rollout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Segment</w:t>
      </w:r>
    </w:p>
    <w:p>
      <w:pPr>
        <w:spacing w:after="0" w:line="11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International net sales increased by $2.7 million, or 17.4%, to $18.3 million for the three months ended March 31, 2025, from $15.6 million for the three months ended March 31, 2024. The increase of 27.2% is primarily driven by CE volume growth in Germany and the United Kingdom.</w:t>
      </w:r>
    </w:p>
    <w:p>
      <w:pPr>
        <w:spacing w:after="0" w:line="160" w:lineRule="exact"/>
        <w:rPr>
          <w:sz w:val="20"/>
          <w:szCs w:val="20"/>
          <w:color w:val="auto"/>
        </w:rPr>
      </w:pPr>
    </w:p>
    <w:p>
      <w:pPr>
        <w:ind w:right="3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Coconut Water net sales increased by $3.5 million, or 36.3%, to $13.2 million for the three months ended March 31, 2025, from $9.7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2024. The increase was driven by higher volume in both Europe and the Asia Pacific region due to strong demand of our product.</w:t>
      </w:r>
    </w:p>
    <w:p>
      <w:pPr>
        <w:spacing w:after="0" w:line="175"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Private label net sales decreased $0.4 million, or 7.6%, to $4.8 million for the three months ended March 31, 2025 from $5.2 million for the three months ended March 31, 2024. The decrease was driven primarily by a decrease in the private label coconut oil business, partially offset by growth in private label water.</w:t>
      </w:r>
    </w:p>
    <w:p>
      <w:pPr>
        <w:spacing w:after="0" w:line="174" w:lineRule="exact"/>
        <w:rPr>
          <w:sz w:val="20"/>
          <w:szCs w:val="20"/>
          <w:color w:val="auto"/>
        </w:rPr>
      </w:pPr>
    </w:p>
    <w:p>
      <w:pPr>
        <w:ind w:right="200" w:firstLine="486"/>
        <w:spacing w:after="0" w:line="284" w:lineRule="auto"/>
        <w:rPr>
          <w:sz w:val="20"/>
          <w:szCs w:val="20"/>
          <w:color w:val="auto"/>
        </w:rPr>
      </w:pPr>
      <w:r>
        <w:rPr>
          <w:rFonts w:ascii="Times New Roman" w:cs="Times New Roman" w:eastAsia="Times New Roman" w:hAnsi="Times New Roman"/>
          <w:sz w:val="18"/>
          <w:szCs w:val="18"/>
          <w:color w:val="auto"/>
        </w:rPr>
        <w:t xml:space="preserve">Net sales from Other products decreased 51.3% for the three months ended March 31, 2025, primarily driven by the decrease in sales of </w:t>
      </w:r>
      <w:r>
        <w:rPr>
          <w:rFonts w:ascii="Times New Roman" w:cs="Times New Roman" w:eastAsia="Times New Roman" w:hAnsi="Times New Roman"/>
          <w:sz w:val="18"/>
          <w:szCs w:val="18"/>
          <w:i w:val="1"/>
          <w:iCs w:val="1"/>
          <w:color w:val="auto"/>
        </w:rPr>
        <w:t>Vita Coc</w:t>
      </w:r>
      <w:r>
        <w:rPr>
          <w:rFonts w:ascii="Times New Roman" w:cs="Times New Roman" w:eastAsia="Times New Roman" w:hAnsi="Times New Roman"/>
          <w:sz w:val="18"/>
          <w:szCs w:val="18"/>
          <w:color w:val="auto"/>
        </w:rPr>
        <w:t>o coconut oil.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22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6"/>
                <w:szCs w:val="16"/>
                <w:color w:val="auto"/>
              </w:rPr>
            </w:pPr>
          </w:p>
        </w:tc>
        <w:tc>
          <w:tcPr>
            <w:tcW w:w="1980" w:type="dxa"/>
            <w:vAlign w:val="bottom"/>
            <w:gridSpan w:val="3"/>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 segment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70,288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55,219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segment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0" w:type="dxa"/>
            <w:vAlign w:val="bottom"/>
          </w:tcPr>
          <w:p>
            <w:pPr>
              <w:spacing w:after="0"/>
              <w:rPr>
                <w:sz w:val="1"/>
                <w:szCs w:val="1"/>
                <w:color w:val="auto"/>
              </w:rPr>
            </w:pPr>
          </w:p>
        </w:tc>
      </w:tr>
      <w:tr>
        <w:trPr>
          <w:trHeight w:val="223"/>
        </w:trPr>
        <w:tc>
          <w:tcPr>
            <w:tcW w:w="6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82,836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64,521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18,315</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 segment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42,312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40,872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segment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6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48,085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47,177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Americas segment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 segment</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57"/>
        </w:trPr>
        <w:tc>
          <w:tcPr>
            <w:tcW w:w="6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80" w:firstLine="486"/>
        <w:spacing w:after="0" w:line="250" w:lineRule="auto"/>
        <w:rPr>
          <w:sz w:val="20"/>
          <w:szCs w:val="20"/>
          <w:color w:val="auto"/>
        </w:rPr>
      </w:pPr>
      <w:r>
        <w:rPr>
          <w:rFonts w:ascii="Times New Roman" w:cs="Times New Roman" w:eastAsia="Times New Roman" w:hAnsi="Times New Roman"/>
          <w:sz w:val="18"/>
          <w:szCs w:val="18"/>
          <w:color w:val="auto"/>
        </w:rPr>
        <w:t>On a consolidated basis, cost of goods sold increased by $18.3 million, or 28.4%, to $82.8 million for the three months ended March 31, 2025, from $64.5 million for the three months ended March 31, 2024. On a consolidated and segment basis, the increase was primarily driven by higher sales volume and higher rates for finished goods and transportation costs.</w:t>
      </w:r>
    </w:p>
    <w:p>
      <w:pPr>
        <w:spacing w:after="0" w:line="17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On a consolidated basis, gross profit increased by $0.9 million, or 1.9%, to $48.1 million for the three months ended March 31, 2025, from $47.2 million for the three months ended March 31, 2024. The increase in gross profit resulted from higher CE volume and slightly improved net pricing on </w:t>
      </w:r>
      <w:r>
        <w:rPr>
          <w:rFonts w:ascii="Times New Roman" w:cs="Times New Roman" w:eastAsia="Times New Roman" w:hAnsi="Times New Roman"/>
          <w:sz w:val="18"/>
          <w:szCs w:val="18"/>
          <w:i w:val="1"/>
          <w:iCs w:val="1"/>
          <w:color w:val="auto"/>
        </w:rPr>
        <w:t>Vita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Coco </w:t>
      </w:r>
      <w:r>
        <w:rPr>
          <w:rFonts w:ascii="Times New Roman" w:cs="Times New Roman" w:eastAsia="Times New Roman" w:hAnsi="Times New Roman"/>
          <w:sz w:val="18"/>
          <w:szCs w:val="18"/>
          <w:color w:val="auto"/>
        </w:rPr>
        <w:t>Coconut Water, which were partially offset by higher finished goods and transportation costs. The decrease in gross margin resulted from higher year-on-year ocean freight rates and finished goods product costs, partially offset by branded coconut water pricing and favorable product mix.</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04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80" w:type="dxa"/>
            <w:vAlign w:val="bottom"/>
          </w:tcPr>
          <w:p>
            <w:pPr>
              <w:spacing w:after="0"/>
              <w:rPr>
                <w:sz w:val="13"/>
                <w:szCs w:val="13"/>
                <w:color w:val="auto"/>
              </w:rPr>
            </w:pPr>
          </w:p>
        </w:tc>
        <w:tc>
          <w:tcPr>
            <w:tcW w:w="2080" w:type="dxa"/>
            <w:vAlign w:val="bottom"/>
            <w:gridSpan w:val="3"/>
            <w:vMerge w:val="restart"/>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6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7"/>
                <w:szCs w:val="17"/>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1" w:lineRule="exact"/>
        <w:rPr>
          <w:sz w:val="20"/>
          <w:szCs w:val="20"/>
          <w:color w:val="auto"/>
        </w:rPr>
      </w:pPr>
    </w:p>
    <w:p>
      <w:pPr>
        <w:ind w:right="180" w:firstLine="486"/>
        <w:spacing w:after="0"/>
        <w:rPr>
          <w:sz w:val="20"/>
          <w:szCs w:val="20"/>
          <w:color w:val="auto"/>
        </w:rPr>
      </w:pPr>
      <w:r>
        <w:rPr>
          <w:rFonts w:ascii="Times New Roman" w:cs="Times New Roman" w:eastAsia="Times New Roman" w:hAnsi="Times New Roman"/>
          <w:sz w:val="18"/>
          <w:szCs w:val="18"/>
          <w:color w:val="auto"/>
        </w:rPr>
        <w:t>During the three months ended March 31, 2025, SG&amp;A increased by $0.6 million, or 2.0%, versus the three months ended March 31, 2024. The increase in SG&amp;A expense was primarily driven by an increase of $1.8 million in personnel related expenses for the three months ended March 31, 2025 versus the prior year period, and $0.4 million related to the overlap of rent expense for the new New York and London offices with that of the current offices. This increase was partially offset by a $2.0 million decrease in selling related expenses.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9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60" w:type="dxa"/>
            <w:vAlign w:val="bottom"/>
            <w:vMerge w:val="restart"/>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tcBorders>
              <w:bottom w:val="single" w:sz="8" w:color="CCEEFF"/>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15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Gain/(Loss) on Derivative Instruments</w:t>
      </w:r>
    </w:p>
    <w:p>
      <w:pPr>
        <w:spacing w:after="0" w:line="11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we recorded gains of $2.8 million and losses of $2.5 million, respectively, for the mark-to-market changes in fair value on the outstanding derivative instruments for forward foreign currency exchange contracts, with the largest gain for the three months ended March 31, 2025 related to the contracts hedging the BRL and THB.</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Gain</w:t>
      </w:r>
    </w:p>
    <w:p>
      <w:pPr>
        <w:spacing w:after="0" w:line="11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For the three months ended March 31, 2025, the change in foreign currency gain was $0.5 million as compared to March 31, 2024. The change in all periods was a result of movements in various foreign currency exchange rates related to transactions denominated in currencies other than the functional currency. See "Quantitative and Qualitative Disclosures about Market Risk - </w:t>
      </w:r>
      <w:r>
        <w:rPr>
          <w:rFonts w:ascii="Times New Roman" w:cs="Times New Roman" w:eastAsia="Times New Roman" w:hAnsi="Times New Roman"/>
          <w:sz w:val="18"/>
          <w:szCs w:val="18"/>
          <w:i w:val="1"/>
          <w:iCs w:val="1"/>
          <w:color w:val="auto"/>
        </w:rPr>
        <w:t>Foreign Currency Exchange Risk</w:t>
      </w:r>
      <w:r>
        <w:rPr>
          <w:rFonts w:ascii="Times New Roman" w:cs="Times New Roman" w:eastAsia="Times New Roman" w:hAnsi="Times New Roman"/>
          <w:sz w:val="18"/>
          <w:szCs w:val="18"/>
          <w:color w:val="auto"/>
        </w:rPr>
        <w:t>" for further information.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 in interest income was immaterial.</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2025, the change in Other income is due to the sale of intellectual property.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0" w:lineRule="exact"/>
        <w:rPr>
          <w:sz w:val="20"/>
          <w:szCs w:val="20"/>
          <w:color w:val="auto"/>
        </w:rPr>
      </w:pP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2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gridSpan w:val="3"/>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0" w:type="dxa"/>
            <w:vAlign w:val="bottom"/>
          </w:tcPr>
          <w:p>
            <w:pPr>
              <w:spacing w:after="0"/>
              <w:rPr>
                <w:sz w:val="1"/>
                <w:szCs w:val="1"/>
                <w:color w:val="auto"/>
              </w:rPr>
            </w:pP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quarterly income tax provision is based on an estimated annual effective tax rate applied to our consolidated year-to-date pre-tax income or loss. The effective income tax rate is based upon the estimated income for the year, the composition of that income in different countries, and adjustments, if any, in the applicable quarterly periods for the potential tax consequences, benefits, resolutions of tax audits or other tax contingencies.</w:t>
      </w:r>
    </w:p>
    <w:p>
      <w:pPr>
        <w:spacing w:after="0" w:line="200" w:lineRule="exact"/>
        <w:rPr>
          <w:sz w:val="20"/>
          <w:szCs w:val="20"/>
          <w:color w:val="auto"/>
        </w:rPr>
      </w:pPr>
    </w:p>
    <w:p>
      <w:pPr>
        <w:spacing w:after="0" w:line="205" w:lineRule="exact"/>
        <w:rPr>
          <w:sz w:val="20"/>
          <w:szCs w:val="20"/>
          <w:color w:val="auto"/>
        </w:rPr>
      </w:pPr>
    </w:p>
    <w:p>
      <w:pPr>
        <w:ind w:right="40" w:firstLine="486"/>
        <w:spacing w:after="0" w:line="239" w:lineRule="auto"/>
        <w:rPr>
          <w:sz w:val="20"/>
          <w:szCs w:val="20"/>
          <w:color w:val="auto"/>
        </w:rPr>
      </w:pPr>
      <w:r>
        <w:rPr>
          <w:rFonts w:ascii="Times New Roman" w:cs="Times New Roman" w:eastAsia="Times New Roman" w:hAnsi="Times New Roman"/>
          <w:sz w:val="18"/>
          <w:szCs w:val="18"/>
          <w:color w:val="auto"/>
        </w:rPr>
        <w:t>For the three months ended March 31, 2025 and 2024, our effective tax rate was 22.5% and 21.0%, respectively. The effective tax rate for the period is higher than the U.S. statutory rate of 21% primarily as a result of state income taxes for the U.S. company and other nondeductible expenses for tax purposes, and is partially offset by lower statutory tax rates in countries outside the U.S. that the Company operates in. The increase in the effective tax rate when comparing the periods was primarily driven by the increase in pre-tax profits in jurisdictions outside the U.S. with higher statutory tax rates and the relative impact of other nondeductible expenses in relation to the pre-tax profits.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180" w:lineRule="exact"/>
        <w:rPr>
          <w:sz w:val="20"/>
          <w:szCs w:val="20"/>
          <w:color w:val="auto"/>
        </w:rPr>
      </w:pPr>
    </w:p>
    <w:p>
      <w:pPr>
        <w:jc w:val="both"/>
        <w:ind w:right="120" w:firstLine="486"/>
        <w:spacing w:after="0" w:line="261" w:lineRule="auto"/>
        <w:rPr>
          <w:sz w:val="20"/>
          <w:szCs w:val="20"/>
          <w:color w:val="auto"/>
        </w:rPr>
      </w:pPr>
      <w:r>
        <w:rPr>
          <w:rFonts w:ascii="Times New Roman" w:cs="Times New Roman" w:eastAsia="Times New Roman" w:hAnsi="Times New Roman"/>
          <w:sz w:val="18"/>
          <w:szCs w:val="18"/>
          <w:color w:val="auto"/>
        </w:rPr>
        <w:t>These non-GAAP measures are a key metric used by management and our Board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80"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from net income to EBITDA and Adjusted EBITDA is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1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4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(a)</w:t>
            </w:r>
          </w:p>
        </w:tc>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(gain)/loss on derivative instruments (b)</w:t>
            </w:r>
          </w:p>
        </w:tc>
        <w:tc>
          <w:tcPr>
            <w:tcW w:w="4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(gain)/loss (b)</w:t>
            </w:r>
          </w:p>
        </w:tc>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 (c)</w:t>
            </w:r>
          </w:p>
        </w:tc>
        <w:tc>
          <w:tcPr>
            <w:tcW w:w="44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4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440" w:type="dxa"/>
            <w:vAlign w:val="bottom"/>
            <w:vMerge w:val="restart"/>
          </w:tcPr>
          <w:p>
            <w:pPr>
              <w:jc w:val="right"/>
              <w:ind w:right="329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5"/>
        </w:trPr>
        <w:tc>
          <w:tcPr>
            <w:tcW w:w="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0" w:type="dxa"/>
            <w:vAlign w:val="bottom"/>
            <w:tcBorders>
              <w:bottom w:val="single" w:sz="8" w:color="9A9A9A"/>
            </w:tcBorders>
          </w:tcPr>
          <w:p>
            <w:pPr>
              <w:spacing w:after="0"/>
              <w:rPr>
                <w:sz w:val="7"/>
                <w:szCs w:val="7"/>
                <w:color w:val="auto"/>
              </w:rPr>
            </w:pPr>
          </w:p>
        </w:tc>
        <w:tc>
          <w:tcPr>
            <w:tcW w:w="462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39" w:lineRule="exact"/>
        <w:rPr>
          <w:sz w:val="20"/>
          <w:szCs w:val="20"/>
          <w:color w:val="auto"/>
        </w:rPr>
      </w:pPr>
    </w:p>
    <w:p>
      <w:pPr>
        <w:ind w:left="340" w:right="440" w:hanging="332"/>
        <w:spacing w:after="0" w:line="261" w:lineRule="auto"/>
        <w:tabs>
          <w:tab w:leader="none" w:pos="33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related to stock-based compensation, which vary from period to period depending on volume and vesting timing of awards and forfeitures. We adjusted for these charges to facilitate comparison from period to period.</w:t>
      </w:r>
    </w:p>
    <w:p>
      <w:pPr>
        <w:ind w:left="340" w:right="780" w:hanging="332"/>
        <w:spacing w:after="0" w:line="250"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or losses on derivative instruments and foreign currency gains or losses are not considered in our evaluation of our ongoing performance.</w:t>
      </w:r>
    </w:p>
    <w:p>
      <w:pPr>
        <w:ind w:left="340" w:right="80" w:hanging="332"/>
        <w:spacing w:after="0" w:line="253" w:lineRule="auto"/>
        <w:tabs>
          <w:tab w:leader="none" w:pos="33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$0.6 million related to a one-time 2023 incentive program that is measured based on full-year 2025 performance and is structured differently from our other ongoing employee incentive programs, and $0.4 million of non-cash rent charges related to our new New York City office that overlap with our current New York City office rent charges. These amounts were offset by $0.1 million of partial recoveries of prepaid inventory from a supplier (refer to the 2024 Form 10-K for further details) and a gain of $0.2 million from a sale of intellectual property.</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40" w:firstLine="486"/>
        <w:spacing w:after="0" w:line="263"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cash generated from our business operations and proceeds on borrowings through our credit facilities and term loans. We had $153.6 million and $164.7 million of cash and cash equivalents as of March 31, 2025 and December 31, 2024, respectively. From time to time, we may supplement our liquidity needs with incremental borrowing capacity under the 2020 Credit Facility.</w:t>
      </w:r>
    </w:p>
    <w:p>
      <w:pPr>
        <w:spacing w:after="0" w:line="40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Considering recent market conditions and our business assumptions, we have reevaluated our operating cash flows and cash requirements and believe that current cash, cash equivalents, future cash flows from operating activities and cash available under our 2020 Credit Facility will be sufficient to meet our anticipated cash needs, including working capital needs, capital expenditures and contractual obligations for at least 12 months from the issuance date of the condensed consolidated financial statements included herein and the foreseeable future.</w:t>
      </w:r>
    </w:p>
    <w:p>
      <w:pPr>
        <w:spacing w:after="0" w:line="18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operating model has historically provided us with a low cost, nimble, and scalable supply chain, which allows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sources and uses of cash:</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6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r>
      <w:tr>
        <w:trPr>
          <w:trHeight w:val="23"/>
        </w:trPr>
        <w:tc>
          <w:tcPr>
            <w:tcW w:w="4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main source of operating cash is payments received from our customers. Our primary use of cash in operating activities are for cost of goods sold and SG&amp;A expenses.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March 31, 2025, cash used in operating activities increased $9.5 million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driven by timing differences in the collection of accounts receivable and payments made in the three months ended March 31, 2025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inventory build-up during the end of 2024. The decreases in operating cash used were partly offset by an increase in net income after non-cash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w:t>
      </w: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cash used in investing activities was $0.6 million as compared to $0.1 million for the three months ended March 31, 2024. The increase was primarily due to capital expenditures related to the new New York and London offices.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 w:lineRule="exact"/>
        <w:rPr>
          <w:sz w:val="20"/>
          <w:szCs w:val="20"/>
          <w:color w:val="auto"/>
        </w:rPr>
      </w:pPr>
    </w:p>
    <w:p>
      <w:pPr>
        <w:ind w:right="40" w:firstLine="486"/>
        <w:spacing w:after="0" w:line="238"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compared to the three months ended March 31, 2024, net cash used by financing activities decreased by $8.0 million, primarily driven by less share repurchases in the three months ended March 31, 2025 compared to the prior year period. See Note 10, </w:t>
      </w:r>
      <w:r>
        <w:rPr>
          <w:rFonts w:ascii="Times New Roman" w:cs="Times New Roman" w:eastAsia="Times New Roman" w:hAnsi="Times New Roman"/>
          <w:sz w:val="18"/>
          <w:szCs w:val="18"/>
          <w:i w:val="1"/>
          <w:iCs w:val="1"/>
          <w:color w:val="auto"/>
        </w:rPr>
        <w:t xml:space="preserve">Stockholders' Equity, </w:t>
      </w:r>
      <w:r>
        <w:rPr>
          <w:rFonts w:ascii="Times New Roman" w:cs="Times New Roman" w:eastAsia="Times New Roman" w:hAnsi="Times New Roman"/>
          <w:sz w:val="18"/>
          <w:szCs w:val="18"/>
          <w:color w:val="auto"/>
        </w:rPr>
        <w:t>in our condensed consolidated financial statements included in this Quarterly Report on Form 10-Q, for further discussion on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repurchases.</w:t>
      </w:r>
    </w:p>
    <w:p>
      <w:pPr>
        <w:spacing w:after="0" w:line="3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an immaterial amount of debt outstanding as of March 31, 2025 and December 31, 2024, which was related to vehicle loans.</w:t>
      </w:r>
    </w:p>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ind w:right="140" w:firstLine="551"/>
        <w:spacing w:after="0" w:line="282" w:lineRule="auto"/>
        <w:rPr>
          <w:sz w:val="20"/>
          <w:szCs w:val="20"/>
          <w:color w:val="auto"/>
        </w:rPr>
      </w:pPr>
      <w:r>
        <w:rPr>
          <w:rFonts w:ascii="Times New Roman" w:cs="Times New Roman" w:eastAsia="Times New Roman" w:hAnsi="Times New Roman"/>
          <w:sz w:val="18"/>
          <w:szCs w:val="18"/>
          <w:color w:val="auto"/>
        </w:rPr>
        <w:t>In May 2020, the Company entered into the 2020 Credit Facility, which currently provides for committed borrowings of $60 million. On February 14, 2025, the 2020 Credit Facility was amended, extending the maturity five years to February 13, 2030.</w:t>
      </w:r>
    </w:p>
    <w:p>
      <w:pPr>
        <w:spacing w:after="0" w:line="54" w:lineRule="exact"/>
        <w:rPr>
          <w:sz w:val="20"/>
          <w:szCs w:val="20"/>
          <w:color w:val="auto"/>
        </w:rPr>
      </w:pPr>
    </w:p>
    <w:p>
      <w:pPr>
        <w:ind w:firstLine="551"/>
        <w:spacing w:after="0" w:line="245" w:lineRule="auto"/>
        <w:rPr>
          <w:sz w:val="20"/>
          <w:szCs w:val="20"/>
          <w:color w:val="auto"/>
        </w:rPr>
      </w:pPr>
      <w:r>
        <w:rPr>
          <w:rFonts w:ascii="Times New Roman" w:cs="Times New Roman" w:eastAsia="Times New Roman" w:hAnsi="Times New Roman"/>
          <w:sz w:val="18"/>
          <w:szCs w:val="18"/>
          <w:color w:val="auto"/>
        </w:rPr>
        <w:t>Starting in December 2022, borrowings on the 2020 Credit Facility bear interest at rates based on either: 1) a fluctuating rate per annum determined to be the sum of Daily Simple SOFR plus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was subject to unused commitment fees ranging from 0.10% and 0.20% on the unused amount of the line of credit in the year ended December 31, 2024, with the rate based on the Company’s leverage ratio (as defined in the credit agreement). As of February 14, 2025, the effective date of the amendment, the unused commitment fees ranges from 0.13% and 0.23% on the unused amount of the line of credit, with the rate being based on the Company’s leverage ratio (as defined in the credit agreement).</w:t>
      </w:r>
    </w:p>
    <w:p>
      <w:pPr>
        <w:spacing w:after="0" w:line="73" w:lineRule="exact"/>
        <w:rPr>
          <w:sz w:val="20"/>
          <w:szCs w:val="20"/>
          <w:color w:val="auto"/>
        </w:rPr>
      </w:pPr>
    </w:p>
    <w:p>
      <w:pPr>
        <w:ind w:right="100" w:firstLine="551"/>
        <w:spacing w:after="0" w:line="282" w:lineRule="auto"/>
        <w:rPr>
          <w:sz w:val="20"/>
          <w:szCs w:val="20"/>
          <w:color w:val="auto"/>
        </w:rPr>
      </w:pPr>
      <w:r>
        <w:rPr>
          <w:rFonts w:ascii="Times New Roman" w:cs="Times New Roman" w:eastAsia="Times New Roman" w:hAnsi="Times New Roman"/>
          <w:sz w:val="18"/>
          <w:szCs w:val="18"/>
          <w:color w:val="auto"/>
        </w:rPr>
        <w:t>The outstanding balance on the Revolving Facility was zero as of March 31, 2025 and December 31, 2024, respectively. As of March 31, 2025, we were compliant with all financial covenants.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Vehicle Loans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We periodically enter into vehicle loans. Interest rates on these vehicle loans range from 4.56% to 5.68%. The outstanding balance on the vehicle loans as of March 31, 2025 was less than $0.1 million.</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For additional information,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our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from those described in the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our consolidated financial statements and related disclosures requires us to make estimates and judgments that affect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4"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Operations—Critical Accounting Policies and Significant Judgments and Estimates” in the Form 10-K and the notes to the unaudited condensed consolidated financial statements included in this Quarterly Report on Form 10-Q. During the three months ended March 31, 2025, there were no material changes to our critical accounting policies from those discussed in the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recently adopted and issued accounting pronouncements that may potentially impact our financial position and results of operations is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included in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w:t>
      </w:r>
    </w:p>
    <w:p>
      <w:pPr>
        <w:spacing w:after="0" w:line="212" w:lineRule="exact"/>
        <w:rPr>
          <w:sz w:val="20"/>
          <w:szCs w:val="20"/>
          <w:color w:val="auto"/>
        </w:rPr>
      </w:pPr>
    </w:p>
    <w:p>
      <w:pPr>
        <w:ind w:right="20" w:firstLine="567"/>
        <w:spacing w:after="0" w:line="236" w:lineRule="auto"/>
        <w:rPr>
          <w:sz w:val="20"/>
          <w:szCs w:val="20"/>
          <w:color w:val="auto"/>
        </w:rPr>
      </w:pPr>
      <w:r>
        <w:rPr>
          <w:rFonts w:ascii="Times New Roman" w:cs="Times New Roman" w:eastAsia="Times New Roman" w:hAnsi="Times New Roman"/>
          <w:sz w:val="17"/>
          <w:szCs w:val="17"/>
          <w:color w:val="auto"/>
        </w:rPr>
        <w:t>As of March 31, 2025 and December 31, 2024, the outstanding amounts related to our 2020 Credit Facility incur interest fees at variable interest rates and are affected by changes in the general level of market interest rates. However, there was zero outstanding balance on the 2020 Credit Facility as of</w:t>
      </w:r>
    </w:p>
    <w:p>
      <w:pPr>
        <w:spacing w:after="0"/>
        <w:rPr>
          <w:sz w:val="20"/>
          <w:szCs w:val="20"/>
          <w:color w:val="auto"/>
        </w:rPr>
      </w:pPr>
      <w:r>
        <w:rPr>
          <w:rFonts w:ascii="Times New Roman" w:cs="Times New Roman" w:eastAsia="Times New Roman" w:hAnsi="Times New Roman"/>
          <w:sz w:val="18"/>
          <w:szCs w:val="18"/>
          <w:color w:val="auto"/>
        </w:rPr>
        <w:t>March 31, 2025 and December 31,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condensed consolidated statements of operations appearing elsewhere in this Quarterly Report on Form 10-Q.</w:t>
      </w:r>
    </w:p>
    <w:p>
      <w:pPr>
        <w:spacing w:after="0" w:line="189"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total notional values of our forward exchange contracts were $121.0 million and $107.4 million as of March 31, 2025 and December 31, 2024, respectively. The derivatives on the forward exchange contracts resulted in an unrealized gain of $2.8 million for the three months ended March 31, 2025, and we estimate that a 10% strengthening or weakening of the U.S. dollar would have resulted in an approximately $3.5 million gain or loss.</w:t>
      </w:r>
    </w:p>
    <w:p>
      <w:pPr>
        <w:spacing w:after="0" w:line="17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A portion of our cash and cash equivalents are denominated in foreign currencies. As of March 31, 2025, a 1% change in the value of the U.S. dollar compared to foreign currencies would have caused our cash and cash equivalents to decrease or increase by $0.1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 and Inflation Risks</w:t>
      </w:r>
    </w:p>
    <w:p>
      <w:pPr>
        <w:spacing w:after="0" w:line="12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Inflation generally affects us by increasing our cost of transportation, labor and manufacturing costs. In recent years, we have seen fluctuating transportation costs caused by global supply chain disruptions or geopolitical instability and general inflation effects, which may cause pressure on our costs and margins. More specifically, we source a large amount of our finished goods from international countries, which exposes us to international supply chain inflation, particularly ocean freight, and to changes in the strength of the U.S. dollar. In the three months ended March 31, 2025, general inflationary pressures continue to increase the other elements of our cost of goods and operating expenses. During the first</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quarter of 2025, various tariffs were announced on imports into the U.S. On April 2, 2025, the U.S. announced a new universal baseline tariff of 10%, plus significant additional country-specific tariffs for select trading partners, on all U.S. imports. The reciprocal country-specific tariffs were subsequently paused for 90 days on most countries. The imposition of the baseline 10% tariff will increase our costs of goods sold. The uncertainty of future tariffs could also cause disturbances in ocean shipping capacity that could effect our ability to secure ocean freight containers for our products, and create inflationary effects on our costs, in addition to the direct impact of tariffs.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400" w:firstLine="486"/>
        <w:spacing w:after="0" w:line="281" w:lineRule="auto"/>
        <w:rPr>
          <w:sz w:val="20"/>
          <w:szCs w:val="20"/>
          <w:color w:val="auto"/>
        </w:rPr>
      </w:pPr>
      <w:r>
        <w:rPr>
          <w:rFonts w:ascii="Times New Roman" w:cs="Times New Roman" w:eastAsia="Times New Roman" w:hAnsi="Times New Roman"/>
          <w:sz w:val="17"/>
          <w:szCs w:val="17"/>
          <w:color w:val="auto"/>
        </w:rPr>
        <w:t>We are exposed to concentration of credit risk from our major customers. In the three months ended March 31, 2025, sales to two customers represented approximately 45%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significant additional charges.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March 31, 2025,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Please refer to Part I, Item 1A. "Risk Factors" of the Form 10-K for the fiscal year ended December 31, 2024 for a description of certain significant risks and uncertainties to which our business, financial condition and results of operations are subject. There have been no material changes to these risk factors as of March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sell any equity securities during the three months ended March 31, 2025 that were not registered under the Securities Act.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March 31,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shd w:val="clear" w:color="auto" w:fill="CCEEFF"/>
          </w:tcPr>
          <w:p>
            <w:pPr>
              <w:spacing w:after="0"/>
              <w:rPr>
                <w:sz w:val="17"/>
                <w:szCs w:val="17"/>
                <w:color w:val="auto"/>
              </w:rPr>
            </w:pPr>
          </w:p>
        </w:tc>
        <w:tc>
          <w:tcPr>
            <w:tcW w:w="2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Approximate Dollar Value</w:t>
            </w:r>
          </w:p>
        </w:tc>
        <w:tc>
          <w:tcPr>
            <w:tcW w:w="0" w:type="dxa"/>
            <w:vAlign w:val="bottom"/>
          </w:tcPr>
          <w:p>
            <w:pPr>
              <w:spacing w:after="0"/>
              <w:rPr>
                <w:sz w:val="1"/>
                <w:szCs w:val="1"/>
                <w:color w:val="auto"/>
              </w:rPr>
            </w:pPr>
          </w:p>
        </w:tc>
      </w:tr>
      <w:tr>
        <w:trPr>
          <w:trHeight w:val="176"/>
        </w:trPr>
        <w:tc>
          <w:tcPr>
            <w:tcW w:w="256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Period</w:t>
            </w:r>
          </w:p>
        </w:tc>
        <w:tc>
          <w:tcPr>
            <w:tcW w:w="2120" w:type="dxa"/>
            <w:vAlign w:val="bottom"/>
            <w:vMerge w:val="continue"/>
            <w:shd w:val="clear" w:color="auto" w:fill="CCEEFF"/>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Purchased as Part of</w:t>
            </w:r>
          </w:p>
        </w:tc>
        <w:tc>
          <w:tcPr>
            <w:tcW w:w="2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of Shares That May be</w:t>
            </w:r>
          </w:p>
        </w:tc>
        <w:tc>
          <w:tcPr>
            <w:tcW w:w="0" w:type="dxa"/>
            <w:vAlign w:val="bottom"/>
          </w:tcPr>
          <w:p>
            <w:pPr>
              <w:spacing w:after="0"/>
              <w:rPr>
                <w:sz w:val="1"/>
                <w:szCs w:val="1"/>
                <w:color w:val="auto"/>
              </w:rPr>
            </w:pPr>
          </w:p>
        </w:tc>
      </w:tr>
      <w:tr>
        <w:trPr>
          <w:trHeight w:val="148"/>
        </w:trPr>
        <w:tc>
          <w:tcPr>
            <w:tcW w:w="2560" w:type="dxa"/>
            <w:vAlign w:val="bottom"/>
            <w:vMerge w:val="continue"/>
            <w:shd w:val="clear" w:color="auto" w:fill="CCEEFF"/>
          </w:tcPr>
          <w:p>
            <w:pPr>
              <w:spacing w:after="0"/>
              <w:rPr>
                <w:sz w:val="12"/>
                <w:szCs w:val="12"/>
                <w:color w:val="auto"/>
              </w:rPr>
            </w:pPr>
          </w:p>
        </w:tc>
        <w:tc>
          <w:tcPr>
            <w:tcW w:w="2120" w:type="dxa"/>
            <w:vAlign w:val="bottom"/>
            <w:vMerge w:val="restart"/>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Purchased</w:t>
            </w:r>
          </w:p>
        </w:tc>
        <w:tc>
          <w:tcPr>
            <w:tcW w:w="2080" w:type="dxa"/>
            <w:vAlign w:val="bottom"/>
            <w:vMerge w:val="restart"/>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rPr>
              <w:t>Share</w:t>
            </w:r>
          </w:p>
        </w:tc>
        <w:tc>
          <w:tcPr>
            <w:tcW w:w="2220" w:type="dxa"/>
            <w:vAlign w:val="bottom"/>
            <w:vMerge w:val="restart"/>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rPr>
              <w:t>Publicly Announced Plans</w:t>
            </w:r>
          </w:p>
        </w:tc>
        <w:tc>
          <w:tcPr>
            <w:tcW w:w="2120" w:type="dxa"/>
            <w:vAlign w:val="bottom"/>
            <w:vMerge w:val="restart"/>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Purchased Under the Plans</w:t>
            </w:r>
          </w:p>
        </w:tc>
        <w:tc>
          <w:tcPr>
            <w:tcW w:w="0" w:type="dxa"/>
            <w:vAlign w:val="bottom"/>
          </w:tcPr>
          <w:p>
            <w:pPr>
              <w:spacing w:after="0"/>
              <w:rPr>
                <w:sz w:val="1"/>
                <w:szCs w:val="1"/>
                <w:color w:val="auto"/>
              </w:rPr>
            </w:pPr>
          </w:p>
        </w:tc>
      </w:tr>
      <w:tr>
        <w:trPr>
          <w:trHeight w:val="32"/>
        </w:trPr>
        <w:tc>
          <w:tcPr>
            <w:tcW w:w="2560" w:type="dxa"/>
            <w:vAlign w:val="bottom"/>
            <w:shd w:val="clear" w:color="auto" w:fill="CCEEFF"/>
          </w:tcPr>
          <w:p>
            <w:pPr>
              <w:spacing w:after="0"/>
              <w:rPr>
                <w:sz w:val="2"/>
                <w:szCs w:val="2"/>
                <w:color w:val="auto"/>
              </w:rPr>
            </w:pPr>
          </w:p>
        </w:tc>
        <w:tc>
          <w:tcPr>
            <w:tcW w:w="2120" w:type="dxa"/>
            <w:vAlign w:val="bottom"/>
            <w:vMerge w:val="continue"/>
            <w:shd w:val="clear" w:color="auto" w:fill="CCEEFF"/>
          </w:tcPr>
          <w:p>
            <w:pPr>
              <w:spacing w:after="0"/>
              <w:rPr>
                <w:sz w:val="2"/>
                <w:szCs w:val="2"/>
                <w:color w:val="auto"/>
              </w:rPr>
            </w:pPr>
          </w:p>
        </w:tc>
        <w:tc>
          <w:tcPr>
            <w:tcW w:w="2080" w:type="dxa"/>
            <w:vAlign w:val="bottom"/>
            <w:vMerge w:val="continue"/>
            <w:shd w:val="clear" w:color="auto" w:fill="CCEEFF"/>
          </w:tcPr>
          <w:p>
            <w:pPr>
              <w:spacing w:after="0"/>
              <w:rPr>
                <w:sz w:val="2"/>
                <w:szCs w:val="2"/>
                <w:color w:val="auto"/>
              </w:rPr>
            </w:pPr>
          </w:p>
        </w:tc>
        <w:tc>
          <w:tcPr>
            <w:tcW w:w="2220" w:type="dxa"/>
            <w:vAlign w:val="bottom"/>
            <w:vMerge w:val="continue"/>
            <w:shd w:val="clear" w:color="auto" w:fill="CCEEFF"/>
          </w:tcPr>
          <w:p>
            <w:pPr>
              <w:spacing w:after="0"/>
              <w:rPr>
                <w:sz w:val="2"/>
                <w:szCs w:val="2"/>
                <w:color w:val="auto"/>
              </w:rPr>
            </w:pPr>
          </w:p>
        </w:tc>
        <w:tc>
          <w:tcPr>
            <w:tcW w:w="212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5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20" w:type="dxa"/>
            <w:vAlign w:val="bottom"/>
            <w:shd w:val="clear" w:color="auto" w:fill="CCEEFF"/>
          </w:tcPr>
          <w:p>
            <w:pPr>
              <w:jc w:val="center"/>
              <w:spacing w:after="0" w:line="237" w:lineRule="exact"/>
              <w:rPr>
                <w:sz w:val="20"/>
                <w:szCs w:val="20"/>
                <w:color w:val="auto"/>
              </w:rPr>
            </w:pPr>
            <w:r>
              <w:rPr>
                <w:rFonts w:ascii="Times New Roman" w:cs="Times New Roman" w:eastAsia="Times New Roman" w:hAnsi="Times New Roman"/>
                <w:sz w:val="18"/>
                <w:szCs w:val="18"/>
                <w:color w:val="auto"/>
                <w:w w:val="97"/>
              </w:rPr>
              <w:t xml:space="preserve">or Programs </w:t>
            </w:r>
            <w:r>
              <w:rPr>
                <w:rFonts w:ascii="Times New Roman" w:cs="Times New Roman" w:eastAsia="Times New Roman" w:hAnsi="Times New Roman"/>
                <w:sz w:val="23"/>
                <w:szCs w:val="23"/>
                <w:color w:val="auto"/>
                <w:w w:val="97"/>
                <w:vertAlign w:val="superscript"/>
              </w:rPr>
              <w:t>(1)</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 Programs</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January 1, 2025 - January 31,</w:t>
            </w:r>
          </w:p>
        </w:tc>
        <w:tc>
          <w:tcPr>
            <w:tcW w:w="2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120" w:type="dxa"/>
            <w:vAlign w:val="bottom"/>
            <w:vMerge w:val="continue"/>
            <w:shd w:val="clear" w:color="auto" w:fill="CCEEFF"/>
          </w:tcPr>
          <w:p>
            <w:pPr>
              <w:spacing w:after="0"/>
              <w:rPr>
                <w:sz w:val="12"/>
                <w:szCs w:val="12"/>
                <w:color w:val="auto"/>
              </w:rPr>
            </w:pPr>
          </w:p>
        </w:tc>
        <w:tc>
          <w:tcPr>
            <w:tcW w:w="2080" w:type="dxa"/>
            <w:vAlign w:val="bottom"/>
            <w:vMerge w:val="continue"/>
            <w:shd w:val="clear" w:color="auto" w:fill="CCEEFF"/>
          </w:tcPr>
          <w:p>
            <w:pPr>
              <w:spacing w:after="0"/>
              <w:rPr>
                <w:sz w:val="12"/>
                <w:szCs w:val="12"/>
                <w:color w:val="auto"/>
              </w:rPr>
            </w:pPr>
          </w:p>
        </w:tc>
        <w:tc>
          <w:tcPr>
            <w:tcW w:w="2220" w:type="dxa"/>
            <w:vAlign w:val="bottom"/>
            <w:vMerge w:val="continue"/>
            <w:shd w:val="clear" w:color="auto" w:fill="CCEEFF"/>
          </w:tcPr>
          <w:p>
            <w:pPr>
              <w:spacing w:after="0"/>
              <w:rPr>
                <w:sz w:val="12"/>
                <w:szCs w:val="12"/>
                <w:color w:val="auto"/>
              </w:rPr>
            </w:pPr>
          </w:p>
        </w:tc>
        <w:tc>
          <w:tcPr>
            <w:tcW w:w="2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560" w:type="dxa"/>
            <w:vAlign w:val="bottom"/>
            <w:vMerge w:val="continue"/>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1, 2025 - February 28,</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12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56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2025 - March 31, 2025</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48,973</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$30.65</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583,219</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$25.7</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(1) On October 30, 2023, the Company's Board of Directors approved a share repurchase program ("Repurchase Program") authorizing the Company to repurchase up to $40.0 million of Common Stock, which was increased to a total of $65.0 million on April 28, 2025. Shares of Common Stock may be repurchased under the Repurchase Program from time to time through open market purchases, block trades, private transactions or accelerated or other structured share repurchase programs. To the extent not retired, shares of Common Stock repurchased under the Repurchase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Repurchase Program has no time limits, and may be suspended or discontinued at any time. During the three months ended March 31, 2025, the Company repurchased 48,973 shares at a cost of $1.5 million under the Repurchase Program.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accordance with the disclosure requirements set forth in Item 408(a) of Regulation S-K, the following table discloses any officer (as defined in Rule 16a-1(f) under the Exchange Act), director, or entity controlled by such officer or director who adopted or terminated a contract, instruction, or written plan for the sale of securities of the Company intended to satisfy the affirmative defense of Rule 10b5-1(c) during the quarterly period ended March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Duration of</w:t>
            </w:r>
          </w:p>
        </w:tc>
        <w:tc>
          <w:tcPr>
            <w:tcW w:w="2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 Securities</w:t>
            </w:r>
          </w:p>
        </w:tc>
        <w:tc>
          <w:tcPr>
            <w:tcW w:w="0" w:type="dxa"/>
            <w:vAlign w:val="bottom"/>
          </w:tcPr>
          <w:p>
            <w:pPr>
              <w:spacing w:after="0"/>
              <w:rPr>
                <w:sz w:val="1"/>
                <w:szCs w:val="1"/>
                <w:color w:val="auto"/>
              </w:rPr>
            </w:pPr>
          </w:p>
        </w:tc>
      </w:tr>
      <w:tr>
        <w:trPr>
          <w:trHeight w:val="184"/>
        </w:trPr>
        <w:tc>
          <w:tcPr>
            <w:tcW w:w="206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8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 Taken</w:t>
            </w:r>
          </w:p>
        </w:tc>
        <w:tc>
          <w:tcPr>
            <w:tcW w:w="1480" w:type="dxa"/>
            <w:vAlign w:val="bottom"/>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Date of Action</w:t>
            </w:r>
          </w:p>
        </w:tc>
        <w:tc>
          <w:tcPr>
            <w:tcW w:w="168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2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60" w:type="dxa"/>
            <w:vAlign w:val="bottom"/>
            <w:vMerge w:val="continue"/>
            <w:shd w:val="clear" w:color="auto" w:fill="CCEEFF"/>
          </w:tcPr>
          <w:p>
            <w:pPr>
              <w:spacing w:after="0"/>
              <w:rPr>
                <w:sz w:val="19"/>
                <w:szCs w:val="19"/>
                <w:color w:val="auto"/>
              </w:rPr>
            </w:pPr>
          </w:p>
        </w:tc>
        <w:tc>
          <w:tcPr>
            <w:tcW w:w="198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0" w:type="dxa"/>
            <w:vAlign w:val="bottom"/>
          </w:tcPr>
          <w:p>
            <w:pPr>
              <w:spacing w:after="0"/>
              <w:rPr>
                <w:sz w:val="1"/>
                <w:szCs w:val="1"/>
                <w:color w:val="auto"/>
              </w:rPr>
            </w:pPr>
          </w:p>
        </w:tc>
      </w:tr>
      <w:tr>
        <w:trPr>
          <w:trHeight w:val="184"/>
        </w:trPr>
        <w:tc>
          <w:tcPr>
            <w:tcW w:w="2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Kenneth Sadowsky Rev</w:t>
            </w:r>
          </w:p>
        </w:tc>
        <w:tc>
          <w:tcPr>
            <w:tcW w:w="198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Director</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Adoption</w:t>
            </w:r>
          </w:p>
        </w:tc>
        <w:tc>
          <w:tcPr>
            <w:tcW w:w="148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color w:val="auto"/>
                <w:w w:val="98"/>
              </w:rPr>
              <w:t>March 7, 2025</w:t>
            </w:r>
          </w:p>
        </w:tc>
        <w:tc>
          <w:tcPr>
            <w:tcW w:w="16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June 18, 2025 to</w:t>
            </w:r>
          </w:p>
        </w:tc>
        <w:tc>
          <w:tcPr>
            <w:tcW w:w="26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Up to 60,700 shares of Common</w:t>
            </w:r>
          </w:p>
        </w:tc>
        <w:tc>
          <w:tcPr>
            <w:tcW w:w="0" w:type="dxa"/>
            <w:vAlign w:val="bottom"/>
          </w:tcPr>
          <w:p>
            <w:pPr>
              <w:spacing w:after="0"/>
              <w:rPr>
                <w:sz w:val="1"/>
                <w:szCs w:val="1"/>
                <w:color w:val="auto"/>
              </w:rPr>
            </w:pPr>
          </w:p>
        </w:tc>
      </w:tr>
      <w:tr>
        <w:trPr>
          <w:trHeight w:val="194"/>
        </w:trPr>
        <w:tc>
          <w:tcPr>
            <w:tcW w:w="20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Trust - Kenneth Sadowsky</w:t>
            </w:r>
          </w:p>
        </w:tc>
        <w:tc>
          <w:tcPr>
            <w:tcW w:w="1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June 22, 2026</w:t>
            </w:r>
          </w:p>
        </w:tc>
        <w:tc>
          <w:tcPr>
            <w:tcW w:w="2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Stock</w:t>
            </w: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TTEE</w:t>
            </w:r>
          </w:p>
        </w:tc>
        <w:tc>
          <w:tcPr>
            <w:tcW w:w="1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Martin Roper</w:t>
            </w:r>
          </w:p>
        </w:tc>
        <w:tc>
          <w:tcPr>
            <w:tcW w:w="19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Chief Executive Officer</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Adoption</w:t>
            </w:r>
          </w:p>
        </w:tc>
        <w:tc>
          <w:tcPr>
            <w:tcW w:w="1480" w:type="dxa"/>
            <w:vAlign w:val="bottom"/>
            <w:shd w:val="clear" w:color="auto" w:fill="CCEEFF"/>
          </w:tcPr>
          <w:p>
            <w:pPr>
              <w:jc w:val="center"/>
              <w:ind w:left="30"/>
              <w:spacing w:after="0" w:line="184" w:lineRule="exact"/>
              <w:rPr>
                <w:sz w:val="20"/>
                <w:szCs w:val="20"/>
                <w:color w:val="auto"/>
              </w:rPr>
            </w:pPr>
            <w:r>
              <w:rPr>
                <w:rFonts w:ascii="Times New Roman" w:cs="Times New Roman" w:eastAsia="Times New Roman" w:hAnsi="Times New Roman"/>
                <w:sz w:val="18"/>
                <w:szCs w:val="18"/>
                <w:color w:val="auto"/>
                <w:w w:val="98"/>
              </w:rPr>
              <w:t>March 7, 2025</w:t>
            </w:r>
          </w:p>
        </w:tc>
        <w:tc>
          <w:tcPr>
            <w:tcW w:w="168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June 18, 2025 to</w:t>
            </w:r>
          </w:p>
        </w:tc>
        <w:tc>
          <w:tcPr>
            <w:tcW w:w="260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Up to 140,000 shares of Common</w:t>
            </w:r>
          </w:p>
        </w:tc>
        <w:tc>
          <w:tcPr>
            <w:tcW w:w="0" w:type="dxa"/>
            <w:vAlign w:val="bottom"/>
          </w:tcPr>
          <w:p>
            <w:pPr>
              <w:spacing w:after="0"/>
              <w:rPr>
                <w:sz w:val="1"/>
                <w:szCs w:val="1"/>
                <w:color w:val="auto"/>
              </w:rPr>
            </w:pPr>
          </w:p>
        </w:tc>
      </w:tr>
      <w:tr>
        <w:trPr>
          <w:trHeight w:val="194"/>
        </w:trPr>
        <w:tc>
          <w:tcPr>
            <w:tcW w:w="2060" w:type="dxa"/>
            <w:vAlign w:val="bottom"/>
            <w:shd w:val="clear" w:color="auto" w:fill="CCEEFF"/>
          </w:tcPr>
          <w:p>
            <w:pPr>
              <w:spacing w:after="0"/>
              <w:rPr>
                <w:sz w:val="16"/>
                <w:szCs w:val="16"/>
                <w:color w:val="auto"/>
              </w:rPr>
            </w:pPr>
          </w:p>
        </w:tc>
        <w:tc>
          <w:tcPr>
            <w:tcW w:w="1980" w:type="dxa"/>
            <w:vAlign w:val="bottom"/>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rPr>
              <w:t>and Director</w:t>
            </w:r>
          </w:p>
        </w:tc>
        <w:tc>
          <w:tcPr>
            <w:tcW w:w="1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June 19, 2026</w:t>
            </w:r>
          </w:p>
        </w:tc>
        <w:tc>
          <w:tcPr>
            <w:tcW w:w="26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Stock, subject to a daily maximum</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of 5,000 shares</w:t>
            </w:r>
          </w:p>
        </w:tc>
        <w:tc>
          <w:tcPr>
            <w:tcW w:w="0" w:type="dxa"/>
            <w:vAlign w:val="bottom"/>
          </w:tcPr>
          <w:p>
            <w:pPr>
              <w:spacing w:after="0"/>
              <w:rPr>
                <w:sz w:val="1"/>
                <w:szCs w:val="1"/>
                <w:color w:val="auto"/>
              </w:rPr>
            </w:pPr>
          </w:p>
        </w:tc>
      </w:tr>
      <w:tr>
        <w:trPr>
          <w:trHeight w:val="184"/>
        </w:trPr>
        <w:tc>
          <w:tcPr>
            <w:tcW w:w="2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 Christopher G. Roper</w:t>
            </w:r>
          </w:p>
        </w:tc>
        <w:tc>
          <w:tcPr>
            <w:tcW w:w="198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A trust for which Mr.</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Adoption</w:t>
            </w:r>
          </w:p>
        </w:tc>
        <w:tc>
          <w:tcPr>
            <w:tcW w:w="148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color w:val="auto"/>
                <w:w w:val="98"/>
              </w:rPr>
              <w:t>March 7, 2025</w:t>
            </w:r>
          </w:p>
        </w:tc>
        <w:tc>
          <w:tcPr>
            <w:tcW w:w="16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June 16, 2025 to</w:t>
            </w:r>
          </w:p>
        </w:tc>
        <w:tc>
          <w:tcPr>
            <w:tcW w:w="26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Up to 140,000 shares of Common</w:t>
            </w:r>
          </w:p>
        </w:tc>
        <w:tc>
          <w:tcPr>
            <w:tcW w:w="0" w:type="dxa"/>
            <w:vAlign w:val="bottom"/>
          </w:tcPr>
          <w:p>
            <w:pPr>
              <w:spacing w:after="0"/>
              <w:rPr>
                <w:sz w:val="1"/>
                <w:szCs w:val="1"/>
                <w:color w:val="auto"/>
              </w:rPr>
            </w:pPr>
          </w:p>
        </w:tc>
      </w:tr>
      <w:tr>
        <w:trPr>
          <w:trHeight w:val="194"/>
        </w:trPr>
        <w:tc>
          <w:tcPr>
            <w:tcW w:w="20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Exempt Family Trust</w:t>
            </w:r>
          </w:p>
        </w:tc>
        <w:tc>
          <w:tcPr>
            <w:tcW w:w="198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Roper's spouse is the</w:t>
            </w:r>
          </w:p>
        </w:tc>
        <w:tc>
          <w:tcPr>
            <w:tcW w:w="1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June 19, 2026</w:t>
            </w:r>
          </w:p>
        </w:tc>
        <w:tc>
          <w:tcPr>
            <w:tcW w:w="2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Stock, subject to a daily maximum</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5,000 shares</w:t>
            </w: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The Peter S. Roper Exempt</w:t>
            </w:r>
          </w:p>
        </w:tc>
        <w:tc>
          <w:tcPr>
            <w:tcW w:w="19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A trust for which Mr.</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Adoption</w:t>
            </w:r>
          </w:p>
        </w:tc>
        <w:tc>
          <w:tcPr>
            <w:tcW w:w="1480" w:type="dxa"/>
            <w:vAlign w:val="bottom"/>
            <w:shd w:val="clear" w:color="auto" w:fill="CCEEFF"/>
          </w:tcPr>
          <w:p>
            <w:pPr>
              <w:jc w:val="center"/>
              <w:ind w:left="30"/>
              <w:spacing w:after="0" w:line="184" w:lineRule="exact"/>
              <w:rPr>
                <w:sz w:val="20"/>
                <w:szCs w:val="20"/>
                <w:color w:val="auto"/>
              </w:rPr>
            </w:pPr>
            <w:r>
              <w:rPr>
                <w:rFonts w:ascii="Times New Roman" w:cs="Times New Roman" w:eastAsia="Times New Roman" w:hAnsi="Times New Roman"/>
                <w:sz w:val="18"/>
                <w:szCs w:val="18"/>
                <w:color w:val="auto"/>
                <w:w w:val="98"/>
              </w:rPr>
              <w:t>March 7, 2025</w:t>
            </w:r>
          </w:p>
        </w:tc>
        <w:tc>
          <w:tcPr>
            <w:tcW w:w="168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June 16, 2025 to</w:t>
            </w:r>
          </w:p>
        </w:tc>
        <w:tc>
          <w:tcPr>
            <w:tcW w:w="260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Up to 140,000 shares of Common</w:t>
            </w:r>
          </w:p>
        </w:tc>
        <w:tc>
          <w:tcPr>
            <w:tcW w:w="0" w:type="dxa"/>
            <w:vAlign w:val="bottom"/>
          </w:tcPr>
          <w:p>
            <w:pPr>
              <w:spacing w:after="0"/>
              <w:rPr>
                <w:sz w:val="1"/>
                <w:szCs w:val="1"/>
                <w:color w:val="auto"/>
              </w:rPr>
            </w:pPr>
          </w:p>
        </w:tc>
      </w:tr>
      <w:tr>
        <w:trPr>
          <w:trHeight w:val="194"/>
        </w:trPr>
        <w:tc>
          <w:tcPr>
            <w:tcW w:w="20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Family Trust</w:t>
            </w:r>
          </w:p>
        </w:tc>
        <w:tc>
          <w:tcPr>
            <w:tcW w:w="1980" w:type="dxa"/>
            <w:vAlign w:val="bottom"/>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rPr>
              <w:t>Roper's spouse is the</w:t>
            </w:r>
          </w:p>
        </w:tc>
        <w:tc>
          <w:tcPr>
            <w:tcW w:w="1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June 19, 2026</w:t>
            </w:r>
          </w:p>
        </w:tc>
        <w:tc>
          <w:tcPr>
            <w:tcW w:w="26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Stock, subject to a daily maximum</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1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of 5,000 shares</w:t>
            </w:r>
          </w:p>
        </w:tc>
        <w:tc>
          <w:tcPr>
            <w:tcW w:w="0" w:type="dxa"/>
            <w:vAlign w:val="bottom"/>
          </w:tcPr>
          <w:p>
            <w:pPr>
              <w:spacing w:after="0"/>
              <w:rPr>
                <w:sz w:val="1"/>
                <w:szCs w:val="1"/>
                <w:color w:val="auto"/>
              </w:rPr>
            </w:pPr>
          </w:p>
        </w:tc>
      </w:tr>
      <w:tr>
        <w:trPr>
          <w:trHeight w:val="184"/>
        </w:trPr>
        <w:tc>
          <w:tcPr>
            <w:tcW w:w="2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 Thomas L. Roper</w:t>
            </w:r>
          </w:p>
        </w:tc>
        <w:tc>
          <w:tcPr>
            <w:tcW w:w="198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A trust for which Mr.</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Adoption</w:t>
            </w:r>
          </w:p>
        </w:tc>
        <w:tc>
          <w:tcPr>
            <w:tcW w:w="148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color w:val="auto"/>
                <w:w w:val="98"/>
              </w:rPr>
              <w:t>March 7, 2025</w:t>
            </w:r>
          </w:p>
        </w:tc>
        <w:tc>
          <w:tcPr>
            <w:tcW w:w="16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June 16, 2025 to</w:t>
            </w:r>
          </w:p>
        </w:tc>
        <w:tc>
          <w:tcPr>
            <w:tcW w:w="26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Up to 140,000 shares of Common</w:t>
            </w:r>
          </w:p>
        </w:tc>
        <w:tc>
          <w:tcPr>
            <w:tcW w:w="0" w:type="dxa"/>
            <w:vAlign w:val="bottom"/>
          </w:tcPr>
          <w:p>
            <w:pPr>
              <w:spacing w:after="0"/>
              <w:rPr>
                <w:sz w:val="1"/>
                <w:szCs w:val="1"/>
                <w:color w:val="auto"/>
              </w:rPr>
            </w:pPr>
          </w:p>
        </w:tc>
      </w:tr>
      <w:tr>
        <w:trPr>
          <w:trHeight w:val="194"/>
        </w:trPr>
        <w:tc>
          <w:tcPr>
            <w:tcW w:w="20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Exempt Family Trust</w:t>
            </w:r>
          </w:p>
        </w:tc>
        <w:tc>
          <w:tcPr>
            <w:tcW w:w="198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Roper's spouse is the</w:t>
            </w:r>
          </w:p>
        </w:tc>
        <w:tc>
          <w:tcPr>
            <w:tcW w:w="1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June 19, 2026</w:t>
            </w:r>
          </w:p>
        </w:tc>
        <w:tc>
          <w:tcPr>
            <w:tcW w:w="2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Stock, subject to a daily maximum</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w:t>
            </w: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5,000 shares</w:t>
            </w: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Jane Prior</w:t>
            </w:r>
          </w:p>
        </w:tc>
        <w:tc>
          <w:tcPr>
            <w:tcW w:w="198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Chief Marketing Officer</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Adoption</w:t>
            </w:r>
          </w:p>
        </w:tc>
        <w:tc>
          <w:tcPr>
            <w:tcW w:w="1480" w:type="dxa"/>
            <w:vAlign w:val="bottom"/>
            <w:shd w:val="clear" w:color="auto" w:fill="CCEEFF"/>
          </w:tcPr>
          <w:p>
            <w:pPr>
              <w:jc w:val="center"/>
              <w:ind w:left="30"/>
              <w:spacing w:after="0" w:line="184" w:lineRule="exact"/>
              <w:rPr>
                <w:sz w:val="20"/>
                <w:szCs w:val="20"/>
                <w:color w:val="auto"/>
              </w:rPr>
            </w:pPr>
            <w:r>
              <w:rPr>
                <w:rFonts w:ascii="Times New Roman" w:cs="Times New Roman" w:eastAsia="Times New Roman" w:hAnsi="Times New Roman"/>
                <w:sz w:val="18"/>
                <w:szCs w:val="18"/>
                <w:color w:val="auto"/>
              </w:rPr>
              <w:t>March 14, 2025</w:t>
            </w:r>
          </w:p>
        </w:tc>
        <w:tc>
          <w:tcPr>
            <w:tcW w:w="168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December 31, 2025</w:t>
            </w:r>
          </w:p>
        </w:tc>
        <w:tc>
          <w:tcPr>
            <w:tcW w:w="260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Up to 50,000 shares of Common</w:t>
            </w:r>
          </w:p>
        </w:tc>
        <w:tc>
          <w:tcPr>
            <w:tcW w:w="0" w:type="dxa"/>
            <w:vAlign w:val="bottom"/>
          </w:tcPr>
          <w:p>
            <w:pPr>
              <w:spacing w:after="0"/>
              <w:rPr>
                <w:sz w:val="1"/>
                <w:szCs w:val="1"/>
                <w:color w:val="auto"/>
              </w:rPr>
            </w:pPr>
          </w:p>
        </w:tc>
      </w:tr>
      <w:tr>
        <w:trPr>
          <w:trHeight w:val="255"/>
        </w:trPr>
        <w:tc>
          <w:tcPr>
            <w:tcW w:w="206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to February 03, 2026</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0" w:type="dxa"/>
            <w:vAlign w:val="bottom"/>
          </w:tcPr>
          <w:p>
            <w:pPr>
              <w:spacing w:after="0"/>
              <w:rPr>
                <w:sz w:val="1"/>
                <w:szCs w:val="1"/>
                <w:color w:val="auto"/>
              </w:rPr>
            </w:pPr>
          </w:p>
        </w:tc>
      </w:tr>
      <w:tr>
        <w:trPr>
          <w:trHeight w:val="184"/>
        </w:trPr>
        <w:tc>
          <w:tcPr>
            <w:tcW w:w="2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Jonathan Burth</w:t>
            </w:r>
          </w:p>
        </w:tc>
        <w:tc>
          <w:tcPr>
            <w:tcW w:w="198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Chief Operating Officer</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Adoption</w:t>
            </w:r>
          </w:p>
        </w:tc>
        <w:tc>
          <w:tcPr>
            <w:tcW w:w="148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color w:val="auto"/>
              </w:rPr>
              <w:t>March 14, 2025</w:t>
            </w:r>
          </w:p>
        </w:tc>
        <w:tc>
          <w:tcPr>
            <w:tcW w:w="16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August 01, 2025 to</w:t>
            </w:r>
          </w:p>
        </w:tc>
        <w:tc>
          <w:tcPr>
            <w:tcW w:w="26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Up to 90,000 shares of Common</w:t>
            </w:r>
          </w:p>
        </w:tc>
        <w:tc>
          <w:tcPr>
            <w:tcW w:w="0" w:type="dxa"/>
            <w:vAlign w:val="bottom"/>
          </w:tcPr>
          <w:p>
            <w:pPr>
              <w:spacing w:after="0"/>
              <w:rPr>
                <w:sz w:val="1"/>
                <w:szCs w:val="1"/>
                <w:color w:val="auto"/>
              </w:rPr>
            </w:pPr>
          </w:p>
        </w:tc>
      </w:tr>
      <w:tr>
        <w:trPr>
          <w:trHeight w:val="248"/>
        </w:trPr>
        <w:tc>
          <w:tcPr>
            <w:tcW w:w="20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31, 2026</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Other than as disclosed above, no other officer, director or entity controlled by such officer or director adopted, modified or terminated a contract, instruction or written plan for the purchase or sale of securities of the Company intended to satisfy the affirmative defense of Rule 10b5-1(c) or a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Filed /</w:t>
            </w:r>
          </w:p>
        </w:tc>
        <w:tc>
          <w:tcPr>
            <w:tcW w:w="0" w:type="dxa"/>
            <w:vAlign w:val="bottom"/>
          </w:tcPr>
          <w:p>
            <w:pPr>
              <w:spacing w:after="0"/>
              <w:rPr>
                <w:sz w:val="1"/>
                <w:szCs w:val="1"/>
                <w:color w:val="auto"/>
              </w:rPr>
            </w:pPr>
          </w:p>
        </w:tc>
      </w:tr>
      <w:tr>
        <w:trPr>
          <w:trHeight w:val="107"/>
        </w:trPr>
        <w:tc>
          <w:tcPr>
            <w:tcW w:w="1320" w:type="dxa"/>
            <w:vAlign w:val="bottom"/>
            <w:gridSpan w:val="2"/>
            <w:vMerge w:val="restart"/>
          </w:tcPr>
          <w:p>
            <w:pPr>
              <w:jc w:val="center"/>
              <w:ind w:right="100"/>
              <w:spacing w:after="0" w:line="125" w:lineRule="exact"/>
              <w:rPr>
                <w:sz w:val="20"/>
                <w:szCs w:val="20"/>
                <w:color w:val="auto"/>
              </w:rPr>
            </w:pPr>
            <w:r>
              <w:rPr>
                <w:rFonts w:ascii="Times New Roman" w:cs="Times New Roman" w:eastAsia="Times New Roman" w:hAnsi="Times New Roman"/>
                <w:sz w:val="14"/>
                <w:szCs w:val="14"/>
                <w:color w:val="auto"/>
              </w:rPr>
              <w:t>Exhibit</w:t>
            </w:r>
          </w:p>
        </w:tc>
        <w:tc>
          <w:tcPr>
            <w:tcW w:w="3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restart"/>
          </w:tcPr>
          <w:p>
            <w:pPr>
              <w:jc w:val="center"/>
              <w:spacing w:after="0" w:line="125" w:lineRule="exact"/>
              <w:rPr>
                <w:sz w:val="20"/>
                <w:szCs w:val="20"/>
                <w:color w:val="auto"/>
              </w:rPr>
            </w:pPr>
            <w:r>
              <w:rPr>
                <w:rFonts w:ascii="Times New Roman" w:cs="Times New Roman" w:eastAsia="Times New Roman" w:hAnsi="Times New Roman"/>
                <w:sz w:val="14"/>
                <w:szCs w:val="14"/>
                <w:color w:val="auto"/>
                <w:w w:val="99"/>
              </w:rPr>
              <w:t>Furnished</w:t>
            </w:r>
          </w:p>
        </w:tc>
        <w:tc>
          <w:tcPr>
            <w:tcW w:w="0" w:type="dxa"/>
            <w:vAlign w:val="bottom"/>
          </w:tcPr>
          <w:p>
            <w:pPr>
              <w:spacing w:after="0"/>
              <w:rPr>
                <w:sz w:val="1"/>
                <w:szCs w:val="1"/>
                <w:color w:val="auto"/>
              </w:rPr>
            </w:pPr>
          </w:p>
        </w:tc>
      </w:tr>
      <w:tr>
        <w:trPr>
          <w:trHeight w:val="23"/>
        </w:trPr>
        <w:tc>
          <w:tcPr>
            <w:tcW w:w="1320" w:type="dxa"/>
            <w:vAlign w:val="bottom"/>
            <w:gridSpan w:val="2"/>
            <w:vMerge w:val="continue"/>
          </w:tcPr>
          <w:p>
            <w:pPr>
              <w:spacing w:after="0"/>
              <w:rPr>
                <w:sz w:val="2"/>
                <w:szCs w:val="2"/>
                <w:color w:val="auto"/>
              </w:rPr>
            </w:pPr>
          </w:p>
        </w:tc>
        <w:tc>
          <w:tcPr>
            <w:tcW w:w="330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color w:val="auto"/>
              </w:rPr>
              <w:t>Exhibit Description</w:t>
            </w:r>
          </w:p>
        </w:tc>
        <w:tc>
          <w:tcPr>
            <w:tcW w:w="80" w:type="dxa"/>
            <w:vAlign w:val="bottom"/>
            <w:vMerge w:val="restart"/>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100" w:type="dxa"/>
            <w:vAlign w:val="bottom"/>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Form</w:t>
            </w:r>
          </w:p>
        </w:tc>
        <w:tc>
          <w:tcPr>
            <w:tcW w:w="13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File No.</w:t>
            </w:r>
          </w:p>
        </w:tc>
        <w:tc>
          <w:tcPr>
            <w:tcW w:w="1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Exhibit</w:t>
            </w:r>
          </w:p>
        </w:tc>
        <w:tc>
          <w:tcPr>
            <w:tcW w:w="13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Filing Date</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Herewith</w:t>
            </w:r>
          </w:p>
        </w:tc>
        <w:tc>
          <w:tcPr>
            <w:tcW w:w="0" w:type="dxa"/>
            <w:vAlign w:val="bottom"/>
          </w:tcPr>
          <w:p>
            <w:pPr>
              <w:spacing w:after="0"/>
              <w:rPr>
                <w:sz w:val="1"/>
                <w:szCs w:val="1"/>
                <w:color w:val="auto"/>
              </w:rPr>
            </w:pPr>
          </w:p>
        </w:tc>
      </w:tr>
    </w:tbl>
    <w:p>
      <w:pPr>
        <w:spacing w:after="0" w:line="111"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520" w:type="dxa"/>
            <w:vAlign w:val="bottom"/>
            <w:gridSpan w:val="20"/>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Second Amended and Restated Certificate of</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6"/>
        </w:trPr>
        <w:tc>
          <w:tcPr>
            <w:tcW w:w="10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56">
              <w:r>
                <w:rPr>
                  <w:rFonts w:ascii="Times New Roman" w:cs="Times New Roman" w:eastAsia="Times New Roman" w:hAnsi="Times New Roman"/>
                  <w:sz w:val="18"/>
                  <w:szCs w:val="18"/>
                  <w:color w:val="0000FF"/>
                  <w:w w:val="97"/>
                </w:rPr>
                <w:t>Incorporation.</w:t>
              </w:r>
            </w:hyperlink>
          </w:p>
        </w:tc>
        <w:tc>
          <w:tcPr>
            <w:tcW w:w="2220" w:type="dxa"/>
            <w:vAlign w:val="bottom"/>
            <w:tcBorders>
              <w:top w:val="single" w:sz="8" w:color="0000FF"/>
            </w:tcBorders>
            <w:gridSpan w:val="16"/>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Amended and Restated Bylaws.</w:t>
              </w:r>
            </w:hyperlink>
          </w:p>
        </w:tc>
        <w:tc>
          <w:tcPr>
            <w:tcW w:w="1220" w:type="dxa"/>
            <w:vAlign w:val="bottom"/>
            <w:gridSpan w:val="13"/>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210"/>
        </w:trPr>
        <w:tc>
          <w:tcPr>
            <w:tcW w:w="3520" w:type="dxa"/>
            <w:vAlign w:val="bottom"/>
            <w:gridSpan w:val="20"/>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Specimen Common Stock Certificate of The</w:t>
              </w:r>
            </w:hyperlink>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6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333-259825</w:t>
            </w:r>
          </w:p>
        </w:tc>
        <w:tc>
          <w:tcPr>
            <w:tcW w:w="74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18"/>
                <w:szCs w:val="18"/>
                <w:color w:val="auto"/>
              </w:rPr>
            </w:pPr>
          </w:p>
        </w:tc>
        <w:tc>
          <w:tcPr>
            <w:tcW w:w="11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5"/>
        </w:trPr>
        <w:tc>
          <w:tcPr>
            <w:tcW w:w="182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Vita Coco Company, Inc.</w:t>
              </w:r>
            </w:hyperlink>
          </w:p>
        </w:tc>
        <w:tc>
          <w:tcPr>
            <w:tcW w:w="1400" w:type="dxa"/>
            <w:vAlign w:val="bottom"/>
            <w:tcBorders>
              <w:top w:val="single" w:sz="8" w:color="0000FF"/>
            </w:tcBorders>
            <w:gridSpan w:val="12"/>
          </w:tcPr>
          <w:p>
            <w:pPr>
              <w:spacing w:after="0"/>
              <w:rPr>
                <w:sz w:val="13"/>
                <w:szCs w:val="13"/>
                <w:color w:val="auto"/>
              </w:rPr>
            </w:pPr>
          </w:p>
        </w:tc>
        <w:tc>
          <w:tcPr>
            <w:tcW w:w="300" w:type="dxa"/>
            <w:vAlign w:val="bottom"/>
            <w:gridSpan w:val="2"/>
          </w:tcPr>
          <w:p>
            <w:pPr>
              <w:spacing w:after="0"/>
              <w:rPr>
                <w:sz w:val="13"/>
                <w:szCs w:val="13"/>
                <w:color w:val="auto"/>
              </w:rPr>
            </w:pPr>
          </w:p>
        </w:tc>
        <w:tc>
          <w:tcPr>
            <w:tcW w:w="8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20" w:type="dxa"/>
            <w:vAlign w:val="bottom"/>
            <w:gridSpan w:val="20"/>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Registration Rights Agreement, by and</w:t>
              </w:r>
            </w:hyperlink>
          </w:p>
        </w:tc>
        <w:tc>
          <w:tcPr>
            <w:tcW w:w="8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gridSpan w:val="20"/>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among The Vita Coco Company, Inc. and</w:t>
              </w:r>
            </w:hyperlink>
          </w:p>
        </w:tc>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98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certain security holders of The Vita Coco</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Company, Inc., dated as of October 20,</w:t>
              </w:r>
            </w:hyperlink>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3"/>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4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13"/>
                <w:szCs w:val="13"/>
                <w:color w:val="auto"/>
              </w:rPr>
            </w:pPr>
          </w:p>
        </w:tc>
        <w:tc>
          <w:tcPr>
            <w:tcW w:w="11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6"/>
        </w:trPr>
        <w:tc>
          <w:tcPr>
            <w:tcW w:w="4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2021.</w:t>
              </w:r>
            </w:hyperlink>
          </w:p>
        </w:tc>
        <w:tc>
          <w:tcPr>
            <w:tcW w:w="2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20" w:type="dxa"/>
            <w:vAlign w:val="bottom"/>
            <w:gridSpan w:val="20"/>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Investor Rights Agreement, among The Vita</w:t>
              </w:r>
            </w:hyperlink>
          </w:p>
        </w:tc>
        <w:tc>
          <w:tcPr>
            <w:tcW w:w="8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Coco Company, Inc., Verlinvest Beverages</w:t>
              </w:r>
            </w:hyperlink>
          </w:p>
        </w:tc>
        <w:tc>
          <w:tcPr>
            <w:tcW w:w="32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8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8"/>
              </w:rPr>
            </w:pPr>
            <w:hyperlink r:id="rId60">
              <w:r>
                <w:rPr>
                  <w:rFonts w:ascii="Times New Roman" w:cs="Times New Roman" w:eastAsia="Times New Roman" w:hAnsi="Times New Roman"/>
                  <w:sz w:val="18"/>
                  <w:szCs w:val="18"/>
                  <w:color w:val="0000FF"/>
                  <w:w w:val="98"/>
                </w:rPr>
                <w:t>SA, Michael Kirban and Ira Liran, dated as</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gridSpan w:val="4"/>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4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rPr>
              <w:t>10.2</w:t>
            </w:r>
          </w:p>
        </w:tc>
        <w:tc>
          <w:tcPr>
            <w:tcW w:w="580" w:type="dxa"/>
            <w:vAlign w:val="bottom"/>
          </w:tcPr>
          <w:p>
            <w:pPr>
              <w:spacing w:after="0"/>
              <w:rPr>
                <w:sz w:val="14"/>
                <w:szCs w:val="14"/>
                <w:color w:val="auto"/>
              </w:rPr>
            </w:pPr>
          </w:p>
        </w:tc>
        <w:tc>
          <w:tcPr>
            <w:tcW w:w="11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6"/>
        </w:trPr>
        <w:tc>
          <w:tcPr>
            <w:tcW w:w="3100" w:type="dxa"/>
            <w:vAlign w:val="bottom"/>
            <w:gridSpan w:val="14"/>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of October 20, 2021.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4"/>
          </w:tcPr>
          <w:p>
            <w:pPr>
              <w:spacing w:after="0"/>
              <w:rPr>
                <w:sz w:val="13"/>
                <w:szCs w:val="13"/>
                <w:color w:val="auto"/>
              </w:rPr>
            </w:pPr>
          </w:p>
        </w:tc>
        <w:tc>
          <w:tcPr>
            <w:tcW w:w="8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8"/>
              </w:rPr>
            </w:pPr>
            <w:hyperlink r:id="rId61">
              <w:r>
                <w:rPr>
                  <w:rFonts w:ascii="Times New Roman" w:cs="Times New Roman" w:eastAsia="Times New Roman" w:hAnsi="Times New Roman"/>
                  <w:sz w:val="18"/>
                  <w:szCs w:val="18"/>
                  <w:color w:val="0000FF"/>
                  <w:w w:val="98"/>
                </w:rPr>
                <w:t>Form of Indenture</w:t>
              </w:r>
            </w:hyperlink>
          </w:p>
        </w:tc>
        <w:tc>
          <w:tcPr>
            <w:tcW w:w="160" w:type="dxa"/>
            <w:vAlign w:val="bottom"/>
            <w:tcBorders>
              <w:top w:val="single" w:sz="8" w:color="0000FF"/>
            </w:tcBorders>
          </w:tcPr>
          <w:p>
            <w:pPr>
              <w:spacing w:after="0"/>
              <w:rPr>
                <w:sz w:val="18"/>
                <w:szCs w:val="18"/>
                <w:color w:val="auto"/>
              </w:rPr>
            </w:pPr>
          </w:p>
        </w:tc>
        <w:tc>
          <w:tcPr>
            <w:tcW w:w="2040" w:type="dxa"/>
            <w:vAlign w:val="bottom"/>
            <w:gridSpan w:val="15"/>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333-271583</w:t>
            </w:r>
          </w:p>
        </w:tc>
        <w:tc>
          <w:tcPr>
            <w:tcW w:w="7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4.4</w:t>
            </w:r>
          </w:p>
        </w:tc>
        <w:tc>
          <w:tcPr>
            <w:tcW w:w="58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5/2/23</w:t>
            </w:r>
          </w:p>
        </w:tc>
        <w:tc>
          <w:tcPr>
            <w:tcW w:w="0" w:type="dxa"/>
            <w:vAlign w:val="bottom"/>
          </w:tcPr>
          <w:p>
            <w:pPr>
              <w:spacing w:after="0"/>
              <w:rPr>
                <w:sz w:val="1"/>
                <w:szCs w:val="1"/>
                <w:color w:val="auto"/>
              </w:rPr>
            </w:pPr>
          </w:p>
        </w:tc>
      </w:tr>
      <w:tr>
        <w:trPr>
          <w:trHeight w:val="209"/>
        </w:trPr>
        <w:tc>
          <w:tcPr>
            <w:tcW w:w="3520" w:type="dxa"/>
            <w:vAlign w:val="bottom"/>
            <w:gridSpan w:val="20"/>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Fifth Amendment to the Credit Agreement,</w:t>
              </w:r>
            </w:hyperlink>
          </w:p>
        </w:tc>
        <w:tc>
          <w:tcPr>
            <w:tcW w:w="8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by and between The Vita Coco Company,</w:t>
              </w:r>
            </w:hyperlink>
          </w:p>
        </w:tc>
        <w:tc>
          <w:tcPr>
            <w:tcW w:w="12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520" w:type="dxa"/>
            <w:vAlign w:val="bottom"/>
            <w:gridSpan w:val="20"/>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Inc., the Guarantors, and Wells Fargo Bank,</w:t>
              </w:r>
            </w:hyperlink>
          </w:p>
        </w:tc>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National Association, dated as of February</w:t>
              </w:r>
            </w:hyperlink>
          </w:p>
        </w:tc>
        <w:tc>
          <w:tcPr>
            <w:tcW w:w="360" w:type="dxa"/>
            <w:vAlign w:val="bottom"/>
            <w:gridSpan w:val="4"/>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68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001-40950</w:t>
            </w:r>
          </w:p>
        </w:tc>
        <w:tc>
          <w:tcPr>
            <w:tcW w:w="740" w:type="dxa"/>
            <w:vAlign w:val="bottom"/>
          </w:tcPr>
          <w:p>
            <w:pPr>
              <w:spacing w:after="0"/>
              <w:rPr>
                <w:sz w:val="13"/>
                <w:szCs w:val="13"/>
                <w:color w:val="auto"/>
              </w:rPr>
            </w:pPr>
          </w:p>
        </w:tc>
        <w:tc>
          <w:tcPr>
            <w:tcW w:w="5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10.5</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2/26/2025</w:t>
            </w:r>
          </w:p>
        </w:tc>
        <w:tc>
          <w:tcPr>
            <w:tcW w:w="0" w:type="dxa"/>
            <w:vAlign w:val="bottom"/>
          </w:tcPr>
          <w:p>
            <w:pPr>
              <w:spacing w:after="0"/>
              <w:rPr>
                <w:sz w:val="1"/>
                <w:szCs w:val="1"/>
                <w:color w:val="auto"/>
              </w:rPr>
            </w:pPr>
          </w:p>
        </w:tc>
      </w:tr>
      <w:tr>
        <w:trPr>
          <w:trHeight w:val="156"/>
        </w:trPr>
        <w:tc>
          <w:tcPr>
            <w:tcW w:w="6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14, 2025.</w:t>
              </w:r>
            </w:hyperlink>
          </w:p>
        </w:tc>
        <w:tc>
          <w:tcPr>
            <w:tcW w:w="3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w:t>
      </w:r>
    </w:p>
    <w:p>
      <w:pPr>
        <w:spacing w:after="0"/>
        <w:rPr>
          <w:sz w:val="20"/>
          <w:szCs w:val="20"/>
          <w:color w:val="auto"/>
        </w:rPr>
      </w:pPr>
      <w:r>
        <w:rPr>
          <w:rFonts w:ascii="Times New Roman" w:cs="Times New Roman" w:eastAsia="Times New Roman" w:hAnsi="Times New Roman"/>
          <w:sz w:val="18"/>
          <w:szCs w:val="18"/>
          <w:u w:val="single" w:color="auto"/>
          <w:color w:val="0000FF"/>
        </w:rPr>
        <w:t>pursuant to Rule 13a-14(a)/15d-14(a).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w:t>
      </w:r>
    </w:p>
    <w:p>
      <w:pPr>
        <w:spacing w:after="0"/>
        <w:rPr>
          <w:sz w:val="20"/>
          <w:szCs w:val="20"/>
          <w:color w:val="auto"/>
        </w:rPr>
      </w:pPr>
      <w:r>
        <w:rPr>
          <w:rFonts w:ascii="Times New Roman" w:cs="Times New Roman" w:eastAsia="Times New Roman" w:hAnsi="Times New Roman"/>
          <w:sz w:val="18"/>
          <w:szCs w:val="18"/>
          <w:u w:val="single" w:color="auto"/>
          <w:color w:val="0000FF"/>
        </w:rPr>
        <w:t>pursuant to Rule 13a-14(a)/15d-14(a).</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w:t>
      </w:r>
    </w:p>
    <w:p>
      <w:pPr>
        <w:spacing w:after="0"/>
        <w:rPr>
          <w:sz w:val="20"/>
          <w:szCs w:val="20"/>
          <w:color w:val="auto"/>
        </w:rPr>
      </w:pPr>
      <w:r>
        <w:rPr>
          <w:rFonts w:ascii="Times New Roman" w:cs="Times New Roman" w:eastAsia="Times New Roman" w:hAnsi="Times New Roman"/>
          <w:sz w:val="18"/>
          <w:szCs w:val="18"/>
          <w:u w:val="single" w:color="auto"/>
          <w:color w:val="0000FF"/>
        </w:rPr>
        <w:t>pursuant to 18 U.S.C. Section 1350.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w:t>
      </w:r>
    </w:p>
    <w:p>
      <w:pPr>
        <w:spacing w:after="0"/>
        <w:rPr>
          <w:sz w:val="20"/>
          <w:szCs w:val="20"/>
          <w:color w:val="auto"/>
        </w:rPr>
      </w:pPr>
      <w:r>
        <w:rPr>
          <w:rFonts w:ascii="Times New Roman" w:cs="Times New Roman" w:eastAsia="Times New Roman" w:hAnsi="Times New Roman"/>
          <w:sz w:val="18"/>
          <w:szCs w:val="18"/>
          <w:u w:val="single" w:color="auto"/>
          <w:color w:val="0000FF"/>
        </w:rPr>
        <w:t>pursuant to 18 U.S.C. Section 1350.</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Document—the</w:t>
      </w:r>
    </w:p>
    <w:p>
      <w:pPr>
        <w:spacing w:after="0" w:line="219" w:lineRule="auto"/>
        <w:rPr>
          <w:sz w:val="20"/>
          <w:szCs w:val="20"/>
          <w:color w:val="auto"/>
        </w:rPr>
      </w:pPr>
      <w:r>
        <w:rPr>
          <w:rFonts w:ascii="Times New Roman" w:cs="Times New Roman" w:eastAsia="Times New Roman" w:hAnsi="Times New Roman"/>
          <w:sz w:val="18"/>
          <w:szCs w:val="18"/>
          <w:color w:val="auto"/>
        </w:rPr>
        <w:t>instance document does not appear in the</w:t>
      </w:r>
    </w:p>
    <w:p>
      <w:pPr>
        <w:spacing w:after="0" w:line="203" w:lineRule="auto"/>
        <w:rPr>
          <w:sz w:val="20"/>
          <w:szCs w:val="20"/>
          <w:color w:val="auto"/>
        </w:rPr>
      </w:pPr>
      <w:r>
        <w:rPr>
          <w:rFonts w:ascii="Times New Roman" w:cs="Times New Roman" w:eastAsia="Times New Roman" w:hAnsi="Times New Roman"/>
          <w:sz w:val="18"/>
          <w:szCs w:val="18"/>
          <w:color w:val="auto"/>
        </w:rPr>
        <w:t>Interactive Data File because its XBRL tags</w:t>
      </w:r>
    </w:p>
    <w:p>
      <w:pPr>
        <w:spacing w:after="0" w:line="204" w:lineRule="auto"/>
        <w:rPr>
          <w:sz w:val="20"/>
          <w:szCs w:val="20"/>
          <w:color w:val="auto"/>
        </w:rPr>
      </w:pPr>
      <w:r>
        <w:rPr>
          <w:rFonts w:ascii="Times New Roman" w:cs="Times New Roman" w:eastAsia="Times New Roman" w:hAnsi="Times New Roman"/>
          <w:sz w:val="18"/>
          <w:szCs w:val="18"/>
          <w:color w:val="auto"/>
        </w:rPr>
        <w:t>are embedded within the Inline XBRL</w:t>
      </w: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w:t>
      </w: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w:t>
      </w:r>
    </w:p>
    <w:p>
      <w:pPr>
        <w:spacing w:after="0"/>
        <w:rPr>
          <w:sz w:val="20"/>
          <w:szCs w:val="20"/>
          <w:color w:val="auto"/>
        </w:rPr>
      </w:pPr>
      <w:r>
        <w:rPr>
          <w:rFonts w:ascii="Times New Roman" w:cs="Times New Roman" w:eastAsia="Times New Roman" w:hAnsi="Times New Roman"/>
          <w:sz w:val="18"/>
          <w:szCs w:val="18"/>
          <w:color w:val="auto"/>
        </w:rPr>
        <w:t>Calculation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w:t>
      </w:r>
    </w:p>
    <w:p>
      <w:pPr>
        <w:spacing w:after="0"/>
        <w:rPr>
          <w:sz w:val="20"/>
          <w:szCs w:val="20"/>
          <w:color w:val="auto"/>
        </w:rPr>
      </w:pPr>
      <w:r>
        <w:rPr>
          <w:rFonts w:ascii="Times New Roman" w:cs="Times New Roman" w:eastAsia="Times New Roman" w:hAnsi="Times New Roman"/>
          <w:sz w:val="18"/>
          <w:szCs w:val="18"/>
          <w:color w:val="auto"/>
        </w:rPr>
        <w:t>Definition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w:t>
      </w:r>
    </w:p>
    <w:p>
      <w:pPr>
        <w:spacing w:after="0"/>
        <w:rPr>
          <w:sz w:val="20"/>
          <w:szCs w:val="20"/>
          <w:color w:val="auto"/>
        </w:rPr>
      </w:pPr>
      <w:r>
        <w:rPr>
          <w:rFonts w:ascii="Times New Roman" w:cs="Times New Roman" w:eastAsia="Times New Roman" w:hAnsi="Times New Roman"/>
          <w:sz w:val="18"/>
          <w:szCs w:val="18"/>
          <w:color w:val="auto"/>
        </w:rPr>
        <w:t>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w:t>
      </w:r>
    </w:p>
    <w:p>
      <w:pPr>
        <w:spacing w:after="0"/>
        <w:rPr>
          <w:sz w:val="20"/>
          <w:szCs w:val="20"/>
          <w:color w:val="auto"/>
        </w:rPr>
      </w:pPr>
      <w:r>
        <w:rPr>
          <w:rFonts w:ascii="Times New Roman" w:cs="Times New Roman" w:eastAsia="Times New Roman" w:hAnsi="Times New Roman"/>
          <w:sz w:val="18"/>
          <w:szCs w:val="18"/>
          <w:color w:val="auto"/>
        </w:rPr>
        <w:t>Presentation Linkbase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6" w:lineRule="exact"/>
        <w:rPr>
          <w:sz w:val="20"/>
          <w:szCs w:val="20"/>
          <w:color w:val="auto"/>
        </w:rPr>
      </w:pPr>
    </w:p>
    <w:p>
      <w:pPr>
        <w:sectPr>
          <w:pgSz w:w="11900" w:h="16838" w:orient="portrait"/>
          <w:cols w:equalWidth="0" w:num="3">
            <w:col w:w="700" w:space="640"/>
            <w:col w:w="8540" w:space="140"/>
            <w:col w:w="1220"/>
          </w:cols>
          <w:pgMar w:left="320" w:top="117" w:right="3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Cover Page Interactive Data File (formatted</w:t>
      </w:r>
    </w:p>
    <w:p>
      <w:pPr>
        <w:ind w:left="1340"/>
        <w:spacing w:after="0" w:line="219" w:lineRule="auto"/>
        <w:rPr>
          <w:sz w:val="20"/>
          <w:szCs w:val="20"/>
          <w:color w:val="auto"/>
        </w:rPr>
      </w:pPr>
      <w:r>
        <w:rPr>
          <w:rFonts w:ascii="Times New Roman" w:cs="Times New Roman" w:eastAsia="Times New Roman" w:hAnsi="Times New Roman"/>
          <w:sz w:val="18"/>
          <w:szCs w:val="18"/>
          <w:color w:val="auto"/>
        </w:rPr>
        <w:t>as Inline XBRL and contained in Exhibit</w:t>
      </w:r>
    </w:p>
    <w:p>
      <w:pPr>
        <w:ind w:left="20"/>
        <w:spacing w:after="0"/>
        <w:tabs>
          <w:tab w:leader="none" w:pos="13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101)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Certain portions of this exhibit (indicated by “####”) have been redacted pursuant to Regulation S-K, Item 601(a)(6).</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THE VITA COCO COMPANY, INC.</w:t>
            </w:r>
          </w:p>
        </w:tc>
      </w:tr>
      <w:tr>
        <w:trPr>
          <w:trHeight w:val="49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2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 Roper</w:t>
            </w:r>
          </w:p>
        </w:tc>
      </w:tr>
      <w:tr>
        <w:trPr>
          <w:trHeight w:val="214"/>
        </w:trPr>
        <w:tc>
          <w:tcPr>
            <w:tcW w:w="3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Martin Roper</w:t>
            </w:r>
          </w:p>
        </w:tc>
      </w:tr>
      <w:tr>
        <w:trPr>
          <w:trHeight w:val="232"/>
        </w:trPr>
        <w:tc>
          <w:tcPr>
            <w:tcW w:w="3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tc>
      </w:tr>
      <w:tr>
        <w:trPr>
          <w:trHeight w:val="236"/>
        </w:trPr>
        <w:tc>
          <w:tcPr>
            <w:tcW w:w="3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9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2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Corey Baker</w:t>
            </w:r>
          </w:p>
        </w:tc>
      </w:tr>
      <w:tr>
        <w:trPr>
          <w:trHeight w:val="214"/>
        </w:trPr>
        <w:tc>
          <w:tcPr>
            <w:tcW w:w="3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Corey Baker</w:t>
            </w:r>
          </w:p>
        </w:tc>
      </w:tr>
      <w:tr>
        <w:trPr>
          <w:trHeight w:val="232"/>
        </w:trPr>
        <w:tc>
          <w:tcPr>
            <w:tcW w:w="3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6"/>
        </w:trPr>
        <w:tc>
          <w:tcPr>
            <w:tcW w:w="3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918"/>
        </w:trPr>
        <w:tc>
          <w:tcPr>
            <w:tcW w:w="3460" w:type="dxa"/>
            <w:vAlign w:val="bottom"/>
          </w:tcPr>
          <w:p>
            <w:pPr>
              <w:spacing w:after="0"/>
              <w:rPr>
                <w:sz w:val="24"/>
                <w:szCs w:val="24"/>
                <w:color w:val="auto"/>
              </w:rPr>
            </w:pPr>
          </w:p>
        </w:tc>
        <w:tc>
          <w:tcPr>
            <w:tcW w:w="2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c>
          <w:tcPr>
            <w:tcW w:w="5340" w:type="dxa"/>
            <w:vAlign w:val="bottom"/>
          </w:tcPr>
          <w:p>
            <w:pPr>
              <w:spacing w:after="0"/>
              <w:rPr>
                <w:sz w:val="24"/>
                <w:szCs w:val="24"/>
                <w:color w:val="auto"/>
              </w:rPr>
            </w:pPr>
          </w:p>
        </w:tc>
      </w:tr>
    </w:tbl>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Roper,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Vita Coco Company,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77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Martin Roper</w:t>
            </w:r>
          </w:p>
        </w:tc>
      </w:tr>
      <w:tr>
        <w:trPr>
          <w:trHeight w:val="218"/>
        </w:trPr>
        <w:tc>
          <w:tcPr>
            <w:tcW w:w="3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Martin Roper</w:t>
            </w:r>
          </w:p>
        </w:tc>
      </w:tr>
      <w:tr>
        <w:trPr>
          <w:trHeight w:val="234"/>
        </w:trPr>
        <w:tc>
          <w:tcPr>
            <w:tcW w:w="3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4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Corey Baker,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Vita Coco Company, Inc.;</w:t>
      </w:r>
    </w:p>
    <w:p>
      <w:pPr>
        <w:spacing w:after="0" w:line="225"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40" w:hanging="324"/>
        <w:spacing w:after="0" w:line="266"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97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60" w:hanging="324"/>
        <w:spacing w:after="0" w:line="282" w:lineRule="auto"/>
        <w:tabs>
          <w:tab w:leader="none" w:pos="97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77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Corey Baker</w:t>
            </w:r>
          </w:p>
        </w:tc>
      </w:tr>
      <w:tr>
        <w:trPr>
          <w:trHeight w:val="218"/>
        </w:trPr>
        <w:tc>
          <w:tcPr>
            <w:tcW w:w="3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Corey Baker</w:t>
            </w:r>
          </w:p>
        </w:tc>
      </w:tr>
      <w:tr>
        <w:trPr>
          <w:trHeight w:val="228"/>
        </w:trPr>
        <w:tc>
          <w:tcPr>
            <w:tcW w:w="3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20"/>
          </w:cols>
          <w:pgMar w:left="320" w:top="1143"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Vita Coco Company, Inc. (the “Company”) for the quarter ended March 31, 2025 as filed with the Securities and Exchange Commission on the date hereof (the “Report”), I, Martin Roper, certify, pursuant to 18 U.S.C. § 1350, as adopted pursuant to § 906 of the Sarbanes-Oxley Act of 2002, that, to the best of my knowledge:</w:t>
      </w:r>
    </w:p>
    <w:p>
      <w:pPr>
        <w:spacing w:after="0" w:line="176" w:lineRule="exact"/>
        <w:rPr>
          <w:sz w:val="20"/>
          <w:szCs w:val="20"/>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Martin Roper</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Martin Roper</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4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Vita Coco Company, Inc. (the “Company”) for the quarter ended March 31, 2025 as filed with the Securities and Exchange Commission on the date hereof (the “Report”), I, Corey Baker, certify, pursuant to 18 U.S.C. § 1350, as adopted pursuant to § 906 of the Sarbanes-Oxley Act of 2002, that, to the best of my knowledge:</w:t>
      </w:r>
    </w:p>
    <w:p>
      <w:pPr>
        <w:spacing w:after="0" w:line="176"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Corey Baker</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Corey Baker</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1."/>
      <w:numFmt w:val="decimal"/>
      <w:start w:val="8"/>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lvl w:ilvl="1">
      <w:lvlJc w:val="left"/>
      <w:lvlText w:val="(%2)"/>
      <w:numFmt w:val="decimal"/>
      <w:start w:val="1"/>
    </w:lvl>
  </w:abstractNum>
  <w:abstractNum w:abstractNumId="13">
    <w:nsid w:val="3F2DBA31"/>
    <w:multiLevelType w:val="hybridMultilevel"/>
    <w:lvl w:ilvl="0">
      <w:lvlJc w:val="left"/>
      <w:lvlText w:val="%1."/>
      <w:numFmt w:val="decimal"/>
      <w:start w:val="15"/>
    </w:lvl>
    <w:lvl w:ilvl="1">
      <w:lvlJc w:val="left"/>
      <w:lvlText w:val="%2"/>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56" Type="http://schemas.openxmlformats.org/officeDocument/2006/relationships/hyperlink" Target="https://www.sec.gov/Archives/edgar/data/0001482981/000119312521306737/d222890dex31.htm" TargetMode="External"/><Relationship Id="rId57" Type="http://schemas.openxmlformats.org/officeDocument/2006/relationships/hyperlink" Target="https://www.sec.gov/Archives/edgar/data/0001482981/000119312521306737/d222890dex32.htm" TargetMode="External"/><Relationship Id="rId58" Type="http://schemas.openxmlformats.org/officeDocument/2006/relationships/hyperlink" Target="https://www.sec.gov/Archives/edgar/data/0001482981/000119312521284306/d197386dex41.htm" TargetMode="External"/><Relationship Id="rId59" Type="http://schemas.openxmlformats.org/officeDocument/2006/relationships/hyperlink" Target="https://www.sec.gov/Archives/edgar/data/0001482981/000119312521306737/d222890dex101.htm" TargetMode="External"/><Relationship Id="rId60" Type="http://schemas.openxmlformats.org/officeDocument/2006/relationships/hyperlink" Target="https://www.sec.gov/Archives/edgar/data/0001482981/000119312521306737/d222890dex102.htm" TargetMode="External"/><Relationship Id="rId61" Type="http://schemas.openxmlformats.org/officeDocument/2006/relationships/hyperlink" Target="https://www.sec.gov/Archives/edgar/data/1482981/000119312523132638/d497597dex44.htm" TargetMode="External"/><Relationship Id="rId62" Type="http://schemas.openxmlformats.org/officeDocument/2006/relationships/hyperlink" Target="https://www.sec.gov/Archives/edgar/data/1482981/000148298125000032/exhibit105-fifthamend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2025-04-30T07:42:15Z</dcterms:created>
  <dcterms:modified xsi:type="dcterms:W3CDTF">2025-04-30T07:42:15Z</dcterms:modified>
</cp:coreProperties>
</file>