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spacing w:after="0" w:line="225"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9"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42" w:lineRule="exact"/>
        <w:rPr>
          <w:sz w:val="24"/>
          <w:szCs w:val="24"/>
          <w:color w:val="auto"/>
        </w:rPr>
      </w:pPr>
    </w:p>
    <w:p>
      <w:pPr>
        <w:ind w:left="520" w:hanging="494"/>
        <w:spacing w:after="0"/>
        <w:tabs>
          <w:tab w:leader="none" w:pos="52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w:t>
      </w:r>
    </w:p>
    <w:p>
      <w:pPr>
        <w:spacing w:after="0" w:line="5" w:lineRule="exact"/>
        <w:rPr>
          <w:rFonts w:ascii="MS PGothic" w:cs="MS PGothic" w:eastAsia="MS PGothic" w:hAnsi="MS PGothic"/>
          <w:sz w:val="14"/>
          <w:szCs w:val="14"/>
          <w:color w:val="auto"/>
        </w:rPr>
      </w:pPr>
    </w:p>
    <w:p>
      <w:pPr>
        <w:ind w:left="52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FROM</w:t>
      </w:r>
      <w:r>
        <w:rPr>
          <w:rFonts w:ascii="Times New Roman" w:cs="Times New Roman" w:eastAsia="Times New Roman" w:hAnsi="Times New Roman"/>
          <w:sz w:val="13"/>
          <w:szCs w:val="13"/>
          <w:b w:val="1"/>
          <w:bCs w:val="1"/>
          <w:color w:val="auto"/>
        </w:rPr>
        <w:t>TO</w:t>
      </w: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7760" w:type="dxa"/>
            <w:vAlign w:val="bottom"/>
          </w:tcPr>
          <w:p>
            <w:pPr>
              <w:jc w:val="center"/>
              <w:ind w:left="3395"/>
              <w:spacing w:after="0"/>
              <w:rPr>
                <w:sz w:val="20"/>
                <w:szCs w:val="20"/>
                <w:color w:val="auto"/>
              </w:rPr>
            </w:pPr>
            <w:r>
              <w:rPr>
                <w:rFonts w:ascii="Times New Roman" w:cs="Times New Roman" w:eastAsia="Times New Roman" w:hAnsi="Times New Roman"/>
                <w:sz w:val="14"/>
                <w:szCs w:val="14"/>
                <w:b w:val="1"/>
                <w:bCs w:val="1"/>
                <w:color w:val="auto"/>
              </w:rPr>
              <w:t>Commission File Number: 001-40950</w:t>
            </w:r>
          </w:p>
        </w:tc>
        <w:tc>
          <w:tcPr>
            <w:tcW w:w="3480" w:type="dxa"/>
            <w:vAlign w:val="bottom"/>
          </w:tcPr>
          <w:p>
            <w:pPr>
              <w:spacing w:after="0"/>
              <w:rPr>
                <w:sz w:val="16"/>
                <w:szCs w:val="16"/>
                <w:color w:val="auto"/>
              </w:rPr>
            </w:pPr>
          </w:p>
        </w:tc>
      </w:tr>
      <w:tr>
        <w:trPr>
          <w:trHeight w:val="350"/>
        </w:trPr>
        <w:tc>
          <w:tcPr>
            <w:tcW w:w="7760" w:type="dxa"/>
            <w:vAlign w:val="bottom"/>
          </w:tcPr>
          <w:p>
            <w:pPr>
              <w:jc w:val="center"/>
              <w:ind w:left="3415"/>
              <w:spacing w:after="0" w:line="350" w:lineRule="exact"/>
              <w:rPr>
                <w:sz w:val="20"/>
                <w:szCs w:val="20"/>
                <w:color w:val="auto"/>
              </w:rPr>
            </w:pPr>
            <w:r>
              <w:rPr>
                <w:rFonts w:ascii="Times New Roman" w:cs="Times New Roman" w:eastAsia="Times New Roman" w:hAnsi="Times New Roman"/>
                <w:sz w:val="32"/>
                <w:szCs w:val="32"/>
                <w:b w:val="1"/>
                <w:bCs w:val="1"/>
                <w:color w:val="auto"/>
              </w:rPr>
              <w:t>The Vita Coco Company, Inc.</w:t>
            </w:r>
          </w:p>
        </w:tc>
        <w:tc>
          <w:tcPr>
            <w:tcW w:w="3480" w:type="dxa"/>
            <w:vAlign w:val="bottom"/>
          </w:tcPr>
          <w:p>
            <w:pPr>
              <w:spacing w:after="0"/>
              <w:rPr>
                <w:sz w:val="24"/>
                <w:szCs w:val="24"/>
                <w:color w:val="auto"/>
              </w:rPr>
            </w:pPr>
          </w:p>
        </w:tc>
      </w:tr>
      <w:tr>
        <w:trPr>
          <w:trHeight w:val="190"/>
        </w:trPr>
        <w:tc>
          <w:tcPr>
            <w:tcW w:w="7760" w:type="dxa"/>
            <w:vAlign w:val="bottom"/>
          </w:tcPr>
          <w:p>
            <w:pPr>
              <w:jc w:val="center"/>
              <w:ind w:left="3415"/>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480" w:type="dxa"/>
            <w:vAlign w:val="bottom"/>
          </w:tcPr>
          <w:p>
            <w:pPr>
              <w:spacing w:after="0"/>
              <w:rPr>
                <w:sz w:val="16"/>
                <w:szCs w:val="16"/>
                <w:color w:val="auto"/>
              </w:rPr>
            </w:pPr>
          </w:p>
        </w:tc>
      </w:tr>
      <w:tr>
        <w:trPr>
          <w:trHeight w:val="131"/>
        </w:trPr>
        <w:tc>
          <w:tcPr>
            <w:tcW w:w="7760" w:type="dxa"/>
            <w:vAlign w:val="bottom"/>
            <w:tcBorders>
              <w:bottom w:val="single" w:sz="8" w:color="auto"/>
            </w:tcBorders>
          </w:tcPr>
          <w:p>
            <w:pPr>
              <w:spacing w:after="0"/>
              <w:rPr>
                <w:sz w:val="11"/>
                <w:szCs w:val="11"/>
                <w:color w:val="auto"/>
              </w:rPr>
            </w:pPr>
          </w:p>
        </w:tc>
        <w:tc>
          <w:tcPr>
            <w:tcW w:w="3480" w:type="dxa"/>
            <w:vAlign w:val="bottom"/>
            <w:tcBorders>
              <w:bottom w:val="single" w:sz="8" w:color="auto"/>
            </w:tcBorders>
          </w:tcPr>
          <w:p>
            <w:pPr>
              <w:spacing w:after="0"/>
              <w:rPr>
                <w:sz w:val="11"/>
                <w:szCs w:val="11"/>
                <w:color w:val="auto"/>
              </w:rPr>
            </w:pPr>
          </w:p>
        </w:tc>
      </w:tr>
      <w:tr>
        <w:trPr>
          <w:trHeight w:val="563"/>
        </w:trPr>
        <w:tc>
          <w:tcPr>
            <w:tcW w:w="7760" w:type="dxa"/>
            <w:vAlign w:val="bottom"/>
          </w:tcPr>
          <w:p>
            <w:pPr>
              <w:jc w:val="center"/>
              <w:ind w:right="205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480" w:type="dxa"/>
            <w:vAlign w:val="bottom"/>
          </w:tcPr>
          <w:p>
            <w:pPr>
              <w:jc w:val="right"/>
              <w:ind w:right="2344"/>
              <w:spacing w:after="0"/>
              <w:rPr>
                <w:sz w:val="20"/>
                <w:szCs w:val="20"/>
                <w:color w:val="auto"/>
              </w:rPr>
            </w:pPr>
            <w:r>
              <w:rPr>
                <w:rFonts w:ascii="Times New Roman" w:cs="Times New Roman" w:eastAsia="Times New Roman" w:hAnsi="Times New Roman"/>
                <w:sz w:val="16"/>
                <w:szCs w:val="16"/>
                <w:b w:val="1"/>
                <w:bCs w:val="1"/>
                <w:color w:val="auto"/>
              </w:rPr>
              <w:t>11-3713156</w:t>
            </w:r>
          </w:p>
        </w:tc>
      </w:tr>
      <w:tr>
        <w:trPr>
          <w:trHeight w:val="146"/>
        </w:trPr>
        <w:tc>
          <w:tcPr>
            <w:tcW w:w="7760" w:type="dxa"/>
            <w:vAlign w:val="bottom"/>
          </w:tcPr>
          <w:p>
            <w:pPr>
              <w:jc w:val="center"/>
              <w:ind w:right="2035"/>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80" w:type="dxa"/>
            <w:vAlign w:val="bottom"/>
          </w:tcPr>
          <w:p>
            <w:pPr>
              <w:jc w:val="center"/>
              <w:ind w:right="2044"/>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760" w:type="dxa"/>
            <w:vAlign w:val="bottom"/>
          </w:tcPr>
          <w:p>
            <w:pPr>
              <w:jc w:val="center"/>
              <w:ind w:right="203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80" w:type="dxa"/>
            <w:vAlign w:val="bottom"/>
          </w:tcPr>
          <w:p>
            <w:pPr>
              <w:jc w:val="center"/>
              <w:ind w:right="206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36"/>
        </w:trPr>
        <w:tc>
          <w:tcPr>
            <w:tcW w:w="7760" w:type="dxa"/>
            <w:vAlign w:val="bottom"/>
          </w:tcPr>
          <w:p>
            <w:pPr>
              <w:jc w:val="center"/>
              <w:ind w:right="2035"/>
              <w:spacing w:after="0"/>
              <w:rPr>
                <w:sz w:val="20"/>
                <w:szCs w:val="20"/>
                <w:color w:val="auto"/>
              </w:rPr>
            </w:pPr>
            <w:r>
              <w:rPr>
                <w:rFonts w:ascii="Times New Roman" w:cs="Times New Roman" w:eastAsia="Times New Roman" w:hAnsi="Times New Roman"/>
                <w:sz w:val="16"/>
                <w:szCs w:val="16"/>
                <w:b w:val="1"/>
                <w:bCs w:val="1"/>
                <w:color w:val="auto"/>
                <w:w w:val="98"/>
              </w:rPr>
              <w:t>111 Fifth Avenue</w:t>
            </w:r>
          </w:p>
        </w:tc>
        <w:tc>
          <w:tcPr>
            <w:tcW w:w="3480" w:type="dxa"/>
            <w:vAlign w:val="bottom"/>
          </w:tcPr>
          <w:p>
            <w:pPr>
              <w:spacing w:after="0"/>
              <w:rPr>
                <w:sz w:val="20"/>
                <w:szCs w:val="20"/>
                <w:color w:val="auto"/>
              </w:rPr>
            </w:pPr>
          </w:p>
        </w:tc>
      </w:tr>
      <w:tr>
        <w:trPr>
          <w:trHeight w:val="284"/>
        </w:trPr>
        <w:tc>
          <w:tcPr>
            <w:tcW w:w="7760" w:type="dxa"/>
            <w:vAlign w:val="bottom"/>
          </w:tcPr>
          <w:p>
            <w:pPr>
              <w:jc w:val="center"/>
              <w:ind w:right="2035"/>
              <w:spacing w:after="0"/>
              <w:rPr>
                <w:sz w:val="20"/>
                <w:szCs w:val="20"/>
                <w:color w:val="auto"/>
              </w:rPr>
            </w:pPr>
            <w:r>
              <w:rPr>
                <w:rFonts w:ascii="Times New Roman" w:cs="Times New Roman" w:eastAsia="Times New Roman" w:hAnsi="Times New Roman"/>
                <w:sz w:val="16"/>
                <w:szCs w:val="16"/>
                <w:b w:val="1"/>
                <w:bCs w:val="1"/>
                <w:color w:val="auto"/>
              </w:rPr>
              <w:t>Second Floor</w:t>
            </w:r>
          </w:p>
        </w:tc>
        <w:tc>
          <w:tcPr>
            <w:tcW w:w="3480" w:type="dxa"/>
            <w:vAlign w:val="bottom"/>
          </w:tcPr>
          <w:p>
            <w:pPr>
              <w:spacing w:after="0"/>
              <w:rPr>
                <w:sz w:val="24"/>
                <w:szCs w:val="24"/>
                <w:color w:val="auto"/>
              </w:rPr>
            </w:pPr>
          </w:p>
        </w:tc>
      </w:tr>
      <w:tr>
        <w:trPr>
          <w:trHeight w:val="251"/>
        </w:trPr>
        <w:tc>
          <w:tcPr>
            <w:tcW w:w="7760" w:type="dxa"/>
            <w:vAlign w:val="bottom"/>
          </w:tcPr>
          <w:p>
            <w:pPr>
              <w:ind w:left="2100"/>
              <w:spacing w:after="0"/>
              <w:rPr>
                <w:sz w:val="20"/>
                <w:szCs w:val="20"/>
                <w:color w:val="auto"/>
              </w:rPr>
            </w:pPr>
            <w:r>
              <w:rPr>
                <w:rFonts w:ascii="Times New Roman" w:cs="Times New Roman" w:eastAsia="Times New Roman" w:hAnsi="Times New Roman"/>
                <w:sz w:val="16"/>
                <w:szCs w:val="16"/>
                <w:b w:val="1"/>
                <w:bCs w:val="1"/>
                <w:color w:val="auto"/>
              </w:rPr>
              <w:t>New York NY</w:t>
            </w:r>
          </w:p>
        </w:tc>
        <w:tc>
          <w:tcPr>
            <w:tcW w:w="3480" w:type="dxa"/>
            <w:vAlign w:val="bottom"/>
          </w:tcPr>
          <w:p>
            <w:pPr>
              <w:jc w:val="right"/>
              <w:ind w:right="2524"/>
              <w:spacing w:after="0"/>
              <w:rPr>
                <w:sz w:val="20"/>
                <w:szCs w:val="20"/>
                <w:color w:val="auto"/>
              </w:rPr>
            </w:pPr>
            <w:r>
              <w:rPr>
                <w:rFonts w:ascii="Times New Roman" w:cs="Times New Roman" w:eastAsia="Times New Roman" w:hAnsi="Times New Roman"/>
                <w:sz w:val="16"/>
                <w:szCs w:val="16"/>
                <w:b w:val="1"/>
                <w:bCs w:val="1"/>
                <w:color w:val="auto"/>
              </w:rPr>
              <w:t>10003</w:t>
            </w:r>
          </w:p>
        </w:tc>
      </w:tr>
      <w:tr>
        <w:trPr>
          <w:trHeight w:val="190"/>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80" w:type="dxa"/>
            <w:vAlign w:val="bottom"/>
          </w:tcPr>
          <w:p>
            <w:pPr>
              <w:jc w:val="center"/>
              <w:ind w:right="206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(212) 206-0763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58" w:lineRule="exact"/>
        <w:rPr>
          <w:sz w:val="24"/>
          <w:szCs w:val="24"/>
          <w:color w:val="auto"/>
        </w:rPr>
      </w:pPr>
    </w:p>
    <w:p>
      <w:pPr>
        <w:ind w:left="1700"/>
        <w:spacing w:after="0"/>
        <w:tabs>
          <w:tab w:leader="none" w:pos="4940" w:val="left"/>
          <w:tab w:leader="none" w:pos="7380" w:val="left"/>
        </w:tabs>
        <w:rPr>
          <w:sz w:val="20"/>
          <w:szCs w:val="20"/>
          <w:color w:val="auto"/>
        </w:rPr>
      </w:pPr>
      <w:r>
        <w:rPr>
          <w:rFonts w:ascii="Times New Roman" w:cs="Times New Roman" w:eastAsia="Times New Roman" w:hAnsi="Times New Roman"/>
          <w:sz w:val="16"/>
          <w:szCs w:val="16"/>
          <w:b w:val="1"/>
          <w:bCs w:val="1"/>
          <w:color w:val="auto"/>
        </w:rPr>
        <w:t>Title of each class</w:t>
      </w:r>
      <w:r>
        <w:rPr>
          <w:sz w:val="20"/>
          <w:szCs w:val="20"/>
          <w:color w:val="auto"/>
        </w:rPr>
        <w:tab/>
      </w:r>
      <w:r>
        <w:rPr>
          <w:rFonts w:ascii="Times New Roman" w:cs="Times New Roman" w:eastAsia="Times New Roman" w:hAnsi="Times New Roman"/>
          <w:sz w:val="16"/>
          <w:szCs w:val="16"/>
          <w:b w:val="1"/>
          <w:bCs w:val="1"/>
          <w:color w:val="auto"/>
        </w:rPr>
        <w:t>Trading Symbol(s)</w:t>
      </w:r>
      <w:r>
        <w:rPr>
          <w:sz w:val="20"/>
          <w:szCs w:val="20"/>
          <w:color w:val="auto"/>
        </w:rPr>
        <w:tab/>
      </w:r>
      <w:r>
        <w:rPr>
          <w:rFonts w:ascii="Times New Roman" w:cs="Times New Roman" w:eastAsia="Times New Roman" w:hAnsi="Times New Roman"/>
          <w:sz w:val="16"/>
          <w:szCs w:val="16"/>
          <w:b w:val="1"/>
          <w:bCs w:val="1"/>
          <w:color w:val="auto"/>
        </w:rPr>
        <w:t>Name of each exchange on which registered</w:t>
      </w:r>
    </w:p>
    <w:p>
      <w:pPr>
        <w:spacing w:after="0" w:line="32" w:lineRule="exact"/>
        <w:rPr>
          <w:sz w:val="24"/>
          <w:szCs w:val="24"/>
          <w:color w:val="auto"/>
        </w:rPr>
      </w:pPr>
    </w:p>
    <w:p>
      <w:pPr>
        <w:ind w:left="820"/>
        <w:spacing w:after="0"/>
        <w:tabs>
          <w:tab w:leader="none" w:pos="5340" w:val="left"/>
          <w:tab w:leader="none" w:pos="7780" w:val="left"/>
        </w:tabs>
        <w:rPr>
          <w:sz w:val="20"/>
          <w:szCs w:val="20"/>
          <w:color w:val="auto"/>
        </w:rPr>
      </w:pPr>
      <w:r>
        <w:rPr>
          <w:rFonts w:ascii="Times New Roman" w:cs="Times New Roman" w:eastAsia="Times New Roman" w:hAnsi="Times New Roman"/>
          <w:sz w:val="16"/>
          <w:szCs w:val="16"/>
          <w:b w:val="1"/>
          <w:bCs w:val="1"/>
          <w:color w:val="auto"/>
        </w:rPr>
        <w:t>Common Stock, Par Value $0.01 Per Share</w:t>
      </w:r>
      <w:r>
        <w:rPr>
          <w:sz w:val="20"/>
          <w:szCs w:val="20"/>
          <w:color w:val="auto"/>
        </w:rPr>
        <w:tab/>
      </w:r>
      <w:r>
        <w:rPr>
          <w:rFonts w:ascii="Times New Roman" w:cs="Times New Roman" w:eastAsia="Times New Roman" w:hAnsi="Times New Roman"/>
          <w:sz w:val="16"/>
          <w:szCs w:val="16"/>
          <w:b w:val="1"/>
          <w:bCs w:val="1"/>
          <w:color w:val="auto"/>
        </w:rPr>
        <w:t>COCO</w:t>
      </w:r>
      <w:r>
        <w:rPr>
          <w:sz w:val="20"/>
          <w:szCs w:val="20"/>
          <w:color w:val="auto"/>
        </w:rPr>
        <w:tab/>
      </w:r>
      <w:r>
        <w:rPr>
          <w:rFonts w:ascii="Times New Roman" w:cs="Times New Roman" w:eastAsia="Times New Roman" w:hAnsi="Times New Roman"/>
          <w:sz w:val="16"/>
          <w:szCs w:val="16"/>
          <w:b w:val="1"/>
          <w:bCs w:val="1"/>
          <w:color w:val="auto"/>
        </w:rPr>
        <w:t>The Nasdaq Stock Market LLC</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4"/>
          <w:szCs w:val="24"/>
          <w:color w:val="auto"/>
        </w:rPr>
      </w:pPr>
    </w:p>
    <w:p>
      <w:pPr>
        <w:ind w:right="4480"/>
        <w:spacing w:after="0" w:line="20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5" w:lineRule="exact"/>
        <w:rPr>
          <w:sz w:val="24"/>
          <w:szCs w:val="24"/>
          <w:color w:val="auto"/>
        </w:rPr>
      </w:pPr>
    </w:p>
    <w:p>
      <w:pPr>
        <w:ind w:right="100"/>
        <w:spacing w:after="0" w:line="16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240"/>
        <w:spacing w:after="0" w:line="187" w:lineRule="exact"/>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w:t>
      </w:r>
      <w:r>
        <w:rPr>
          <w:rFonts w:ascii="Times New Roman" w:cs="Times New Roman" w:eastAsia="Times New Roman" w:hAnsi="Times New Roman"/>
          <w:sz w:val="17"/>
          <w:szCs w:val="17"/>
          <w:color w:val="auto"/>
        </w:rPr>
        <w:t>le</w:t>
      </w:r>
      <w:r>
        <w:rPr>
          <w:rFonts w:ascii="Times New Roman" w:cs="Times New Roman" w:eastAsia="Times New Roman" w:hAnsi="Times New Roman"/>
          <w:sz w:val="13"/>
          <w:szCs w:val="13"/>
          <w:color w:val="auto"/>
        </w:rPr>
        <w:t xml:space="preserv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 w:lineRule="exact"/>
        <w:rPr>
          <w:sz w:val="24"/>
          <w:szCs w:val="24"/>
          <w:color w:val="auto"/>
        </w:rPr>
      </w:pPr>
    </w:p>
    <w:p>
      <w:pPr>
        <w:ind w:right="14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3"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92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502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Emerging growth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86" w:lineRule="exact"/>
        <w:rPr>
          <w:sz w:val="24"/>
          <w:szCs w:val="24"/>
          <w:color w:val="auto"/>
        </w:rPr>
      </w:pPr>
    </w:p>
    <w:p>
      <w:pPr>
        <w:ind w:right="320"/>
        <w:spacing w:after="0" w:line="153"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81" w:lineRule="exact"/>
        <w:rPr>
          <w:sz w:val="24"/>
          <w:szCs w:val="24"/>
          <w:color w:val="auto"/>
        </w:rPr>
      </w:pPr>
    </w:p>
    <w:p>
      <w:pPr>
        <w:ind w:right="220"/>
        <w:spacing w:after="0"/>
        <w:rPr>
          <w:sz w:val="20"/>
          <w:szCs w:val="20"/>
          <w:color w:val="auto"/>
        </w:rPr>
      </w:pPr>
      <w:r>
        <w:rPr>
          <w:rFonts w:ascii="Times New Roman" w:cs="Times New Roman" w:eastAsia="Times New Roman" w:hAnsi="Times New Roman"/>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X</w:t>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If securities are registered pursuant to Section 12(b) of the Act, indicate by check mark whether the financial statements of the registrant included in the filing reflect the correction of an error to previously issued financial</w:t>
      </w:r>
    </w:p>
    <w:p>
      <w:pPr>
        <w:spacing w:after="0" w:line="150" w:lineRule="exact"/>
        <w:tabs>
          <w:tab w:leader="none" w:pos="1500" w:val="left"/>
        </w:tabs>
        <w:rPr>
          <w:sz w:val="20"/>
          <w:szCs w:val="20"/>
          <w:color w:val="auto"/>
        </w:rPr>
      </w:pPr>
      <w:r>
        <w:rPr>
          <w:rFonts w:ascii="Times New Roman" w:cs="Times New Roman" w:eastAsia="Times New Roman" w:hAnsi="Times New Roman"/>
          <w:sz w:val="13"/>
          <w:szCs w:val="13"/>
          <w:color w:val="auto"/>
        </w:rPr>
        <w:t>statements.</w:t>
      </w:r>
      <w:r>
        <w:rPr>
          <w:sz w:val="20"/>
          <w:szCs w:val="20"/>
          <w:color w:val="auto"/>
        </w:rPr>
        <w:tab/>
      </w:r>
      <w:r>
        <w:rPr>
          <w:rFonts w:ascii="MS PGothic" w:cs="MS PGothic" w:eastAsia="MS PGothic" w:hAnsi="MS PGothic"/>
          <w:sz w:val="13"/>
          <w:szCs w:val="13"/>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any of those error corrections are restatements that required a recovery analysis of incentive-based compensation received by any of the registrant’s executive officers during the relevant</w:t>
      </w:r>
    </w:p>
    <w:p>
      <w:pPr>
        <w:spacing w:after="0" w:line="150" w:lineRule="exact"/>
        <w:tabs>
          <w:tab w:leader="none" w:pos="2980" w:val="left"/>
        </w:tabs>
        <w:rPr>
          <w:sz w:val="20"/>
          <w:szCs w:val="20"/>
          <w:color w:val="auto"/>
        </w:rPr>
      </w:pPr>
      <w:r>
        <w:rPr>
          <w:rFonts w:ascii="Times New Roman" w:cs="Times New Roman" w:eastAsia="Times New Roman" w:hAnsi="Times New Roman"/>
          <w:sz w:val="13"/>
          <w:szCs w:val="13"/>
          <w:color w:val="auto"/>
        </w:rPr>
        <w:t>recovery period pursuant to §240.10D-1(b). .</w:t>
      </w:r>
      <w:r>
        <w:rPr>
          <w:sz w:val="20"/>
          <w:szCs w:val="20"/>
          <w:color w:val="auto"/>
        </w:rPr>
        <w:tab/>
      </w:r>
      <w:r>
        <w:rPr>
          <w:rFonts w:ascii="MS PGothic" w:cs="MS PGothic" w:eastAsia="MS PGothic" w:hAnsi="MS PGothic"/>
          <w:sz w:val="12"/>
          <w:szCs w:val="12"/>
          <w:color w:val="auto"/>
        </w:rPr>
        <w:t>☐</w:t>
      </w:r>
    </w:p>
    <w:p>
      <w:pPr>
        <w:spacing w:after="0" w:line="258" w:lineRule="exact"/>
        <w:rPr>
          <w:sz w:val="24"/>
          <w:szCs w:val="24"/>
          <w:color w:val="auto"/>
        </w:rPr>
      </w:pPr>
    </w:p>
    <w:p>
      <w:pPr>
        <w:spacing w:after="0" w:line="150" w:lineRule="exact"/>
        <w:tabs>
          <w:tab w:leader="none" w:pos="5840" w:val="left"/>
          <w:tab w:leader="none" w:pos="628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aggregate market value of the common equity held by non-affiliates of the registrant (assuming for these purposes, but without conceding, that all executive officers, directors and holders of more than 10% of</w:t>
      </w:r>
    </w:p>
    <w:p>
      <w:pPr>
        <w:ind w:right="140"/>
        <w:spacing w:after="0" w:line="218" w:lineRule="auto"/>
        <w:rPr>
          <w:sz w:val="20"/>
          <w:szCs w:val="20"/>
          <w:color w:val="auto"/>
        </w:rPr>
      </w:pPr>
      <w:r>
        <w:rPr>
          <w:rFonts w:ascii="Times New Roman" w:cs="Times New Roman" w:eastAsia="Times New Roman" w:hAnsi="Times New Roman"/>
          <w:sz w:val="13"/>
          <w:szCs w:val="13"/>
          <w:color w:val="auto"/>
        </w:rPr>
        <w:t>registrant's common stock are affiliates for the purpose of this calculation) as of June 30, 2025, the last business day of the registrant’s most recently completed second fiscal quarter, was approximately $1.7 billion (based on the closing sale price of the registrant’s common stock on that date as reported on the Nasdaq Stock Market).</w:t>
      </w:r>
    </w:p>
    <w:p>
      <w:pPr>
        <w:sectPr>
          <w:pgSz w:w="11900" w:h="16838" w:orient="portrait"/>
          <w:cols w:equalWidth="0" w:num="1">
            <w:col w:w="11240"/>
          </w:cols>
          <w:pgMar w:left="320" w:top="216" w:right="339" w:bottom="821" w:gutter="0" w:footer="0" w:header="0"/>
        </w:sectPr>
      </w:pPr>
    </w:p>
    <w:p>
      <w:pPr>
        <w:spacing w:after="0" w:line="200" w:lineRule="exact"/>
        <w:rPr>
          <w:sz w:val="24"/>
          <w:szCs w:val="24"/>
          <w:color w:val="auto"/>
        </w:rPr>
      </w:pP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821"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February 16, 2026, 57,082,173 shares of the registrant's common stock, par value $0.01 per share, were outstanding.</w:t>
      </w:r>
    </w:p>
    <w:p>
      <w:pPr>
        <w:spacing w:after="0" w:line="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62"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its 2026 Annual Meeting of Stockholders to be filed with the SEC within 120 days after the end of the fiscal year ended December 31, 2025 are incorporated herein by reference in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740" w:type="dxa"/>
            <w:vAlign w:val="bottom"/>
            <w:gridSpan w:val="8"/>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675"/>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Business</w:t>
            </w:r>
          </w:p>
        </w:tc>
        <w:tc>
          <w:tcPr>
            <w:tcW w:w="7420" w:type="dxa"/>
            <w:vAlign w:val="bottom"/>
            <w:gridSpan w:val="20"/>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7160" w:type="dxa"/>
            <w:vAlign w:val="bottom"/>
            <w:gridSpan w:val="18"/>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1B.</w:t>
            </w: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Unresolved Staff Comments</w:t>
            </w:r>
          </w:p>
        </w:tc>
        <w:tc>
          <w:tcPr>
            <w:tcW w:w="0" w:type="dxa"/>
            <w:vAlign w:val="bottom"/>
          </w:tcPr>
          <w:p>
            <w:pPr>
              <w:spacing w:after="0"/>
              <w:rPr>
                <w:sz w:val="1"/>
                <w:szCs w:val="1"/>
                <w:color w:val="auto"/>
              </w:rPr>
            </w:pPr>
          </w:p>
        </w:tc>
      </w:tr>
      <w:tr>
        <w:trPr>
          <w:trHeight w:val="23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020" w:type="dxa"/>
            <w:vAlign w:val="bottom"/>
            <w:gridSpan w:val="11"/>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EE"/>
              </w:rPr>
              <w:t>Properties</w:t>
            </w:r>
          </w:p>
        </w:tc>
        <w:tc>
          <w:tcPr>
            <w:tcW w:w="7060" w:type="dxa"/>
            <w:vAlign w:val="bottom"/>
            <w:gridSpan w:val="1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gridSpan w:val="2"/>
            <w:vMerge w:val="continue"/>
          </w:tcPr>
          <w:p>
            <w:pPr>
              <w:spacing w:after="0"/>
              <w:rPr>
                <w:sz w:val="20"/>
                <w:szCs w:val="20"/>
                <w:color w:val="auto"/>
              </w:rPr>
            </w:pP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13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gridSpan w:val="2"/>
            <w:vMerge w:val="continue"/>
          </w:tcPr>
          <w:p>
            <w:pPr>
              <w:spacing w:after="0"/>
              <w:rPr>
                <w:sz w:val="20"/>
                <w:szCs w:val="20"/>
                <w:color w:val="auto"/>
              </w:rPr>
            </w:pP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0" w:type="dxa"/>
            <w:vAlign w:val="bottom"/>
          </w:tcPr>
          <w:p>
            <w:pPr>
              <w:spacing w:after="0"/>
              <w:rPr>
                <w:sz w:val="1"/>
                <w:szCs w:val="1"/>
                <w:color w:val="auto"/>
              </w:rPr>
            </w:pPr>
          </w:p>
        </w:tc>
      </w:tr>
      <w:tr>
        <w:trPr>
          <w:trHeight w:val="52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5.</w:t>
            </w:r>
          </w:p>
        </w:tc>
        <w:tc>
          <w:tcPr>
            <w:tcW w:w="806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0" w:type="dxa"/>
            <w:vAlign w:val="bottom"/>
          </w:tcPr>
          <w:p>
            <w:pPr>
              <w:spacing w:after="0"/>
              <w:rPr>
                <w:sz w:val="1"/>
                <w:szCs w:val="1"/>
                <w:color w:val="auto"/>
              </w:rPr>
            </w:pPr>
          </w:p>
        </w:tc>
      </w:tr>
      <w:tr>
        <w:trPr>
          <w:trHeight w:val="23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Selected Financial Data</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Item 7.</w:t>
            </w:r>
          </w:p>
        </w:tc>
        <w:tc>
          <w:tcPr>
            <w:tcW w:w="13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60" w:type="dxa"/>
            <w:vAlign w:val="bottom"/>
            <w:gridSpan w:val="2"/>
            <w:vMerge w:val="continue"/>
          </w:tcPr>
          <w:p>
            <w:pPr>
              <w:spacing w:after="0"/>
              <w:rPr>
                <w:sz w:val="20"/>
                <w:szCs w:val="20"/>
                <w:color w:val="auto"/>
              </w:rPr>
            </w:pPr>
          </w:p>
        </w:tc>
        <w:tc>
          <w:tcPr>
            <w:tcW w:w="64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60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70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8.</w:t>
            </w: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Item 9.</w:t>
            </w:r>
          </w:p>
        </w:tc>
        <w:tc>
          <w:tcPr>
            <w:tcW w:w="130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60" w:type="dxa"/>
            <w:vAlign w:val="bottom"/>
            <w:gridSpan w:val="2"/>
            <w:vMerge w:val="continue"/>
          </w:tcPr>
          <w:p>
            <w:pPr>
              <w:spacing w:after="0"/>
              <w:rPr>
                <w:sz w:val="20"/>
                <w:szCs w:val="20"/>
                <w:color w:val="auto"/>
              </w:rPr>
            </w:pPr>
          </w:p>
        </w:tc>
        <w:tc>
          <w:tcPr>
            <w:tcW w:w="64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15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9A.</w:t>
            </w: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0" w:type="dxa"/>
            <w:vAlign w:val="bottom"/>
          </w:tcPr>
          <w:p>
            <w:pPr>
              <w:spacing w:after="0"/>
              <w:rPr>
                <w:sz w:val="1"/>
                <w:szCs w:val="1"/>
                <w:color w:val="auto"/>
              </w:rPr>
            </w:pPr>
          </w:p>
        </w:tc>
      </w:tr>
      <w:tr>
        <w:trPr>
          <w:trHeight w:val="23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630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Item 9C.</w:t>
            </w:r>
          </w:p>
        </w:tc>
        <w:tc>
          <w:tcPr>
            <w:tcW w:w="130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60" w:type="dxa"/>
            <w:vAlign w:val="bottom"/>
            <w:gridSpan w:val="2"/>
            <w:vMerge w:val="continue"/>
          </w:tcPr>
          <w:p>
            <w:pPr>
              <w:spacing w:after="0"/>
              <w:rPr>
                <w:sz w:val="20"/>
                <w:szCs w:val="20"/>
                <w:color w:val="auto"/>
              </w:rPr>
            </w:pP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0" w:type="dxa"/>
            <w:vAlign w:val="bottom"/>
          </w:tcPr>
          <w:p>
            <w:pPr>
              <w:spacing w:after="0"/>
              <w:rPr>
                <w:sz w:val="1"/>
                <w:szCs w:val="1"/>
                <w:color w:val="auto"/>
              </w:rPr>
            </w:pPr>
          </w:p>
        </w:tc>
      </w:tr>
      <w:tr>
        <w:trPr>
          <w:trHeight w:val="52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10.</w:t>
            </w: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0" w:type="dxa"/>
            <w:vAlign w:val="bottom"/>
          </w:tcPr>
          <w:p>
            <w:pPr>
              <w:spacing w:after="0"/>
              <w:rPr>
                <w:sz w:val="1"/>
                <w:szCs w:val="1"/>
                <w:color w:val="auto"/>
              </w:rPr>
            </w:pPr>
          </w:p>
        </w:tc>
      </w:tr>
      <w:tr>
        <w:trPr>
          <w:trHeight w:val="23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Executive Compensation</w:t>
            </w:r>
          </w:p>
        </w:tc>
        <w:tc>
          <w:tcPr>
            <w:tcW w:w="2280" w:type="dxa"/>
            <w:vAlign w:val="bottom"/>
            <w:tcBorders>
              <w:top w:val="single" w:sz="8" w:color="0000EE"/>
            </w:tcBorders>
            <w:gridSpan w:val="5"/>
          </w:tcPr>
          <w:p>
            <w:pPr>
              <w:spacing w:after="0"/>
              <w:rPr>
                <w:sz w:val="20"/>
                <w:szCs w:val="20"/>
                <w:color w:val="auto"/>
              </w:rPr>
            </w:pPr>
          </w:p>
        </w:tc>
        <w:tc>
          <w:tcPr>
            <w:tcW w:w="398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12.</w:t>
            </w: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0" w:type="dxa"/>
            <w:vAlign w:val="bottom"/>
          </w:tcPr>
          <w:p>
            <w:pPr>
              <w:spacing w:after="0"/>
              <w:rPr>
                <w:sz w:val="1"/>
                <w:szCs w:val="1"/>
                <w:color w:val="auto"/>
              </w:rPr>
            </w:pPr>
          </w:p>
        </w:tc>
      </w:tr>
      <w:tr>
        <w:trPr>
          <w:trHeight w:val="23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Principal Accountant Fees and Services</w:t>
            </w:r>
          </w:p>
        </w:tc>
        <w:tc>
          <w:tcPr>
            <w:tcW w:w="262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52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Exhibits, Financial Statement Schedules</w:t>
            </w:r>
          </w:p>
        </w:tc>
        <w:tc>
          <w:tcPr>
            <w:tcW w:w="516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Item 16.</w:t>
            </w:r>
          </w:p>
        </w:tc>
        <w:tc>
          <w:tcPr>
            <w:tcW w:w="80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Form 10-K Summary</w:t>
            </w: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2"/>
        </w:trPr>
        <w:tc>
          <w:tcPr>
            <w:tcW w:w="7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4900" w:type="dxa"/>
            <w:vAlign w:val="bottom"/>
            <w:gridSpan w:val="16"/>
          </w:tcPr>
          <w:p>
            <w:pPr>
              <w:ind w:left="4400"/>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19685</wp:posOffset>
            </wp:positionV>
            <wp:extent cx="4368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6880" cy="8255"/>
                    </a:xfrm>
                    <a:prstGeom prst="rect">
                      <a:avLst/>
                    </a:prstGeom>
                    <a:noFill/>
                  </pic:spPr>
                </pic:pic>
              </a:graphicData>
            </a:graphic>
          </wp:anchor>
        </w:drawing>
      </w: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39</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39</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40</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40</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40</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41</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42</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42</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55</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57</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94</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94</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95</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95</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96</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96</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96</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96</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96</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97</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100</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2">
            <w:col w:w="9980" w:space="720"/>
            <w:col w:w="500"/>
          </w:cols>
          <w:pgMar w:left="320" w:top="108"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This Annual Report on Form 10-K contains forward-looking statements. We intend such forward-looking statements to be covered by the safe</w:t>
      </w:r>
    </w:p>
    <w:p>
      <w:pPr>
        <w:spacing w:after="0" w:line="2" w:lineRule="exact"/>
        <w:rPr>
          <w:sz w:val="20"/>
          <w:szCs w:val="20"/>
          <w:color w:val="auto"/>
        </w:rPr>
      </w:pPr>
    </w:p>
    <w:p>
      <w:pPr>
        <w:jc w:val="both"/>
        <w:ind w:right="180"/>
        <w:spacing w:after="0" w:line="220" w:lineRule="auto"/>
        <w:rPr>
          <w:sz w:val="20"/>
          <w:szCs w:val="20"/>
          <w:color w:val="auto"/>
        </w:rPr>
      </w:pPr>
      <w:r>
        <w:rPr>
          <w:rFonts w:ascii="Times New Roman" w:cs="Times New Roman" w:eastAsia="Times New Roman" w:hAnsi="Times New Roman"/>
          <w:sz w:val="17"/>
          <w:szCs w:val="17"/>
          <w:color w:val="auto"/>
        </w:rPr>
        <w:t>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In some cases, you can identify forward-looking statements by terms such as “may,”</w:t>
      </w:r>
    </w:p>
    <w:p>
      <w:pPr>
        <w:spacing w:after="0" w:line="2" w:lineRule="exact"/>
        <w:rPr>
          <w:sz w:val="20"/>
          <w:szCs w:val="20"/>
          <w:color w:val="auto"/>
        </w:rPr>
      </w:pPr>
    </w:p>
    <w:p>
      <w:pPr>
        <w:ind w:right="340"/>
        <w:spacing w:after="0" w:line="208" w:lineRule="auto"/>
        <w:rPr>
          <w:sz w:val="20"/>
          <w:szCs w:val="20"/>
          <w:color w:val="auto"/>
        </w:rPr>
      </w:pPr>
      <w:r>
        <w:rPr>
          <w:rFonts w:ascii="Times New Roman" w:cs="Times New Roman" w:eastAsia="Times New Roman" w:hAnsi="Times New Roman"/>
          <w:sz w:val="18"/>
          <w:szCs w:val="18"/>
          <w:color w:val="auto"/>
        </w:rPr>
        <w:t>“will,” “should,” “expects,” “plans,” “anticipates,” “could,” “intends,” “targets,” “projects,” “contemplates,” “believes,” “estimates,” “forecasts,” “predicts,” “potential” or “continue” or the negative of these terms or other similar expressions. Forward-looking statements contained in this Annual Report on Form 10-K include, but are not limited to, statements regarding our future results of operations and financial position, industry and business</w:t>
      </w:r>
    </w:p>
    <w:p>
      <w:pPr>
        <w:spacing w:after="0" w:line="2"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trends, equity compensation, business strategy, projected costs, plans, prospects, expectations, market growth, new products, supply chain predictions, and our objectives for future operations.</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forward-looking statements in this Annual Report on Form 10-K are only predictions. We have based these forward-looking statements largely</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w:t>
      </w:r>
    </w:p>
    <w:p>
      <w:pPr>
        <w:spacing w:after="0" w:line="2" w:lineRule="exact"/>
        <w:rPr>
          <w:sz w:val="20"/>
          <w:szCs w:val="20"/>
          <w:color w:val="auto"/>
        </w:rPr>
      </w:pPr>
    </w:p>
    <w:p>
      <w:pPr>
        <w:ind w:right="120"/>
        <w:spacing w:after="0" w:line="208" w:lineRule="auto"/>
        <w:rPr>
          <w:sz w:val="20"/>
          <w:szCs w:val="20"/>
          <w:color w:val="auto"/>
        </w:rPr>
      </w:pPr>
      <w:r>
        <w:rPr>
          <w:rFonts w:ascii="Times New Roman" w:cs="Times New Roman" w:eastAsia="Times New Roman" w:hAnsi="Times New Roman"/>
          <w:sz w:val="18"/>
          <w:szCs w:val="18"/>
          <w:color w:val="auto"/>
        </w:rPr>
        <w:t>statements, including, but not limited to, the important factors discussed in Part I, Item 1A. “Risk Factors” in this Annual Report on Form 10-K for the fiscal year ended December 31, 2025. The forward-looking statements in this Annual Report on Form 10-K are based upon information available to us as of the date of this Annual Report on Form 10-K, and while we believe such information forms a reasonable basis for such statements, such information</w:t>
      </w:r>
    </w:p>
    <w:p>
      <w:pPr>
        <w:spacing w:after="0" w:line="2"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reference in this Annual Report on Form 10-K and have filed as</w:t>
      </w:r>
    </w:p>
    <w:p>
      <w:pPr>
        <w:spacing w:after="0" w:line="2"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exhibits to this Annual Report on Form 10-K with the understanding that our actual future results, performance and achievements may be materially different from what we expect. We qualify all of our forward-looking statements by these cautionary statements. These forward-looking statements speak only as of the date of this Annual Report on Form 10-K. Except as required by applicable law, we do not plan to publicly update or revise any forward-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looking statements contained in this Annual Report on Form 10-K, whether as a result of any new information, future events or otherwise.</w:t>
      </w:r>
    </w:p>
    <w:p>
      <w:pPr>
        <w:spacing w:after="0" w:line="165" w:lineRule="exact"/>
        <w:rPr>
          <w:sz w:val="20"/>
          <w:szCs w:val="20"/>
          <w:color w:val="auto"/>
        </w:rPr>
      </w:pPr>
    </w:p>
    <w:p>
      <w:pPr>
        <w:ind w:right="360" w:firstLine="486"/>
        <w:spacing w:after="0" w:line="237" w:lineRule="auto"/>
        <w:rPr>
          <w:sz w:val="20"/>
          <w:szCs w:val="20"/>
          <w:color w:val="auto"/>
        </w:rPr>
      </w:pPr>
      <w:r>
        <w:rPr>
          <w:rFonts w:ascii="Times New Roman" w:cs="Times New Roman" w:eastAsia="Times New Roman" w:hAnsi="Times New Roman"/>
          <w:sz w:val="18"/>
          <w:szCs w:val="18"/>
          <w:color w:val="auto"/>
        </w:rPr>
        <w:t>As used in this Annual Report on Form 10-K, unless otherwise stated or the context requires otherwise, the terms “Vita Coco,” the “Company,” “we,” “us” and “our” refer to The Vita Coco Company, Inc. and its consolidated subsidiaries.</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43"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This Annual Report on Form 10-K contains estimates, projections and other information concerning our industry and our business, including data regarding the estimated size of the market, projected growth rates and perceptions and preferences of customers, that we have prepared based on industry publications, reports and other independent sources, each of which is either publicly available without charge or available on a subscription fee basis. None of such information was prepared specifically for us in connection with this filing. Some data also is based on our good faith estimates, which are derived from management’s knowledge of the industry and from independent sources. These third party publications and surveys generally state that the information included therein has been obtained from sources believed to be reliable, but that the publications and surveys can give no assurance as to the accuracy or completeness of such information. Market and industry data is subject to variations and cannot be verified due to limits on the availability and reliability of data inputs, the voluntary nature of the data gathering process and other limitations and uncertainties inherent in any statistical survey. Although we are responsible for all of the disclosures contained in this Annual Report on Form 10-K and we believe the industry and market data included in this Annual Report on Form 10-K is reliable, we have not independently verified any of the data from third party sources nor have we ascertained the underlying economic assumptions on which such data is based. Similarly, we believe our internal research is reliable, even though such research has not been verified by any independent sources. The industry and market data included in this Annual Report on Form 10-K involve a number of assumptions and limitations, and you are cautioned not to give undue weight to such information.</w:t>
      </w:r>
    </w:p>
    <w:p>
      <w:pPr>
        <w:spacing w:after="0" w:line="216"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Unless otherwise expressly stated, we obtained industry, business, market and other data from the reports, publications and other materials and sources listed below.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9"/>
          <w:szCs w:val="19"/>
          <w:color w:val="auto"/>
        </w:rPr>
      </w:pPr>
      <w:r>
        <w:rPr>
          <w:rFonts w:ascii="Times New Roman" w:cs="Times New Roman" w:eastAsia="Times New Roman" w:hAnsi="Times New Roman"/>
          <w:sz w:val="17"/>
          <w:szCs w:val="17"/>
          <w:color w:val="auto"/>
        </w:rPr>
        <w:t>Circana, LLC, Custom Research, Total US – Multi Outlet+ with Conv, for the periods ended December 28, 2025 ("Circana US"); and</w:t>
      </w:r>
    </w:p>
    <w:p>
      <w:pPr>
        <w:spacing w:after="0" w:line="240" w:lineRule="exact"/>
        <w:rPr>
          <w:rFonts w:ascii="Arial" w:cs="Arial" w:eastAsia="Arial" w:hAnsi="Arial"/>
          <w:sz w:val="19"/>
          <w:szCs w:val="19"/>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Circana, LLC, Total UK Coconut Water Category, Value Sales, 52, Weeks ended December 27, 2025 ("Circana UK").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320" w:top="108" w:right="1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9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on</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Form 10-K. You should carefully consider these risks and uncertainties when investing in our common stock. The principal risks and uncertainties affecting our business include the following:</w:t>
      </w:r>
    </w:p>
    <w:p>
      <w:pPr>
        <w:spacing w:after="0" w:line="184"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 reduction in demand for and sales of our coconut water products or a decrease in consumer demand for coconut water generally;</w:t>
      </w:r>
    </w:p>
    <w:p>
      <w:pPr>
        <w:spacing w:after="0" w:line="225" w:lineRule="exact"/>
        <w:rPr>
          <w:rFonts w:ascii="Times New Roman" w:cs="Times New Roman" w:eastAsia="Times New Roman" w:hAnsi="Times New Roman"/>
          <w:sz w:val="18"/>
          <w:szCs w:val="18"/>
          <w:b w:val="1"/>
          <w:bCs w:val="1"/>
          <w:i w:val="1"/>
          <w:iCs w:val="1"/>
          <w:color w:val="auto"/>
        </w:rPr>
      </w:pPr>
    </w:p>
    <w:p>
      <w:pPr>
        <w:ind w:left="660" w:right="260" w:hanging="328"/>
        <w:spacing w:after="0" w:line="23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with our supply chain, inflation and tariffs, that may result in increased shipping expenses and cost increases for our products, and adverse impacts on our distributor and retail customers’ ability to deliver our products to market;</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forecast and manage our inventory levels;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limited availability of coconuts or other raw materials that meet our quality standards;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price of materials used to package our products, and our dependence on our existing suppliers for such materials;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distributors and retail customers for a significant portion of our sales;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competition in the food and beverage retail industry presents an ongoing threat to the success of our business;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our brands and company image;</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successfully improve existing products and respond to changes in consumer preferences;</w:t>
      </w:r>
    </w:p>
    <w:p>
      <w:pPr>
        <w:spacing w:after="0" w:line="225" w:lineRule="exact"/>
        <w:rPr>
          <w:rFonts w:ascii="Times New Roman" w:cs="Times New Roman" w:eastAsia="Times New Roman" w:hAnsi="Times New Roman"/>
          <w:sz w:val="18"/>
          <w:szCs w:val="18"/>
          <w:color w:val="auto"/>
        </w:rPr>
      </w:pPr>
    </w:p>
    <w:p>
      <w:pPr>
        <w:ind w:left="660" w:right="380" w:hanging="328"/>
        <w:spacing w:after="0" w:line="23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epidemics, or disease outbreaks may disrupt our business, including, among other things, consumption and trade patterns, and our supply chain and production processes;</w:t>
      </w:r>
    </w:p>
    <w:p>
      <w:pPr>
        <w:spacing w:after="0" w:line="18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make acquisitions and successfully integrate newly acquired businesses or products in the future;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or measures taken to address climate change, may negatively affect our business and operations;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and ability to retain our senior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suppliers and manufacturing partners compliance with ethical business practices or applicable laws and regulations;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international nature of our business, including foreign exchange volatility;</w:t>
      </w:r>
    </w:p>
    <w:p>
      <w:pPr>
        <w:spacing w:after="0" w:line="238" w:lineRule="exact"/>
        <w:rPr>
          <w:rFonts w:ascii="Times New Roman" w:cs="Times New Roman" w:eastAsia="Times New Roman" w:hAnsi="Times New Roman"/>
          <w:sz w:val="18"/>
          <w:szCs w:val="18"/>
          <w:color w:val="auto"/>
        </w:rPr>
      </w:pPr>
    </w:p>
    <w:p>
      <w:pPr>
        <w:ind w:left="660" w:right="88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sustainability and corporate social responsibility and our status as a public benefit corporation, including any new requirements to public reporting;</w:t>
      </w:r>
    </w:p>
    <w:p>
      <w:pPr>
        <w:spacing w:after="0" w:line="189" w:lineRule="exact"/>
        <w:rPr>
          <w:rFonts w:ascii="Times New Roman" w:cs="Times New Roman" w:eastAsia="Times New Roman" w:hAnsi="Times New Roman"/>
          <w:sz w:val="18"/>
          <w:szCs w:val="18"/>
          <w:color w:val="auto"/>
        </w:rPr>
      </w:pPr>
    </w:p>
    <w:p>
      <w:pPr>
        <w:ind w:left="660" w:right="80" w:hanging="328"/>
        <w:spacing w:after="0" w:line="23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product recalls or regulatory enforcement actions in connection with real or perceived food safety and food-borne illness incidents, other safety concerns or related to advertising inaccuracies, digital marketing practices, or product mislabeling;</w:t>
      </w:r>
    </w:p>
    <w:p>
      <w:pPr>
        <w:spacing w:after="0" w:line="18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new and existing government regulation and legislative changes, both in the United States ("U.S.") and abroad;</w:t>
      </w:r>
    </w:p>
    <w:p>
      <w:pPr>
        <w:spacing w:after="0" w:line="225"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relating to anti-corruption, sanctions, trade, data privacy, data protection, advertising and consumer protection;</w:t>
      </w:r>
    </w:p>
    <w:p>
      <w:pPr>
        <w:spacing w:after="0" w:line="185" w:lineRule="exact"/>
        <w:rPr>
          <w:rFonts w:ascii="Times New Roman" w:cs="Times New Roman" w:eastAsia="Times New Roman" w:hAnsi="Times New Roman"/>
          <w:sz w:val="18"/>
          <w:szCs w:val="18"/>
          <w:color w:val="auto"/>
        </w:rPr>
      </w:pPr>
    </w:p>
    <w:p>
      <w:pPr>
        <w:ind w:left="660" w:right="120" w:hanging="328"/>
        <w:spacing w:after="0" w:line="265" w:lineRule="auto"/>
        <w:tabs>
          <w:tab w:leader="none" w:pos="655"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risks associated with changes in U.S. trade policy, including the imposition of new and revised tariffs on countries which are a principal source of our supply;</w:t>
      </w:r>
    </w:p>
    <w:p>
      <w:pPr>
        <w:spacing w:after="0" w:line="1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information technology systems, and the risk of failure or inadequacy of such systems and cyberattacks;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for and ability to obtain additional financing to achieve our goals;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service any indebtedness and comply with the covenants imposed under our existing debt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The Vita Coco Company pioneered packaged coconut water in 2004 and we have extended our business into other categories. Our mission is to deliver great tasting, natural and nutritious products that we believe are better for consumers and better for the world. We are one of the largest brands globally in the coconut and other plant waters category, and a large supplier of Private Label coconut water.</w:t>
      </w:r>
    </w:p>
    <w:p>
      <w:pPr>
        <w:spacing w:after="0" w:line="202"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18"/>
          <w:szCs w:val="18"/>
          <w:color w:val="auto"/>
        </w:rPr>
        <w:t xml:space="preserve">Our branded portfolio is led by our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brand, which is the leader in the coconut water category in the United States, and also includes coconut oil, juice, and milk offerings. Our portfolio also includes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a protein-infused fitness drink. We previously offered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xml:space="preserve">, a plant-based energy drink inspired by the guayusa plant native to Ecuador, which we ceased selling in December 2023 and impaired all remaining assets in September 2025, and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a sustainably packaged water, which we ceased producing in 2024. We supply Private Label products to key retailers in both the coconut water and coconut oil categories.</w:t>
      </w:r>
    </w:p>
    <w:p>
      <w:pPr>
        <w:spacing w:after="0" w:line="213"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We source our coconut water from a diversified global network of approximately 16 factories across six countries, supported by thousands of coconut farmers. As we do not own any of these factories, our supply chain is an asset-light model designed to better react to changes in the market or consumer preferences. We also work with co-packers across three countries to support local packaging and repacking of our products and to better service our customers’ needs.</w:t>
      </w:r>
    </w:p>
    <w:p>
      <w:pPr>
        <w:spacing w:after="0" w:line="206" w:lineRule="exact"/>
        <w:rPr>
          <w:sz w:val="20"/>
          <w:szCs w:val="20"/>
          <w:color w:val="auto"/>
        </w:rPr>
      </w:pPr>
    </w:p>
    <w:p>
      <w:pPr>
        <w:ind w:right="10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Vita Coco </w:t>
      </w:r>
      <w:r>
        <w:rPr>
          <w:rFonts w:ascii="Times New Roman" w:cs="Times New Roman" w:eastAsia="Times New Roman" w:hAnsi="Times New Roman"/>
          <w:sz w:val="18"/>
          <w:szCs w:val="18"/>
          <w:color w:val="auto"/>
        </w:rPr>
        <w:t>is available in over 35 countries, with our primary markets in North America, the United Kingdom (the "U.K."), and Germany.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primary markets for Private Label are North America and Europe. Our products are distributed primarily through club, food, drug, mass, convenience, e-commerce and a variety of on-premise locations such as corporate offices, fitness clubs, airports, and educational institutions.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w:t>
      </w:r>
    </w:p>
    <w:p>
      <w:pPr>
        <w:spacing w:after="0" w:line="243" w:lineRule="exact"/>
        <w:rPr>
          <w:sz w:val="20"/>
          <w:szCs w:val="20"/>
          <w:color w:val="auto"/>
        </w:rPr>
      </w:pPr>
    </w:p>
    <w:p>
      <w:pPr>
        <w:ind w:right="380" w:firstLine="648"/>
        <w:spacing w:after="0" w:line="250" w:lineRule="auto"/>
        <w:rPr>
          <w:sz w:val="20"/>
          <w:szCs w:val="20"/>
          <w:color w:val="auto"/>
        </w:rPr>
      </w:pPr>
      <w:r>
        <w:rPr>
          <w:rFonts w:ascii="Times New Roman" w:cs="Times New Roman" w:eastAsia="Times New Roman" w:hAnsi="Times New Roman"/>
          <w:sz w:val="18"/>
          <w:szCs w:val="18"/>
          <w:color w:val="auto"/>
        </w:rPr>
        <w:t>The Vita Coco Company, Inc., formerly known as All Market Inc., was first incorporated as a Delaware corporation in January 2007 and re-incorporated in Delaware as a public benefit corporation in April 2021. We completed an initial public offering (the "IPO") of our common stock in October 2021.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227"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 xml:space="preserve">We operate in the functional beverages industry. Our primary brand,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competes in the global coconut and plant waters category. Our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milk product, which includes our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Treats, is a plant-based dairy alternative and our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brand competes in the enhanced isotonic category. We also may develop and sell other brands in the beverage category, and occasionally in other categories, as we test our ideas for expanding our product portfolio. The beverage industry, and specifically the functional beverage categories, are significantly larger than the coconut and plant waters category and provide opportunities for potential growth.</w:t>
      </w:r>
    </w:p>
    <w:p>
      <w:pPr>
        <w:spacing w:after="0" w:line="210"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We believe per capita consumption of natural beverages is growing as a result of increasing consumer interest in hydration and preferences for health-conscious products that have fewer added sugars and artificial ingredients, while providing more functional benefits. In addition, we believe that consumer awareness of the negative environmental and social impact of packaged goods has resulted in increased consumer demand for brands that are purpose-driven, take responsibility for their impact on the planet and are focused on sustainable packaging and transparent ethical values. We believe our mission is aligned with the growing demands generated by this consumer behavior.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43"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The beverage industry is highly competitive and is constantly evolving in response to ever-changing consumer preferences. Competition is generally based on brand recognition, taste, quality, price, availability, selection and convenience, as well as factors related to corporate responsibility and sustainability.</w:t>
      </w:r>
    </w:p>
    <w:p>
      <w:pPr>
        <w:spacing w:after="0" w:line="211" w:lineRule="exact"/>
        <w:rPr>
          <w:sz w:val="20"/>
          <w:szCs w:val="20"/>
          <w:color w:val="auto"/>
        </w:rPr>
      </w:pPr>
    </w:p>
    <w:p>
      <w:pPr>
        <w:ind w:right="340" w:firstLine="648"/>
        <w:spacing w:after="0" w:line="264" w:lineRule="auto"/>
        <w:rPr>
          <w:sz w:val="20"/>
          <w:szCs w:val="20"/>
          <w:color w:val="auto"/>
        </w:rPr>
      </w:pPr>
      <w:r>
        <w:rPr>
          <w:rFonts w:ascii="Times New Roman" w:cs="Times New Roman" w:eastAsia="Times New Roman" w:hAnsi="Times New Roman"/>
          <w:sz w:val="17"/>
          <w:szCs w:val="17"/>
          <w:color w:val="auto"/>
        </w:rPr>
        <w:t xml:space="preserve">Additionally, we compete within the broad non-alcoholic beverage category with sports drinks, energy drinks, enhanced waters and other functional beverages. Our competitors in the beverage market include large beverage companies such as The Coca-Cola Company, PepsiCo, Inc., and Nestlé S.A. that may have substantially greater financial resources and stronger brand recognition than we have. Our flagship brand, </w:t>
      </w:r>
      <w:r>
        <w:rPr>
          <w:rFonts w:ascii="Times New Roman" w:cs="Times New Roman" w:eastAsia="Times New Roman" w:hAnsi="Times New Roman"/>
          <w:sz w:val="17"/>
          <w:szCs w:val="17"/>
          <w:i w:val="1"/>
          <w:iCs w:val="1"/>
          <w:color w:val="auto"/>
        </w:rPr>
        <w:t>Vita Coco</w:t>
      </w:r>
      <w:r>
        <w:rPr>
          <w:rFonts w:ascii="Times New Roman" w:cs="Times New Roman" w:eastAsia="Times New Roman" w:hAnsi="Times New Roman"/>
          <w:sz w:val="17"/>
          <w:szCs w:val="17"/>
          <w:color w:val="auto"/>
        </w:rPr>
        <w:t>, is the market leader in the coconut water category in the U.S. where we compete with other key coconut water brands including Goya, Harmless Harvest,</w:t>
      </w:r>
    </w:p>
    <w:p>
      <w:pPr>
        <w:spacing w:after="0" w:line="200" w:lineRule="exact"/>
        <w:rPr>
          <w:sz w:val="20"/>
          <w:szCs w:val="20"/>
          <w:color w:val="auto"/>
        </w:rPr>
      </w:pPr>
    </w:p>
    <w:p>
      <w:pPr>
        <w:spacing w:after="0" w:line="3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Zico, and C20, as well as a range of emerging brands and retailers’ own Private Label beverage brands. Our competition and competitors vary by market due to regional brands and taste preferences, as well as how developed the coconut water category is in each market.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also a large supplier of Private Label coconut water, and we compete with other Private Label suppliers for that business.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Operations</w:t>
      </w:r>
    </w:p>
    <w:p>
      <w:pPr>
        <w:spacing w:after="0" w:line="243"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 xml:space="preserve">As of December 31, 2025, we operated in two business segments: (i) the Americas segment, comprised of our operations primarily in the U.S. and Canada; and (ii) the International segment, comprised of operations primarily in Europe, the Middle East, Africa and the Asia Pacific regions. While 96% of our business is based on sales of coconut water, we have used our access to market to add other beverage brands, and production innovations such as </w:t>
      </w:r>
      <w:r>
        <w:rPr>
          <w:rFonts w:ascii="Times New Roman" w:cs="Times New Roman" w:eastAsia="Times New Roman" w:hAnsi="Times New Roman"/>
          <w:sz w:val="18"/>
          <w:szCs w:val="18"/>
          <w:i w:val="1"/>
          <w:iCs w:val="1"/>
          <w:color w:val="auto"/>
        </w:rPr>
        <w:t xml:space="preserve">Vita Coco </w:t>
      </w:r>
      <w:r>
        <w:rPr>
          <w:rFonts w:ascii="Times New Roman" w:cs="Times New Roman" w:eastAsia="Times New Roman" w:hAnsi="Times New Roman"/>
          <w:sz w:val="18"/>
          <w:szCs w:val="18"/>
          <w:color w:val="auto"/>
        </w:rPr>
        <w:t>Treats, with a long-term view to building a diversified beverage platform of compatible brands.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Vita Coco</w:t>
      </w:r>
    </w:p>
    <w:p>
      <w:pPr>
        <w:spacing w:after="0" w:line="254" w:lineRule="exact"/>
        <w:rPr>
          <w:sz w:val="20"/>
          <w:szCs w:val="20"/>
          <w:color w:val="auto"/>
        </w:rPr>
      </w:pPr>
    </w:p>
    <w:p>
      <w:pPr>
        <w:ind w:right="180" w:firstLine="648"/>
        <w:spacing w:after="0" w:line="259" w:lineRule="auto"/>
        <w:rPr>
          <w:sz w:val="20"/>
          <w:szCs w:val="20"/>
          <w:color w:val="auto"/>
        </w:rPr>
      </w:pPr>
      <w:r>
        <w:rPr>
          <w:rFonts w:ascii="Times New Roman" w:cs="Times New Roman" w:eastAsia="Times New Roman" w:hAnsi="Times New Roman"/>
          <w:sz w:val="18"/>
          <w:szCs w:val="18"/>
          <w:color w:val="auto"/>
        </w:rPr>
        <w:t xml:space="preserve">With the launch of the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brand in New York City in 2004, we established coconut water as a premium lifestyle drink in America. </w:t>
      </w:r>
      <w:r>
        <w:rPr>
          <w:rFonts w:ascii="Times New Roman" w:cs="Times New Roman" w:eastAsia="Times New Roman" w:hAnsi="Times New Roman"/>
          <w:sz w:val="18"/>
          <w:szCs w:val="18"/>
          <w:i w:val="1"/>
          <w:iCs w:val="1"/>
          <w:color w:val="auto"/>
        </w:rPr>
        <w:t>Vita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Coco </w:t>
      </w:r>
      <w:r>
        <w:rPr>
          <w:rFonts w:ascii="Times New Roman" w:cs="Times New Roman" w:eastAsia="Times New Roman" w:hAnsi="Times New Roman"/>
          <w:sz w:val="18"/>
          <w:szCs w:val="18"/>
          <w:color w:val="auto"/>
        </w:rPr>
        <w:t>is the coconut water category leader with greater than 40% market share in the U.S. according to Circana US for the 52 weeks ended December 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and over indexes to younger households and to more multicultural shoppers.</w:t>
      </w:r>
    </w:p>
    <w:p>
      <w:pPr>
        <w:spacing w:after="0" w:line="180"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 xml:space="preserve">We offer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as an alternative to sugar-packed sports drinks and other less healthy alternatives.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has evolved from a primarily pure coconut water brand to a full portfolio of coconut-based beverage products. The portfolio now includes multiple offerings in the coconut water category with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Extra Coconut,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Juice, and Farmers Organic, as well as offerings in adjacent plant-based categories such as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MLK, and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Treats.</w:t>
      </w:r>
    </w:p>
    <w:p>
      <w:pPr>
        <w:spacing w:after="0" w:line="204"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 xml:space="preserve">Our key strategies for growth for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include: 1) expanding the coconut water category through consumer education of the numerous usage occasions for coconut water and communicating the benefits of drinking coconut water, 2) increasing distribution of other product offerings such as Farmers Organic,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Juice, and launching new product innovations, such as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Treats, 3) expanding the number of households that purchase our products, 4) growing opportunities for new usage and distribution generally, and 5) developing and expanding our markets globally.</w:t>
      </w:r>
    </w:p>
    <w:p>
      <w:pPr>
        <w:spacing w:after="0" w:line="208" w:lineRule="exact"/>
        <w:rPr>
          <w:sz w:val="20"/>
          <w:szCs w:val="20"/>
          <w:color w:val="auto"/>
        </w:rPr>
      </w:pPr>
    </w:p>
    <w:p>
      <w:pPr>
        <w:ind w:right="80" w:firstLine="648"/>
        <w:spacing w:after="0" w:line="243" w:lineRule="auto"/>
        <w:rPr>
          <w:sz w:val="20"/>
          <w:szCs w:val="20"/>
          <w:color w:val="auto"/>
        </w:rPr>
      </w:pPr>
      <w:r>
        <w:rPr>
          <w:rFonts w:ascii="Times New Roman" w:cs="Times New Roman" w:eastAsia="Times New Roman" w:hAnsi="Times New Roman"/>
          <w:sz w:val="18"/>
          <w:szCs w:val="18"/>
          <w:color w:val="auto"/>
        </w:rPr>
        <w:t xml:space="preserve">Internationally, our business is anchored by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’s presence in the U.K., where it is the coconut water category leader with 80% market share, according to Circana UK, for the 52 weeks ended December 27, 2025. Our international teams in Europe and Asia have enabled us to sell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into other key markets including Europe, the Middle East, and Africa.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Label</w:t>
      </w:r>
    </w:p>
    <w:p>
      <w:pPr>
        <w:spacing w:after="0" w:line="243"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We expanded into Private Label coconut water in 2016 as a way to develop stronger ties with select, strategic retail partners and improve our operating scale. Our coconut water Private Label offering increases the scale and efficiency of our coconut water supply chain, and also provides us with a share of the value segment, without diluting our own brand. We also supply retailers with Private Label coconut oil.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PWR LIFT</w:t>
      </w:r>
    </w:p>
    <w:p>
      <w:pPr>
        <w:spacing w:after="0" w:line="241"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 xml:space="preserve">In 2021, we launched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a beverage targeted at post-workout and recovery occasions with added nutritional benefits.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is a protein-infused sports drink with electrolytes, BCAAs, and zero sugar, designed to provide fitness-minded consumers with protein in a hydrating beverage. It is a beverage targeted at post-workout and recovery occasions with added nutritional benefits. While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has proved to be attractive in online sales channels, we are still forming a successful long-term approach to retail channels. In 2026, we will continue online sales of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while redesigning our approach to succeeding in the protein drink category.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Ever &amp; Ever</w:t>
      </w:r>
    </w:p>
    <w:p>
      <w:pPr>
        <w:spacing w:after="0" w:line="227" w:lineRule="exact"/>
        <w:rPr>
          <w:sz w:val="20"/>
          <w:szCs w:val="20"/>
          <w:color w:val="auto"/>
        </w:rPr>
      </w:pPr>
    </w:p>
    <w:p>
      <w:pPr>
        <w:ind w:right="200" w:firstLine="648"/>
        <w:spacing w:after="0" w:line="251" w:lineRule="auto"/>
        <w:rPr>
          <w:sz w:val="20"/>
          <w:szCs w:val="20"/>
          <w:color w:val="auto"/>
        </w:rPr>
      </w:pPr>
      <w:r>
        <w:rPr>
          <w:rFonts w:ascii="Times New Roman" w:cs="Times New Roman" w:eastAsia="Times New Roman" w:hAnsi="Times New Roman"/>
          <w:sz w:val="18"/>
          <w:szCs w:val="18"/>
          <w:color w:val="auto"/>
        </w:rPr>
        <w:t xml:space="preserve">Launched in 2019,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xml:space="preserve"> was a purified water brand packaged solely in aluminum bottles. Given consumer concerns with the disposal or recyclability of plastic water bottles, we created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xml:space="preserve"> to respond to the consumer need for a sustainably packaged water product in aluminum bottles with potential infinite recyclability.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xml:space="preserve"> was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 xml:space="preserve">launched with a focus on the food service and office channels. We ceased production of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xml:space="preserve"> in 2024 and although we continued to sell inventory in 2025, it did not meaningfully contribute to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Runa</w:t>
      </w:r>
    </w:p>
    <w:p>
      <w:pPr>
        <w:spacing w:after="0" w:line="241"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Runa </w:t>
      </w:r>
      <w:r>
        <w:rPr>
          <w:rFonts w:ascii="Times New Roman" w:cs="Times New Roman" w:eastAsia="Times New Roman" w:hAnsi="Times New Roman"/>
          <w:sz w:val="18"/>
          <w:szCs w:val="18"/>
          <w:color w:val="auto"/>
        </w:rPr>
        <w:t>was a guayusa plant-based, natural offering for consumers in the energy drink market. As of December 2023, we ceased offering this brand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impaired all remaining assets in September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w:t>
      </w:r>
    </w:p>
    <w:p>
      <w:pPr>
        <w:spacing w:after="0" w:line="243"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We engage contract manufacturers, co-packers and third-party logistics providers to manufacture and distribute our products. Our fixed asset-light model enhances production flexibility and capacity, and enables us to focus on our core in-house capabilities which include supplier management, logistics, sales and marketing, brand management and customer service. Our well-diversified global manufacturing network spans across 16 coconut water factories in six countries that are operated by our manufacturing partners and six co-packing facilities in three countries for products not packaged near source. Our network provides us with significant production capacity and capabilities, and an ability to re-allocate coconut water sourcing in the event of supply chain issues, weather, logistics or other macroeconomic impacts.</w:t>
      </w:r>
    </w:p>
    <w:p>
      <w:pPr>
        <w:spacing w:after="0" w:line="213"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Coconut water needs to be transferred from the coconut into an aseptic package or converted to concentrate within hours of cutting a coconut from the tree. Our supply chain partners are positioned as close to key coconut growing regions as possible to keep quality at the highest level. Through our access and relationships with coconut processors and manufacturers in many countries, including the Philippines, Brazil, Thailand, Vietnam, Malaysia, and Sri Lanka, we have built a unique body of knowledge and relationships that promote coconut water processing at scale, as well as gained access to farms across diversified geographies. Our co-packing facilities, which primarily use concentrate, are located in Mexico, the U.S., and the U.K. We also attempt to foster a thriving loyal farming community around our manufacturing partners through our work with charitable organizations to support agricultural education programs and investments in schooling. This community outreach has strengthened our long-term manufacturing relationships and we believe will support our capacity needs for future growth.</w:t>
      </w:r>
    </w:p>
    <w:p>
      <w:pPr>
        <w:spacing w:after="0" w:line="201"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color w:val="auto"/>
        </w:rPr>
        <w:t>Raw materials used in our business and by our co-packers consist of ingredients and packaging materials purchased from local, regional and international suppliers. The principal ingredients and packaging include coconut water, Tetra Paks and caps, cardboard cartons, PET bottles, and aluminum bottles and cans. We work with our contract manufacturing partners to purchase our raw ingredients from local suppliers in accordance with rigorous standards to assure responsible sourcing, quality and safety. The majority of our products are produced and packaged with materials sourced from a single supplier, Tetra Pak, whether purchased by us or by our contract manufacturers on our behalf, which provides us efficiency in the packaging and exporting of our products, and furthers our commitment to responsible sourcing, packaging near source and sustainability. Our production contracts are mostly denominated in U.S. dollars, with some limited contracts in local currencies such as the Brazilian real.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Sales and Marketing</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Our beverages and other products are sold in club stores, supermarkets, convenience stores, drug stores, and e-commerce websites, as well as other</w:t>
      </w:r>
    </w:p>
    <w:p>
      <w:pPr>
        <w:spacing w:after="0" w:line="48"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outlets. Our products are typically shipped directly from our contract manufacturing partners to a network of third-party warehouses located in our selling markets. We go to market in North America through various distribution channels, including a Direct Store Delivery distribution network ("DSD"), Direct-to-Warehouse network ("DTW"), broadline distributors, and our own Direct-to-Consumer ("DTC") channel. We match the customers' needs with the right route to market providing us flexibility for our established brands and for our innovations. Outside of North America, we use a combination of DTW, importers and distributors depending on the needs of the market.</w:t>
      </w:r>
    </w:p>
    <w:p>
      <w:pPr>
        <w:spacing w:after="0" w:line="211"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 xml:space="preserve">Our European market is primarily retail and e-commerce operator direct sales, with some countries supported by distributor or importer type relationships. In China, we sell through a joint venture with the Jebsen Group, Coco Ventures Limited, which provides for the development, marketing, distribution and branding of coconut water-based products under the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brand in China. Other countries are serviced through importers with limited retail direct relationships or in partnership with one of our manufacturing partners through licensing or other agreements.</w:t>
      </w:r>
    </w:p>
    <w:p>
      <w:pPr>
        <w:spacing w:after="0" w:line="208" w:lineRule="exact"/>
        <w:rPr>
          <w:sz w:val="20"/>
          <w:szCs w:val="20"/>
          <w:color w:val="auto"/>
        </w:rPr>
      </w:pPr>
    </w:p>
    <w:p>
      <w:pPr>
        <w:ind w:right="100" w:firstLine="648"/>
        <w:spacing w:after="0" w:line="242" w:lineRule="auto"/>
        <w:rPr>
          <w:sz w:val="20"/>
          <w:szCs w:val="20"/>
          <w:color w:val="auto"/>
        </w:rPr>
      </w:pPr>
      <w:r>
        <w:rPr>
          <w:rFonts w:ascii="Times New Roman" w:cs="Times New Roman" w:eastAsia="Times New Roman" w:hAnsi="Times New Roman"/>
          <w:sz w:val="18"/>
          <w:szCs w:val="18"/>
          <w:color w:val="auto"/>
        </w:rPr>
        <w:t>We employ a dedicated global sales and commercial team. In the Americas, the sales team focuses on three main areas: (i) DSD management, (ii) national account management (including club, mass, food, convenience, and food service customers), and (iii) retail execution. Our International sales teams are aligned geographically and by major account or by import partner, and are further supported by small field execution and marketing teams depending on the market. Private Label accounts are handled by each geographic division in close cooperation with supply chain leadership. Our Coco Ventures joint venture supports sales and marketing of our distributor in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We also employ a brand, marketing, e-commerce and insights team with strong creative, social and digital capabilities with a primary focus on the North American and European markets. Our marketing strategy is designed to drive long-term brand equity and sustainable growth by educating consumers on the functional benefits of our products while building strong emotional connections with our brands. Since inception, we have leveraged support from a diverse group of celebrity and athlete advocates, and we continue to partner with talent and creators who are authentic users and aligned with our values.</w:t>
      </w:r>
    </w:p>
    <w:p>
      <w:pPr>
        <w:spacing w:after="0" w:line="2" w:lineRule="exact"/>
        <w:rPr>
          <w:sz w:val="20"/>
          <w:szCs w:val="20"/>
          <w:color w:val="auto"/>
        </w:rPr>
      </w:pPr>
    </w:p>
    <w:p>
      <w:pPr>
        <w:ind w:right="580"/>
        <w:spacing w:after="0" w:line="243" w:lineRule="auto"/>
        <w:rPr>
          <w:sz w:val="20"/>
          <w:szCs w:val="20"/>
          <w:color w:val="auto"/>
        </w:rPr>
      </w:pPr>
      <w:r>
        <w:rPr>
          <w:rFonts w:ascii="Times New Roman" w:cs="Times New Roman" w:eastAsia="Times New Roman" w:hAnsi="Times New Roman"/>
          <w:sz w:val="18"/>
          <w:szCs w:val="18"/>
          <w:color w:val="auto"/>
        </w:rPr>
        <w:t>We execute a diversified, data-driven marketing mix to bring our brands to life through compelling, consistent messaging - strengthening relevance, engagement, and loyalty with our target consumers.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As is typical in the beverage industry, sales of our beverages are seasonal, with the highest sales volumes generally occurring in the second and third fiscal quarters during the warmer months of the year in our major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Innovation</w:t>
      </w:r>
    </w:p>
    <w:p>
      <w:pPr>
        <w:spacing w:after="0" w:line="243"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We engage in research and development activities and invest in innovation globally with the goal of creating products using natural, functional ingredients. We have years of expertise working with plant-based ingredients to deliver products to meet the needs of our customers. We balance our innovation priorities between adding functionality and taste to existing brands and researching and developing new products and brands for new occasions, need states or specific retailer opportunities.</w:t>
      </w:r>
    </w:p>
    <w:p>
      <w:pPr>
        <w:spacing w:after="0" w:line="208" w:lineRule="exact"/>
        <w:rPr>
          <w:sz w:val="20"/>
          <w:szCs w:val="20"/>
          <w:color w:val="auto"/>
        </w:rPr>
      </w:pPr>
    </w:p>
    <w:p>
      <w:pPr>
        <w:ind w:right="440" w:firstLine="648"/>
        <w:spacing w:after="0" w:line="245" w:lineRule="auto"/>
        <w:rPr>
          <w:sz w:val="20"/>
          <w:szCs w:val="20"/>
          <w:color w:val="auto"/>
        </w:rPr>
      </w:pPr>
      <w:r>
        <w:rPr>
          <w:rFonts w:ascii="Times New Roman" w:cs="Times New Roman" w:eastAsia="Times New Roman" w:hAnsi="Times New Roman"/>
          <w:sz w:val="18"/>
          <w:szCs w:val="18"/>
          <w:color w:val="auto"/>
        </w:rPr>
        <w:t>Our global innovation function sits in the marketing team to ensure alignment with current brand initiatives and sharing of consumer insights across teams and markets. The innovation team works closely with our internal global research and development and technical teams that include employees in the U.S., Europe and Singapore focused on supplier capability, quality improvements and new processes. We also have strong supplier relationships that give us access to a broad scope of ingredients, packaging offerings and technologies.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43" w:lineRule="exact"/>
        <w:rPr>
          <w:sz w:val="20"/>
          <w:szCs w:val="20"/>
          <w:color w:val="auto"/>
        </w:rPr>
      </w:pPr>
    </w:p>
    <w:p>
      <w:pPr>
        <w:jc w:val="both"/>
        <w:ind w:right="100" w:firstLine="648"/>
        <w:spacing w:after="0" w:line="242" w:lineRule="auto"/>
        <w:rPr>
          <w:sz w:val="20"/>
          <w:szCs w:val="20"/>
          <w:color w:val="auto"/>
        </w:rPr>
      </w:pPr>
      <w:r>
        <w:rPr>
          <w:rFonts w:ascii="Times New Roman" w:cs="Times New Roman" w:eastAsia="Times New Roman" w:hAnsi="Times New Roman"/>
          <w:sz w:val="18"/>
          <w:szCs w:val="18"/>
          <w:color w:val="auto"/>
        </w:rPr>
        <w:t>We own domestic and international trademarks and other proprietary rights that are important to our business. We view our primary trademark to be VITA COCO. We have a global approach to protecting our trademarks, designs, patents and other intellectual property rights. We believe the protection of our trademarks, designs, copyrights, patents, domain names, trade dress and trade secrets are important to our success.</w:t>
      </w:r>
    </w:p>
    <w:p>
      <w:pPr>
        <w:spacing w:after="0" w:line="211" w:lineRule="exact"/>
        <w:rPr>
          <w:sz w:val="20"/>
          <w:szCs w:val="20"/>
          <w:color w:val="auto"/>
        </w:rPr>
      </w:pPr>
    </w:p>
    <w:p>
      <w:pPr>
        <w:jc w:val="both"/>
        <w:ind w:right="340" w:firstLine="648"/>
        <w:spacing w:after="0" w:line="250" w:lineRule="auto"/>
        <w:rPr>
          <w:sz w:val="20"/>
          <w:szCs w:val="20"/>
          <w:color w:val="auto"/>
        </w:rPr>
      </w:pPr>
      <w:r>
        <w:rPr>
          <w:rFonts w:ascii="Times New Roman" w:cs="Times New Roman" w:eastAsia="Times New Roman" w:hAnsi="Times New Roman"/>
          <w:sz w:val="18"/>
          <w:szCs w:val="18"/>
          <w:color w:val="auto"/>
        </w:rPr>
        <w:t>As of December 31, 2025, we had over 20 registered trademarks and over ten pending trademark applications in the U.S., as well as over 210 registered trademarks and over five pending trademark applications in other countries. Depending upon the jurisdiction, trademarks are valid as long as they are in use and/or their registrations are properly maintained.</w:t>
      </w:r>
    </w:p>
    <w:p>
      <w:pPr>
        <w:spacing w:after="0" w:line="204" w:lineRule="exact"/>
        <w:rPr>
          <w:sz w:val="20"/>
          <w:szCs w:val="20"/>
          <w:color w:val="auto"/>
        </w:rPr>
      </w:pPr>
    </w:p>
    <w:p>
      <w:pPr>
        <w:ind w:right="380" w:firstLine="648"/>
        <w:spacing w:after="0" w:line="250" w:lineRule="auto"/>
        <w:rPr>
          <w:sz w:val="20"/>
          <w:szCs w:val="20"/>
          <w:color w:val="auto"/>
        </w:rPr>
      </w:pPr>
      <w:r>
        <w:rPr>
          <w:rFonts w:ascii="Times New Roman" w:cs="Times New Roman" w:eastAsia="Times New Roman" w:hAnsi="Times New Roman"/>
          <w:sz w:val="18"/>
          <w:szCs w:val="18"/>
          <w:color w:val="auto"/>
        </w:rPr>
        <w:t>We consider information related to formulas, processes, know-how and methods used in our production and manufacturing as proprietary and endeavor to maintain them as trade secrets. We have reasonable measures in place to keep the above-mentioned items, as well as our business and marketing plans, customer lists and contracts reasonably protected.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43"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Our products are regulated in the U.S. as conventional foods. We, along with our distributors and manufacturing and co-packing partners, are subject to extensive laws and regulations in the U.S. by federal, state and local government authorities including, among others, the U.S. Federal Trade Commission ("FTC"), the U.S. Food and Drug Administration ("FDA"), the U.S. Department of Agriculture, the U.S. Environmental Protection Agency ("EPA") and the U.S. Occupational Safety and Health Administration and similar state and local agencies. Among other things, the facilities in which our products and ingredients are manufactured must register with the FDA, comply with current good manufacturing practices and other standard requirements applicable to the production and distribution of conventional food products. We and our manufacturing and co-packing partners are also subject to similar requirements in foreign jurisdictions in which we operate. These types of requirements include: product standards; product safety and reporting; marketing, sales, and distribution; packaging and labeling requirements; nutritional and health claims; advertising and promotion; import and export restrictions; and tariff regulations, duties, and tax requirements.</w:t>
      </w:r>
    </w:p>
    <w:p>
      <w:pPr>
        <w:spacing w:after="0" w:line="212"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Products that do not comply with applicable governmental or third-party regulations and standards may be considered adulterated or misbranded and subject, but not limited to, warning or untitled letters, product withdrawals or recalls, product seizures, relabeling or repackaging, total or partial suspensions of manufacturing or distribution, import</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holds, injunctions, fines, civil penalties or criminal prosecution. In addition, some of our products are produced and marketed under contract as part of special certification programs such as organic, kosher or non-GMO, and must comply with the strict standards of federal, state and third-party certifying organizations.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Benefit Corporation Status and Corporate Social Responsibility</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operate as a Delaware public benefit corporation, and, therefore, our operational decision-making goes beyond solely maximizing shareholder</w:t>
      </w:r>
    </w:p>
    <w:p>
      <w:pPr>
        <w:spacing w:after="0" w:line="36" w:lineRule="exact"/>
        <w:rPr>
          <w:sz w:val="20"/>
          <w:szCs w:val="20"/>
          <w:color w:val="auto"/>
        </w:rPr>
      </w:pPr>
    </w:p>
    <w:p>
      <w:pPr>
        <w:jc w:val="both"/>
        <w:ind w:right="200"/>
        <w:spacing w:after="0"/>
        <w:rPr>
          <w:sz w:val="20"/>
          <w:szCs w:val="20"/>
          <w:color w:val="auto"/>
        </w:rPr>
      </w:pPr>
      <w:r>
        <w:rPr>
          <w:rFonts w:ascii="Times New Roman" w:cs="Times New Roman" w:eastAsia="Times New Roman" w:hAnsi="Times New Roman"/>
          <w:sz w:val="18"/>
          <w:szCs w:val="18"/>
          <w:color w:val="auto"/>
        </w:rPr>
        <w:t>value. Our public benefit purpose, as provided in our certificate of incorporation, is harnessing, while protecting, nature’s resources for the betterment of the world and its habitants by creating ethical, sustainable, better-for-you beverages and consumer products that not only uplift our communities, but that do right by our planet. Furthermore, in order to advance the best interests of those materially affected by the corporation’s conduct, it is intended that our business and operations create a material positive impact on society, taken as a whole.</w:t>
      </w:r>
    </w:p>
    <w:p>
      <w:pPr>
        <w:spacing w:after="0" w:line="212" w:lineRule="exact"/>
        <w:rPr>
          <w:sz w:val="20"/>
          <w:szCs w:val="20"/>
          <w:color w:val="auto"/>
        </w:rPr>
      </w:pPr>
    </w:p>
    <w:p>
      <w:pPr>
        <w:ind w:right="100" w:firstLine="648"/>
        <w:spacing w:after="0" w:line="264" w:lineRule="auto"/>
        <w:rPr>
          <w:sz w:val="20"/>
          <w:szCs w:val="20"/>
          <w:color w:val="auto"/>
        </w:rPr>
      </w:pPr>
      <w:r>
        <w:rPr>
          <w:rFonts w:ascii="Times New Roman" w:cs="Times New Roman" w:eastAsia="Times New Roman" w:hAnsi="Times New Roman"/>
          <w:sz w:val="17"/>
          <w:szCs w:val="17"/>
          <w:color w:val="auto"/>
        </w:rPr>
        <w:t>In 2022, The Vita Coco Company, Inc. was designated as a Certified B Corporation, a certification reserved for businesses that balance profit and purpose to meet the highest verified standards of social and environmental performance, public transparency and legal accountability. Through achieving Certified B Corporation status, The Vita Coco Company, Inc. joined its subsidiary, All Market Europe Ltd., a U.K. company, which had previously achieved Certified B Corporation status. In 2025, we recertified our B Corporation status for both entities, improving upon our 2022 certification score.</w:t>
      </w:r>
    </w:p>
    <w:p>
      <w:pPr>
        <w:spacing w:after="0" w:line="193"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We believe that we bring our products to market through a responsibly designed supply chain, and provide farmers and manufacturers the partnership, investment and training they need to not only reduce waste and environmental impact, but also bring income and opportunity to their local communities. In 2014, we created the Vita Coco Project to support and empower our coconut farming communities by encouraging innovative farming practices, improving educational resources, and scaling our business to promote economic prosperity. With our impact driven philosophy, we seek to contribute to educational programs and facilities by supporting initiatives to build new classrooms and fund scholarships, with a goal to impact the lives of people in these communities. Additionally, we attempt to partner with other third-party organizations that share and advance our ideals, including economic prosperity, accessible nutrition and wellness, and environmental responsibility.</w:t>
      </w:r>
    </w:p>
    <w:p>
      <w:pPr>
        <w:spacing w:after="0" w:line="19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believe this purpose-driven approach has aided our growth as we believe it is strategically aligned with the beliefs of our global consumer base and has improved our supplier relationships. To further support our public benefit purpose and impact driven philosophy, we formed the Vita Coco Community Foundation, a standalone, 501(c)(3) nonprofit organization, in December 2023.</w:t>
      </w:r>
    </w:p>
    <w:p>
      <w:pPr>
        <w:spacing w:after="0" w:line="204"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annually publish an Impact Report describing the environmental and social impacts of our business. As a public benefit corporation, we are required by Delaware law to provide a biennial statement on our promotion of the public benefits identified in our certificate of incorporation and of the best interests of those materially affected by the corporation's conduct. Our biennial public benefit corporation statement was included in our Impact Report issued in early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43"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we had 336 full-time employees. Of these employees, 235 were employed in the U.S. None of these employees are represented by labor unions or covered by collective bargaining agreements. We have never experienced a labor-related work stoppage.</w:t>
      </w:r>
    </w:p>
    <w:p>
      <w:pPr>
        <w:spacing w:after="0" w:line="189"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Our people are at the heart of our business. Our Board of Directors (the "Board") provides oversight of the policies and procedures relating to talent, leadership, culture and compensation plans for our Executive Chairman and Chief Executive Officer. The Compensation Committee evaluates and approves the compensation plans for our executive officers. We believe that we have been able to attract diverse and highly engaged employees who share our belief in our mission and further promote our inclusive company culture. To monitor the health of our human capital resources, we track turnover, perform exit interviews, conduct periodic employee surveys, hold quarterly town halls with open question and answer sessions, and conduct performance reviews and build development plans to assist each employee achieve their potential. Based on exit interviews and employee surveys, we identify opportunities for improvement in our processes and track our employee engagement levels. We award equity grants with vesting based on continued employment to eligible employees in order to motivate retention and align our employees with our other shareholders.</w:t>
      </w:r>
    </w:p>
    <w:p>
      <w:pPr>
        <w:spacing w:after="0" w:line="214"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promote and value a diverse, equitable and inclusive culture for our employees. Our Diversity and Inclusivity Committee works to celebrate all our employees, educate and recommend improvements to our processes to enhance our organization and our culture. As of December 31, 2025, approximately 51% of our employees in our global workforce identified as female, 48% identified as male, and 1% did not disclose their gender identity. In addition, at the end of 2025,</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approximately 30% of our employees identified as Black, Indigenous and/or People of Color or two or more races, 40% identified as white, and 30% did not disclose their race. We strive to reflect the diverse identities and cultures of our consumers.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Vita Coco Company, Inc. was incorporated in Delaware as a corporation in January 2007 and as a public benefit corporation in April 2021.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completed an IPO of our common stock in October 2021.</w:t>
      </w:r>
    </w:p>
    <w:p>
      <w:pPr>
        <w:spacing w:after="0" w:line="165" w:lineRule="exact"/>
        <w:rPr>
          <w:sz w:val="20"/>
          <w:szCs w:val="20"/>
          <w:color w:val="auto"/>
        </w:rPr>
      </w:pPr>
    </w:p>
    <w:p>
      <w:pPr>
        <w:ind w:firstLine="648"/>
        <w:spacing w:after="0" w:line="216" w:lineRule="auto"/>
        <w:rPr>
          <w:sz w:val="20"/>
          <w:szCs w:val="20"/>
          <w:color w:val="auto"/>
        </w:rPr>
      </w:pPr>
      <w:r>
        <w:rPr>
          <w:rFonts w:ascii="Times New Roman" w:cs="Times New Roman" w:eastAsia="Times New Roman" w:hAnsi="Times New Roman"/>
          <w:sz w:val="18"/>
          <w:szCs w:val="18"/>
          <w:color w:val="auto"/>
        </w:rPr>
        <w:t>Our website is www.thevitacococompany.com. At our Investor Relations website, investors.thevitacococompany.com, we make available, free of charge, a variety of information for investors, including our annual reports on Form 10-K, quarterly reports on Form 10-Q, current reports on Form 8-K and any amendments to those reports, as soon as reasonably practicable after we electronically file that material with or furnish it to the Securities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Commission (the "SEC"). The information found on our website is not part of this or any other report we file with, or furnish to, the SEC.</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Our business involves a high degree of risk. You should carefully consider the risks and uncertainties described below, together with all of the</w:t>
      </w:r>
    </w:p>
    <w:p>
      <w:pPr>
        <w:spacing w:after="0" w:line="4"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i w:val="1"/>
          <w:iCs w:val="1"/>
          <w:color w:val="auto"/>
        </w:rPr>
        <w:t>other information in this Annual Report on Form 10-K. This section contains forward-looking statements. You should refer to the explanation of the qualifications and limitations on forward-looking statements set forth below the Summary Risk Factors of this Annual Report on Form 10-K. The risks and uncertainties described below are not the only ones we face. Additional risk and uncertainties not presently known to us or that we currently deem</w:t>
      </w:r>
    </w:p>
    <w:p>
      <w:pPr>
        <w:spacing w:after="0" w:line="2" w:lineRule="exact"/>
        <w:rPr>
          <w:sz w:val="20"/>
          <w:szCs w:val="20"/>
          <w:color w:val="auto"/>
        </w:rPr>
      </w:pPr>
    </w:p>
    <w:p>
      <w:pPr>
        <w:ind w:right="240"/>
        <w:spacing w:after="0" w:line="218" w:lineRule="auto"/>
        <w:rPr>
          <w:sz w:val="20"/>
          <w:szCs w:val="20"/>
          <w:color w:val="auto"/>
        </w:rPr>
      </w:pPr>
      <w:r>
        <w:rPr>
          <w:rFonts w:ascii="Times New Roman" w:cs="Times New Roman" w:eastAsia="Times New Roman" w:hAnsi="Times New Roman"/>
          <w:sz w:val="18"/>
          <w:szCs w:val="18"/>
          <w:i w:val="1"/>
          <w:iCs w:val="1"/>
          <w:color w:val="auto"/>
        </w:rPr>
        <w:t>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00" w:lineRule="exact"/>
        <w:rPr>
          <w:sz w:val="20"/>
          <w:szCs w:val="20"/>
          <w:color w:val="auto"/>
        </w:rPr>
      </w:pPr>
    </w:p>
    <w:p>
      <w:pPr>
        <w:spacing w:after="0" w:line="336"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Sales of our coconut water products constitute a significant portion of our revenue, and a reduction in demand for our coconut water products or a decrease in consumer demand for coconut water generally would have an adverse effect on our financial condition.</w:t>
      </w:r>
    </w:p>
    <w:p>
      <w:pPr>
        <w:spacing w:after="0" w:line="199" w:lineRule="exact"/>
        <w:rPr>
          <w:sz w:val="20"/>
          <w:szCs w:val="20"/>
          <w:color w:val="auto"/>
        </w:rPr>
      </w:pPr>
    </w:p>
    <w:p>
      <w:pPr>
        <w:ind w:right="380" w:firstLine="648"/>
        <w:spacing w:after="0" w:line="216" w:lineRule="auto"/>
        <w:rPr>
          <w:sz w:val="20"/>
          <w:szCs w:val="20"/>
          <w:color w:val="auto"/>
        </w:rPr>
      </w:pPr>
      <w:r>
        <w:rPr>
          <w:rFonts w:ascii="Times New Roman" w:cs="Times New Roman" w:eastAsia="Times New Roman" w:hAnsi="Times New Roman"/>
          <w:sz w:val="18"/>
          <w:szCs w:val="18"/>
          <w:color w:val="auto"/>
        </w:rPr>
        <w:t>Our coconut water accounted for 96% of our revenue for the year ended December 31, 2025. We expect that sales of our coconut water will continue to constitute a significant portion of our revenue, income and cash flow for the foreseeable future. Any material negative change to consumer demand for our products or coconut water generally or failure to grow the coconut water category could materially and adversely affect our business,</w:t>
      </w:r>
    </w:p>
    <w:p>
      <w:pPr>
        <w:spacing w:after="0" w:line="1"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financial condition, results of operations and cash flows. We are also subject to the risk of overly relying upon a few large customers (whether serviced directly or through distributors) in a particular market due to the concentration that exists in retail ownership in our key markets and our significant Private Label business with several large retailers. We cannot be certain that consumer and retail customer demand for our other existing and future products will</w:t>
      </w:r>
    </w:p>
    <w:p>
      <w:pPr>
        <w:spacing w:after="0" w:line="2" w:lineRule="exact"/>
        <w:rPr>
          <w:sz w:val="20"/>
          <w:szCs w:val="20"/>
          <w:color w:val="auto"/>
        </w:rPr>
      </w:pPr>
    </w:p>
    <w:p>
      <w:pPr>
        <w:ind w:right="360"/>
        <w:spacing w:after="0" w:line="220" w:lineRule="auto"/>
        <w:rPr>
          <w:sz w:val="20"/>
          <w:szCs w:val="20"/>
          <w:color w:val="auto"/>
        </w:rPr>
      </w:pPr>
      <w:r>
        <w:rPr>
          <w:rFonts w:ascii="Times New Roman" w:cs="Times New Roman" w:eastAsia="Times New Roman" w:hAnsi="Times New Roman"/>
          <w:sz w:val="17"/>
          <w:szCs w:val="17"/>
          <w:color w:val="auto"/>
        </w:rPr>
        <w:t>expand to reduce this reliance on coconut water and allow such products to represent a larger percentage of our revenue than they do currently. Accordingly, any factor adversely affecting demand or sales of our coconut water or coconut water generally or a negative decision by a major retailer, could have a material adverse effect on our business, financial condition, results of operations and cash flows. For example, one of our significant</w:t>
      </w:r>
    </w:p>
    <w:p>
      <w:pPr>
        <w:spacing w:after="0" w:line="2" w:lineRule="exact"/>
        <w:rPr>
          <w:sz w:val="20"/>
          <w:szCs w:val="20"/>
          <w:color w:val="auto"/>
        </w:rPr>
      </w:pPr>
    </w:p>
    <w:p>
      <w:pPr>
        <w:jc w:val="both"/>
        <w:ind w:right="80"/>
        <w:spacing w:after="0" w:line="208" w:lineRule="auto"/>
        <w:rPr>
          <w:sz w:val="20"/>
          <w:szCs w:val="20"/>
          <w:color w:val="auto"/>
        </w:rPr>
      </w:pPr>
      <w:r>
        <w:rPr>
          <w:rFonts w:ascii="Times New Roman" w:cs="Times New Roman" w:eastAsia="Times New Roman" w:hAnsi="Times New Roman"/>
          <w:sz w:val="18"/>
          <w:szCs w:val="18"/>
          <w:color w:val="auto"/>
        </w:rPr>
        <w:t>customers discontinued the Private Label coconut oil supply relationship in early 2024, and we also experienced an impact in Private Label coconut water net sales in 2025 with this customer due to the loss of some regions that we previously serviced for this customer. However, this customer has requested to restart supply in early 2026 for one of those lost regions. We will continue to service their needs if we are asked and it aligns with our long-term margin</w:t>
      </w:r>
    </w:p>
    <w:p>
      <w:pPr>
        <w:spacing w:after="0" w:line="2" w:lineRule="exact"/>
        <w:rPr>
          <w:sz w:val="20"/>
          <w:szCs w:val="20"/>
          <w:color w:val="auto"/>
        </w:rPr>
      </w:pPr>
    </w:p>
    <w:p>
      <w:pPr>
        <w:jc w:val="both"/>
        <w:ind w:right="80"/>
        <w:spacing w:after="0" w:line="226" w:lineRule="auto"/>
        <w:rPr>
          <w:sz w:val="20"/>
          <w:szCs w:val="20"/>
          <w:color w:val="auto"/>
        </w:rPr>
      </w:pPr>
      <w:r>
        <w:rPr>
          <w:rFonts w:ascii="Times New Roman" w:cs="Times New Roman" w:eastAsia="Times New Roman" w:hAnsi="Times New Roman"/>
          <w:sz w:val="18"/>
          <w:szCs w:val="18"/>
          <w:color w:val="auto"/>
        </w:rPr>
        <w:t>targets. Generally, the Private Label business is rebid regularly, and adjustments are often made to the regional areas serviced, or a complete transfer of the business to another supplier. These changes can be abrupt and difficult to predict.</w:t>
      </w:r>
    </w:p>
    <w:p>
      <w:pPr>
        <w:spacing w:after="0" w:line="19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problems or interruptions with our supply chain, our costs may increase and our or our customers’ ability to deliver our products to market could be adversely affected, impacting our business and profitability.</w:t>
      </w:r>
    </w:p>
    <w:p>
      <w:pPr>
        <w:spacing w:after="0" w:line="159" w:lineRule="exact"/>
        <w:rPr>
          <w:sz w:val="20"/>
          <w:szCs w:val="20"/>
          <w:color w:val="auto"/>
        </w:rPr>
      </w:pPr>
    </w:p>
    <w:p>
      <w:pPr>
        <w:ind w:right="380" w:firstLine="648"/>
        <w:spacing w:after="0" w:line="222" w:lineRule="auto"/>
        <w:rPr>
          <w:sz w:val="20"/>
          <w:szCs w:val="20"/>
          <w:color w:val="auto"/>
        </w:rPr>
      </w:pPr>
      <w:r>
        <w:rPr>
          <w:rFonts w:ascii="Times New Roman" w:cs="Times New Roman" w:eastAsia="Times New Roman" w:hAnsi="Times New Roman"/>
          <w:sz w:val="18"/>
          <w:szCs w:val="18"/>
          <w:color w:val="auto"/>
        </w:rPr>
        <w:t>Our supply chain is heavily reliant on third-party partners, and our success is dependent upon our ability to maintain our relationships with existing partners and enter into new arrangements in the future. Any changes to the relationships with our existing partners, including deprioritizing or</w:t>
      </w:r>
    </w:p>
    <w:p>
      <w:pPr>
        <w:spacing w:after="0" w:line="2"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7"/>
          <w:szCs w:val="17"/>
          <w:color w:val="auto"/>
        </w:rPr>
        <w:t>experiencing delays in our production, or terminating the relationship could adversely affect our business. Furthermore, if we need to find an alternative or new manufacturing or co-packing partner, we would need to spend a significant amount of time and resources to ensure the new partner can meet our standards for quality control and have the necessary capabilities, responsiveness, high-quality service and financial stability, among other things, that align</w:t>
      </w:r>
    </w:p>
    <w:p>
      <w:pPr>
        <w:spacing w:after="0" w:line="2" w:lineRule="exact"/>
        <w:rPr>
          <w:sz w:val="20"/>
          <w:szCs w:val="20"/>
          <w:color w:val="auto"/>
        </w:rPr>
      </w:pPr>
    </w:p>
    <w:p>
      <w:pPr>
        <w:ind w:right="560"/>
        <w:spacing w:after="0" w:line="218" w:lineRule="auto"/>
        <w:rPr>
          <w:sz w:val="20"/>
          <w:szCs w:val="20"/>
          <w:color w:val="auto"/>
        </w:rPr>
      </w:pPr>
      <w:r>
        <w:rPr>
          <w:rFonts w:ascii="Times New Roman" w:cs="Times New Roman" w:eastAsia="Times New Roman" w:hAnsi="Times New Roman"/>
          <w:sz w:val="18"/>
          <w:szCs w:val="18"/>
          <w:color w:val="auto"/>
        </w:rPr>
        <w:t>with our values and mission. We may need to assist that manufacturing or co-packing partner in purchasing and installing packaging and processing capability which may further delay and increase the financial costs of including them in our supply network and increase the financial risk of that relationship. Although we do</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spacing w:after="0" w:line="222" w:lineRule="auto"/>
        <w:rPr>
          <w:sz w:val="20"/>
          <w:szCs w:val="20"/>
          <w:color w:val="auto"/>
        </w:rPr>
      </w:pPr>
      <w:r>
        <w:rPr>
          <w:rFonts w:ascii="Times New Roman" w:cs="Times New Roman" w:eastAsia="Times New Roman" w:hAnsi="Times New Roman"/>
          <w:sz w:val="18"/>
          <w:szCs w:val="18"/>
          <w:color w:val="auto"/>
        </w:rPr>
        <w:t>not rely on our co-packing partners for the sourcing of raw materials, we face similar risks related to the operations and quality of services provided by such partners. Continued growth in demand could require the addition of new capacity and partners and there is no guarantee that such additions will be as</w:t>
      </w:r>
    </w:p>
    <w:p>
      <w:pPr>
        <w:spacing w:after="0" w:line="2" w:lineRule="exact"/>
        <w:rPr>
          <w:sz w:val="20"/>
          <w:szCs w:val="20"/>
          <w:color w:val="auto"/>
        </w:rPr>
      </w:pPr>
    </w:p>
    <w:p>
      <w:pPr>
        <w:ind w:right="420"/>
        <w:spacing w:after="0" w:line="218" w:lineRule="auto"/>
        <w:rPr>
          <w:sz w:val="20"/>
          <w:szCs w:val="20"/>
          <w:color w:val="auto"/>
        </w:rPr>
      </w:pPr>
      <w:r>
        <w:rPr>
          <w:rFonts w:ascii="Times New Roman" w:cs="Times New Roman" w:eastAsia="Times New Roman" w:hAnsi="Times New Roman"/>
          <w:sz w:val="18"/>
          <w:szCs w:val="18"/>
          <w:color w:val="auto"/>
        </w:rPr>
        <w:t>cost competitive as our current suppliers. If we are unable to manage our supply chain effectively and ensure that our products are available to meet consumer demand, we may not have the ability to pursue our growth strategy, our sales may decrease, and our business, financial condition, results of operations and cash flows may be materially adversely affected.</w:t>
      </w:r>
    </w:p>
    <w:p>
      <w:pPr>
        <w:spacing w:after="0" w:line="212"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Our independent shipping partners transport our products from the country of origin or from our domestic co-packing partners, which are then received by, and subsequently distributed from, our third party warehousing and fulfillment service providers to our distributors and retail-direct customers by our third party transportation partners or customer pickup. We depend in large part on the orderly operation of this receiving and distribution process from these third party partners, which depends, in turn, on timely arrival of products from ports or co-packers, availability of outbound and inbound shipping, real-time tracking information on our products location, and effective operations at the warehouses or distribution centers and the ports through which our products flow. Any increase in transportation costs (including increases in fuel costs), increased shipping costs or shipping transit times, increased warehouse costs, issues with overseas shipments or port or supplier-side delays, reductions in the transportation capacity of carriers, labor strikes or shortages in the transportation industry, disruptions to the national and international transportation infrastructure, decreased warehouse availability including due to labor shortages, and unexpected delivery interruptions or delays may increase the cost of, and adversely impact, our logistics, and our ability to provide quality and timely service to our distributors or retail-direct customers. The inability to fulfill or any delays in processing customer or consumer orders from the warehousing or fulfillment centers of our providers, or any quality issues could result in the loss of consumers, retail partners or distributors, or the issuances of penalties, refunds or credits, and may also adversely affect our reputation.</w:t>
      </w:r>
    </w:p>
    <w:p>
      <w:pPr>
        <w:spacing w:after="0" w:line="233"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Additionally, external events beyond our control may affect and cause interruptions or delays in our supply chain. Disruptions in operations due to natural or man-made disasters, inclement weather conditions, accidents, system failures, power outages, political instability, physical or cyber break-ins, server failure, work stoppages, slowdowns or strikes by employees, acts of terrorism, the outbreak of viruses, widespread illness, infectious diseases, contagions and the occurrence of unforeseen epidemics and other unforeseen or catastrophic events could damage the facilities of our supply chain partners or render them inoperable, effect the flow of product to and from these centers, or impact our ability to manage our partners, making it difficult or impossible for us to process customer or consumer orders for an extended period of time. We could also incur significantly higher costs and longer lead times during the time it takes for our supply chain to react and normalize.</w:t>
      </w:r>
    </w:p>
    <w:p>
      <w:pPr>
        <w:spacing w:after="0" w:line="208"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Furthermore, international instability, including volatility in global oil markets, ongoing geopolitical tensions or ongoing trade tensions, including the imposition of tariffs, may affect our supply chain, impacting our costs and our capacity to timely supply our products. It is hard to predict where ocean freight rates and capacity will be in the future and what long-term rates could be. Most of our business relies on shipping prepackaged coconut water from sourcing countries to our countries of sale so we are very dependent on shipping container prices and service levels and cost increases in shipping and the imposition of tariffs have materially impacted our financial results in recent years. Due to the price sensitivity of our products, we may not be able to pass such increases on to our customers. Any such disruption or unanticipated event may cause significant interruptions or delays in our business and the reduction or loss of inventory may render us unable to fulfill customer orders in a timely manner, or at all, which could materially adversely affect our business, financial condition, results of operations and cash flows.</w:t>
      </w:r>
    </w:p>
    <w:p>
      <w:pPr>
        <w:spacing w:after="0" w:line="290" w:lineRule="exact"/>
        <w:rPr>
          <w:sz w:val="20"/>
          <w:szCs w:val="20"/>
          <w:color w:val="auto"/>
        </w:rPr>
      </w:pPr>
    </w:p>
    <w:p>
      <w:pPr>
        <w:ind w:right="44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Our cash flows and results of operations may be negatively affected if we are not successful in predicting demand and managing our inventory at appropriate levels for the demand that we experience.</w:t>
      </w:r>
    </w:p>
    <w:p>
      <w:pPr>
        <w:spacing w:after="0" w:line="199"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Efficient inventory planning and management is a key component of our success and profitability. To be successful, we must maintain sufficient inventory levels to meet our customers’ demands without allowing those levels to increase to such an extent that the costs of holding the products unduly impact our financial results or create obsolete inventory, while ensuring we have adequate inventory to fulfill their needs, if their demand changes unexpectedly.</w:t>
      </w:r>
    </w:p>
    <w:p>
      <w:pPr>
        <w:spacing w:after="0" w:line="204"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Maintaining adequate inventory requires significant attention to and monitoring of: market trends, local market demands; performance of our raw material suppliers and manufacturers, our logistics suppliers and distributors; the impact of tariffs and trade restrictions; and the collection of data to enable efficient forecasting and inventory management. Although we seek to forecast and plan our product needs sufficiently in advance of anticipated requirements to facilitate reserving production time at our manufacturing and co-packing partners, and arranging for the availability and supply of packaging and ingredient materials, our product takes many weeks to arrive at our warehouses from our manufacturing partners, which reduces our flexibility to react to short term or unexpected consumer demand changes, or changes in transit times, as it can require planning as much as six months in advance to coordinate all materials for production. As we expand our operations, it may be more difficult to effectively manage our inventory as the complexity increases. In any cases</w:t>
      </w: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where consumers might not have access to our products, our reputation and brands could be harmed, and consumers may be less likely to recommend our products in the future. If we are not successful in managing our inventory balances, it could have a material adverse effect on our business, financial conditions, results of operations and cash flows.</w:t>
      </w:r>
    </w:p>
    <w:p>
      <w:pPr>
        <w:spacing w:after="0" w:line="192"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future business, financial condition, results of operations and cash flows may be adversely affected by reduced or limited availability of coconuts and other raw materials for our products</w:t>
      </w:r>
      <w:r>
        <w:rPr>
          <w:rFonts w:ascii="Arial" w:cs="Arial" w:eastAsia="Arial" w:hAnsi="Arial"/>
          <w:sz w:val="21"/>
          <w:szCs w:val="21"/>
          <w:color w:val="auto"/>
        </w:rPr>
        <w:t>.</w:t>
      </w:r>
    </w:p>
    <w:p>
      <w:pPr>
        <w:spacing w:after="0" w:line="197"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Our ability to ensure a continuing supply of high-quality coconuts and other raw materials for our products at competitive prices depends on many factors beyond our control. We rely on a limited number of regional manufacturing partners to source and acquire certain of our raw materials and provide us with finished coconut-based products. Our financial performance depends in large part on their ability to arrange for the purchase of raw materials, including coconuts, coconut water and other natural ingredients, in sufficient quantities.</w:t>
      </w:r>
    </w:p>
    <w:p>
      <w:pPr>
        <w:spacing w:after="0" w:line="204"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The coconuts from which our products are sourced, and the harvesting and transportation of them to our manufacturing partners, are vulnerable to adverse weather conditions and natural disasters, such as floods, droughts, earthquakes, hurricanes, typhoons, pestilence and other shortages and disease, as well as political events and other conditions which can adversely impact quantity and quality, leading to reduced coconut yields and quality, which in turn could reduce the available supply of, or increase the price of, our raw materials. Our manufacturing partners may have general difficulties in obtaining raw materials, particularly coconut derived products, due to our high quality standards. Our current manufacturing partners operate in the Philippines, Sri Lanka, Malaysia, Thailand, Brazil, Vietnam, and Indonesia, and source coconuts from owned trees and networks of many independent small farmers, while some of our co-packers operate in Mexico, the U.S., and the U.K. and source co-packing materials from these regions. Thus, while we attempt to mitigate the risk by sourcing in multiple geographic areas, the supply of coconuts and other ingredients and materials may be particularly affected by any adverse events in these countries or regions. Any disruption in the ability of our manufacturing partners to source coconuts or other raw materials from their local suppliers to produce our finished goods would result in lower sales volumes and increased costs, and may have a material adverse effect on our business, financial condition, results of operations and cash flows if the necessary supply cannot be replaced in a timely manner or at all.</w:t>
      </w:r>
    </w:p>
    <w:p>
      <w:pPr>
        <w:spacing w:after="0" w:line="229"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color w:val="auto"/>
        </w:rPr>
        <w:t>In addition, we also compete with other food and beverage companies in the procurement of coconut materials and other raw materials, and this competition may increase in the future if consumer demand increases for these materials or products containing such materials, and if new or existing competitors increasingly offer products in these market sectors. If supplies of coconut materials and other raw materials that meet our quality standards are reduced or are in greater demand, this could cause our expenses to increase and we or our manufacturing partners may not be able to obtain sufficient supply to meet our needs on favorable terms, or at all.</w:t>
      </w:r>
    </w:p>
    <w:p>
      <w:pPr>
        <w:spacing w:after="0" w:line="208" w:lineRule="exact"/>
        <w:rPr>
          <w:sz w:val="20"/>
          <w:szCs w:val="20"/>
          <w:color w:val="auto"/>
        </w:rPr>
      </w:pPr>
    </w:p>
    <w:p>
      <w:pPr>
        <w:ind w:right="140" w:firstLine="648"/>
        <w:spacing w:after="0" w:line="247" w:lineRule="auto"/>
        <w:rPr>
          <w:sz w:val="20"/>
          <w:szCs w:val="20"/>
          <w:color w:val="auto"/>
        </w:rPr>
      </w:pPr>
      <w:r>
        <w:rPr>
          <w:rFonts w:ascii="Times New Roman" w:cs="Times New Roman" w:eastAsia="Times New Roman" w:hAnsi="Times New Roman"/>
          <w:sz w:val="18"/>
          <w:szCs w:val="18"/>
          <w:color w:val="auto"/>
        </w:rPr>
        <w:t>Our manufacturing partners and their ability to source coconut materials and other raw materials may also be affected by any changes among farmers in our sourcing countries as to what they choose to grow and harvest, changes in global economic conditions or climate, and our or their ability to forecast or to commit to our raw materials requirements. Many of these farmers also have alternative income opportunities and the relative financial performance of growing coconuts or other raw materials as compared to other potentially more profitable opportunities could affect their interest in working with us or our manufacturing partners. Any of these factors could impact our ability to supply our products to customers and consumers and may adversely affect our business, financial condition, results of operations and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financial performance is closely tied to our Americas operating segment.</w:t>
      </w:r>
    </w:p>
    <w:p>
      <w:pPr>
        <w:spacing w:after="0" w:line="256"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Our financial performance is largely dependent on our Americas operating segment, which accounted for approximately 83% of consolidated total net revenue in fiscal year 2025. Because the Americas segment is more mature and produces the majority of our operating cash flows, any slowdown or decline in this segment may adversely affect our business, financial condition, results of operations and cash flow. Our International segment may be unable to make up any significant shortfall if our Americas segment, specifically the U.S. market, were to slow or decline, and our business and financial results could be adversely affected.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our existing suppliers for materials used to package our products, the costs of which may be volatile and may rise significantly.</w:t>
      </w:r>
    </w:p>
    <w:p>
      <w:pPr>
        <w:spacing w:after="0" w:line="256"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In addition to purchasing coconut materials and other ingredients, we negotiate the terms and specifications for the purchase of significant quantities of packaging materials and pallets by our manufacturers and co-packing partners from third parties. The majority of our products are produced and packaged with materials sourced from a single supplier, Tetra Pak. While we believe that we may be able to establish alternative supply relationships for some of these materials, we may</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be unable to do so in the short term, or at all, at prices or quality levels that are acceptable to us, or in packaging that is acceptable to consumers. Further, any such alternative supplier arrangements may lead to increased costs or delays.</w:t>
      </w:r>
    </w:p>
    <w:p>
      <w:pPr>
        <w:spacing w:after="0" w:line="203"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Volatility or inflation in the costs of our packaging materials and other supplies that we or our manufacturing partners purchase could increase our cost of sales and reduce our profitability. Moreover, we may not be able to implement price increases for our products to cover any increased costs, and any price increases we do implement may result in lower sales volumes or lost relationships. If we are not successful in managing our packaging costs, or if we are unable to increase our prices to cover increased costs or if such price increases reduce our sales volumes, then such increases in costs will adversely affect our business, financial condition, results of operations and cash flows.</w:t>
      </w:r>
    </w:p>
    <w:p>
      <w:pPr>
        <w:spacing w:after="0" w:line="208"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Further, changes in business conditions, pandemics, governmental regulations and other factors beyond our control that we do not presently anticipate could affect our manufacturing and co-packing partners’ ability to receive components from our existing or future suppliers of such materials or the availability of such components generally. The unavailability of any components for our suppliers could result in production delays and idle manufacturing facilities which may increase our cost of operations and render us unable to fulfill customer orders in a timely manner. In addition, quality issues with packaging materials or packaging processes, could result in the need to replace inventory produced, resulting in increased costs.</w:t>
      </w:r>
    </w:p>
    <w:p>
      <w:pPr>
        <w:spacing w:after="0" w:line="200"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distributor and retail customers for most of our sales, and our failure to maintain these relationships or further develop our sales channels could harm our business, financial condition, results of operations and cash flows.</w:t>
      </w:r>
    </w:p>
    <w:p>
      <w:pPr>
        <w:spacing w:after="0" w:line="198" w:lineRule="exact"/>
        <w:rPr>
          <w:sz w:val="20"/>
          <w:szCs w:val="20"/>
          <w:color w:val="auto"/>
        </w:rPr>
      </w:pPr>
    </w:p>
    <w:p>
      <w:pPr>
        <w:jc w:val="both"/>
        <w:ind w:right="100" w:firstLine="648"/>
        <w:spacing w:after="0" w:line="246" w:lineRule="auto"/>
        <w:rPr>
          <w:sz w:val="20"/>
          <w:szCs w:val="20"/>
          <w:color w:val="auto"/>
        </w:rPr>
      </w:pPr>
      <w:r>
        <w:rPr>
          <w:rFonts w:ascii="Times New Roman" w:cs="Times New Roman" w:eastAsia="Times New Roman" w:hAnsi="Times New Roman"/>
          <w:sz w:val="18"/>
          <w:szCs w:val="18"/>
          <w:color w:val="auto"/>
        </w:rPr>
        <w:t>We derive a significant portion of our revenue from our network of domestic and international distributors and retail customers (whether serviced directly or through distributors), including club stores, major mass merchandisers, online marketplaces such as Amazon, drug store chains, supermarkets, independent pharmacies, health food stores, and other retailers. In addition, our largest distributor customer and the largest retail-direct customer together accounted for approximately 44% of our total net sales as of December 31, 2025. No other customer or distributor represented more than 10% of our total net sales as of December 31, 2025.</w:t>
      </w:r>
    </w:p>
    <w:p>
      <w:pPr>
        <w:spacing w:after="0" w:line="208"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A decision by either of our largest retail customer or distributor, or any other major distributor or retail customer, whether motivated by marketing strategy, competitive conditions, financial difficulties or otherwise, to decrease significantly the quantity or breadth of product purchased from us, or to change their manner of doing business with us and their support of our products, could substantially reduce our revenue and have a material adverse effect on our business, financial condition, results of operations and cash flows. For example, as previously disclosed, in 2023 we agreed to start to discontinue the Private Label coconut water and coconut oil supply relationship with one of our significant customers as the terms required to retain the business were contrary to our long term margin targets. While we continued the supply relationship for a significant portion of their Private Label coconut water needs in 2024 at the customer's request, in 2025, we experienced the loss of further regions that we serviced for this customer in 2024, resulting in a decline in Private Label volume growth in 2025. We have been asked to service one of the regions that we lost starting in 2026, which illustrates the uncertainty in the Private Label segment. In addition, any store closings or changes in retail strategy by our retail customers, particularly our largest retail customer, could reduce the number of stores or regions carrying our products, or stores may purchase a smaller amount of our products and/or may reduce the retail floor space designated for our products. If any negative change in our relationship with our largest distributor and retail customer or other customers occurs, any other disputes with key customers arose, if we were to lose placement and support of any of our key customers or if any of our key customers consolidate and/or gain greater market power, our business, financial condition, results of operations and cash flows would be materially adversely affected. In addition, we may be similarly adversely impacted if any of our key customers, particularly our largest distributor and retail customer, experience any operational difficulties or generate less traffic.</w:t>
      </w:r>
    </w:p>
    <w:p>
      <w:pPr>
        <w:spacing w:after="0" w:line="217"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Although we aim to enter into long-term agreements with distributors, and historically have renewed, amended or extended them as needed, we cannot guarantee that we will be able to maintain or extend these contractual relationships in the future or that we will be able to do so on attractive terms. If any agreement with a key distributor is terminated or if the performance of such distributor deteriorates, we cannot guarantee that we will be able to find suitable replacement partners on favorable terms, or at all. Distributor contracts also may require that we make payments to terminate or upon non-renewal, and there is no guarantee that the parties will agree on payment terms, or that we will be able to recoup such fees from any replacement distributors. We enter into pricing support and promotional arrangements with our distributors to encourage execution and pricing activity on our brands, and in some cases, offer invasion fees when product is shipped directly to a specific retailer in their geographic market. There is no guarantee that these arrangements will be effective, or that disputes will not arise as to the sharing of the costs of such activity, which could impact our relationship with the distributors or impose additional costs on us.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We generally do not have long-term contracts or minimum purchase volumes with our retail-direct customers beyond promotional price arrangements, except in cases related to Private Label supply, and the duration of these relationships and terms are subject to change and adjustment based on the performance of the products and our performance as a supplier of these products. For example, pursuant to the terms of the agreement with our largest retail-direct customer, following the initial term, either party is permitted to terminate the agreement without cause with prior notice, and the agreement is non-exclusive and does not impose any minimum purchase or supply requirements. We seek to maintain the relationships with these customers’ Private Label brands and be their supplier of choice, but we cannot guarantee that we will maintain our share of this business, nor that the economic terms we will negotiate with such customers in the future will be favorable to us. The loss of any part of a key customer’s Private Label business may negatively impact that customer’s support of our branded products, and could have a material adverse effect on our business, financial condition, results of operations and cash flows.</w:t>
      </w:r>
    </w:p>
    <w:p>
      <w:pPr>
        <w:spacing w:after="0" w:line="212"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We rely on our retailer partners’ continuing demand for our products whether supplied directly or supported through distributors and their support of our promotional programs. If our retail partners change their pricing and margin expectations, change their business strategies as a result of industry consolidation or otherwise, maintain and seek to grow their own private-label competitive offerings whether supplied by us or other suppliers, reduce the number of brands they carry or amount of shelf space they allocate to our products, or allocate greater shelf space to, or increase their advertising or promotional efforts for, our competitors’ products, our sales could decrease and our business, financial conditions, results of operations and cash flows may be materially adversely affected.</w:t>
      </w:r>
    </w:p>
    <w:p>
      <w:pPr>
        <w:spacing w:after="0" w:line="207"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Certain of our distributors or retail-direct customers may from time to time experience financial difficulties, including bankruptcy or insolvency. If our customers suffer significant financial or operational difficulty, they may reduce their orders from us or stop purchasing from us and/or be unable to timely pay the amounts due to us or at all, which could have a material adverse effect on our ability to collect on receivables, our revenues and our results of operations. It is possible that customers may contest their contractual obligations to us, whether under bankruptcy laws or otherwise. Further, we may have to negotiate significant discounts and/or extended financing terms with these customers in such a situation. If we are unable to collect upon our accounts receivable as they come due in an efficient and timely manner, our business, financial condition, results of operations and cash flows may be materially adversely affected. In addition, product sales are dependent in part on high-quality merchandising and an appealing retail environment to attract consumers, which requires continuing investments by retailers and ongoing support by distributors. Retailers or distributors that experience financial difficulties may fail to make such investments or delay them, resulting in lower sales and orders for our products. Consolidations among our customers would concentrate our credit risk and, if any of these retailers or distributors were to experience a shortage of liquidity or consumer behavior shifts away from their retail model or their service area, it would increase the risk that their outstanding payables to us may not be paid. In addition, increasing market share concentration among one or a few retailers in a particular region increases the risk that if any one of them substantially reduces their purchases of or support for our products, we may be unable to find a sufficient number of other retail outlets for our products to sustain the same level of sales and revenue whether sold directly to retailers or through distributors.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in the food and beverage retail industry is strong and presents an ongoing threat to the success of our business.</w:t>
      </w:r>
    </w:p>
    <w:p>
      <w:pPr>
        <w:spacing w:after="0" w:line="243"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We operate in a highly competitive market, which includes large multinational companies as well as many smaller entrepreneurial companies seeking to innovate and disrupt the categories in which we compete. As a category, coconut water competes for space with a wide range of beverage offerings. In particular, coconut water competes with functional refreshment, juices, energy drinks, ready to drink teas and coffees and other non-100% coconut water based beverages, and many of these products are marketed by companies with substantially greater financial resources than ours. We also compete with a number of natural, organic, and functional food and beverage producers. We and these competing brands and products compete for limited retail, and foodservice customers and consumers. In our market, competition is based on, among other things, brand equity and consumer relationships, consumer needs, product experience (including taste, functionality and texture), nutritional profile and dietary attributes, sustainability of our supply chain (including raw materials), quality and type of ingredients, distribution and product availability, retail and foodservice and e-commerce customer relationships, marketing investment and effectiveness, pricing competitiveness and product packaging.</w:t>
      </w:r>
    </w:p>
    <w:p>
      <w:pPr>
        <w:spacing w:after="0" w:line="22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Conventional food or beverage companies, which are generally multinational corporations with substantially greater resources and operations than us, may acquire our competitors or launch their own coconut water products or other products that compete with our own. Such competitors may be able to use their resources and scale to respond to competitive pressures and changes in consumer preferences by introducing new products, reducing prices or increasing promotional activities, among other things. These large competitors may decide not to compete in coconut water but rather</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use their retail relationships and category insights to reduce retailer excitement for the category, impacting our visibility and shelf space.</w:t>
      </w:r>
    </w:p>
    <w:p>
      <w:pPr>
        <w:spacing w:after="0" w:line="239"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Retailers also market competitive products under their own Private Labels, which are generally sold at lower prices and compete with our products. Retailers source these products from a range of suppliers under competitive bidding relationships and we compete for this business as a Private Label supplier. While we seek to enter into strategic partnerships with retailers to capitalize on Private Label supply opportunities, we cannot guarantee that we will be awarded this Private Label business in future years or that our existing supply relationships may not be downsized or cease. If the quality of competing Private Label or branded products were to be compromised, that could affect the consumer perceptions of coconut water more generally which could impact our business. Additionally, some of our distributor partners carry competing products or in some cases also are brand owners of beverage products that might compete with us, and while we believe our products are worthy of their support, there is no guarantee that their support will continue for all of our brands or at the same levels as today.</w:t>
      </w:r>
    </w:p>
    <w:p>
      <w:pPr>
        <w:spacing w:after="0" w:line="206"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Competitive pressures or other factors could cause us to lose market share and lead to reduced space allocated to our products, which may require us to lower prices, increase marketing and advertising expenditures, or increase the use of discounting or promotional campaigns, each of which could adversely affect our margins and could adversely affect our business, financial condition, results of operations and cash flows. Many of our current and potential competitors in beverages have longer operating histories, greater brand recognition, better access to distribution capabilities, larger fulfillment infrastructures, greater technical capabilities, significantly greater financial, marketing and other resources and maintain deeper customer relationships with key retailers due to their extensive brand portfolios than we do. These factors may allow our competitors to derive greater net sales and profits from their existing customer base, acquire customers at lower costs or respond more quickly than we can to new or emerging technologies and changes in consumer preferences or habits.</w:t>
      </w:r>
    </w:p>
    <w:p>
      <w:pPr>
        <w:spacing w:after="0" w:line="22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expect competition in the natural, organic and functional food and beverage industry to continue to increase. If we fail to compete successfully in this market, our business, financial condition, results of operations and cash flows would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and maintain our brands and Company image, our business could suffer.</w:t>
      </w:r>
    </w:p>
    <w:p>
      <w:pPr>
        <w:spacing w:after="0" w:line="254"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 xml:space="preserve">We have developed strong and trusted brands, including our leading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brand, that we believe have contributed significantly to the success of our business, and we believe our continued success depends on our ability to maintain and grow the value of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and other brands. Maintaining, promoting and positioning our brands and reputation will depend on, among other factors, the success of our product offerings, food safety, quality assurance, marketing and merchandising efforts, the reliability and reputation of our supply chain, our ability to grow and capture share of the coconut water category, and our ability to provide a consistent, high-quality consumer experience. Any negative publicity, regardless of its accuracy, could materially adversely affect our business. For example, as part of the licensing strategy of our brands, we enter into licensing agreements under which we grant our licensing partners certain rights to use our trademarks and other designs. Although our agreements require that the use of our trademarks and designs is subject to our control and approval, any breach of these provisions, or any other action by any of our licensing partners that is harmful to our brands, goodwill and overall image, could have a material adverse impact on our business.</w:t>
      </w:r>
    </w:p>
    <w:p>
      <w:pPr>
        <w:spacing w:after="0" w:line="230"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The growing use of social and digital media by us, our consumers and third parties increases the speed and extent that information or misinformation and opinions can be shared. Negative publicity about us, our brands, our products or our industry on social or digital media could seriously damage our brands and reputation.</w:t>
      </w:r>
    </w:p>
    <w:p>
      <w:pPr>
        <w:spacing w:after="0" w:line="217"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Our Company image and brands are very important to our vision and growth strategies, particularly as a public benefit corporation, a Certified B Corporation, and with the goal of operating consistent with our mission and values. We will need to continue to invest in actions that support our mission and values and adjust our offerings to appeal to a broader audience in the future in order to sustain our business and to achieve growth, and there can be no assurance that we will be able to do so. If we do not maintain the favorable perception of our Company and our brands, our sales and results of operations could be negatively impacted. Our brands and Company image are based on perceptions of subjective qualities, and any incident that erodes the loyalty of our consumers, customers, suppliers or manufacturers, including adverse publicity or a governmental investigation or litigation, could significantly reduce the value of our brands and damage our business, which would have a material adverse effect on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introduce new products or successfully improve existing products or adopt new technology or marketing practices effectively, may adversely affect our ability to continue to grow and may cause us to lose market share and sales.</w:t>
      </w:r>
    </w:p>
    <w:p>
      <w:pPr>
        <w:spacing w:after="0" w:line="198"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A key element of our growth strategy depends on our ability to develop and market new products, product extensions and improvements to our existing products that meet our standards for quality and appeal to consumer preferences. The success of our innovation and product development efforts is affected by our ability to anticipate changes in consumer preferences, the technical capability of our innovation staff in developing and testing product prototypes to meet these consumer needs while complying with applicable governmental regulations, the ability to obtain patents and other intellectual property rights and protections for commercializing such innovations and developments, the ability of our supply chain and production systems to provide adequate solutions and capacity for new products, and the success of our management and sales and marketing teams in designing, branding and packaging, introducing and marketing new products. Failure to develop and market new products that appeal to consumers may lead to a decrease in our growth, sales and profitability. There is no guarantee that each innovation we launch will reach our goals and be successful, and many will require iteration and development to have a chance of success. Discontinuing products that have not reached sufficient scale to be viable long term or where consumer demand is decreasing, may result in decreased sales, disappointed customers and unexpected costs. Additionally, the development and introduction of new products requires research, development and marketing expenditures, which we may be unable to recoup if the new products do not gain widespread market acceptance.</w:t>
      </w:r>
    </w:p>
    <w:p>
      <w:pPr>
        <w:spacing w:after="0" w:line="233"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Our competitors also may create or obtain similar formulations first that may hinder our ability to develop new products or enter new categories, which could have a material adverse effect on our growth. If we experience difficulty in partnering with co-packers or manufacturers to produce our new products, it may affect our ability to develop and launch new products and enter new product categories, and scale up supply if successful. Further, if we fail to ensure the efficiency and quality of new production processes and products before they launch, we may experience uneven product quality and supply, which could negatively impact consumer acceptance of new products and negatively impact our sales and brand reputation. If we are unsuccessful in meeting our objectives with respect to new or improved products, our business, financial condition, results of operations and cash flow may be adversely affected.</w:t>
      </w:r>
    </w:p>
    <w:p>
      <w:pPr>
        <w:spacing w:after="0" w:line="204"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Consumer preferences for our products are difficult to predict and may change, and, if we are unable to respond quickly to new trends, our business may be adversely affected.</w:t>
      </w:r>
    </w:p>
    <w:p>
      <w:pPr>
        <w:spacing w:after="0" w:line="198" w:lineRule="exact"/>
        <w:rPr>
          <w:sz w:val="20"/>
          <w:szCs w:val="20"/>
          <w:color w:val="auto"/>
        </w:rPr>
      </w:pPr>
    </w:p>
    <w:p>
      <w:pPr>
        <w:ind w:right="100" w:firstLine="648"/>
        <w:spacing w:after="0" w:line="243" w:lineRule="auto"/>
        <w:rPr>
          <w:sz w:val="20"/>
          <w:szCs w:val="20"/>
          <w:color w:val="auto"/>
        </w:rPr>
      </w:pPr>
      <w:r>
        <w:rPr>
          <w:rFonts w:ascii="Times New Roman" w:cs="Times New Roman" w:eastAsia="Times New Roman" w:hAnsi="Times New Roman"/>
          <w:sz w:val="18"/>
          <w:szCs w:val="18"/>
          <w:color w:val="auto"/>
        </w:rPr>
        <w:t>Our business is primarily focused on developing, manufacturing, marketing and distributing coconut water branded and Private Label products and other “better-for-you” beverages. Consumer demand for our products and interest in our offerings could change based on a number of possible factors, including changes in consumer preferences, dietary habits, refreshment and nutritional habits, concerns regarding the health effects of ingredients, the usage of single use packaging, the impact of our supply chain on our sourcing communities, shifts in preference for various product attributes or consumer confidence, trends within consumer age groups and perceived value and quality for our products relative to alternatives. Consumer trends that we believe favor sales of our products could change based on a number of possible factors. While we continually strive to improve our products through thoughtful, innovative research and development approaches to meet consumer needs, there can be no assurance that our efforts will be successful. If consumer demand for our products decreases, our business, financial condition, results of operations and cash flows may be adversely affected.</w:t>
      </w:r>
    </w:p>
    <w:p>
      <w:pPr>
        <w:spacing w:after="0" w:line="20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Pandemics, epidemics, disease outbreaks or global trade disruption may disrupt our business, including, among other things, consumption and trade patterns, and our supply chain and production processes, each of which could materially affect our operations, liquidity, financial condition and results of operations.</w:t>
      </w:r>
    </w:p>
    <w:p>
      <w:pPr>
        <w:spacing w:after="0" w:line="195"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The actual or perceived effects of a disease outbreak, epidemic, pandemic or similar widespread public health concern, or global trade disruptions, could negatively affect our business, liquidity, financial condition and results of operations. Any new restrictions related to such matters, such as requiring employees to work remotely, imposing travel restrictions, reducing operating hours, imposing operating restrictions and temporarily closing businesses could have an adverse impact on global economic conditions and impact consumer confidence and spending, which might have a material adverse impact on our supply chain, or on some of our customers and could impact the availability and demand for our products and ultimately our financial condition.</w:t>
      </w:r>
    </w:p>
    <w:p>
      <w:pPr>
        <w:spacing w:after="0" w:line="22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Furthermore, given our supply chain is dependent on ocean freight for shipping coconut water from the source countries to the end use markets, we are particularly exposed to ocean freight cost changes, availability of containers and to changes or disruptions in global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could suffer product inventory losses or markdowns and lost revenue in the event of the loss or shutdown of a major manufacturing partner, a local raw materials supplier of a manufacturing partner, or a co-packing partner, due to pandemic conditions in their respective locales. Any interruptions to logistics could impact their ability to operate and ship us product. The potential impact of a pandemic on any of our production or logistics providers could include, but is not limited to, problems with their respective businesses, finances, labor matters (including illness or absenteeism in workforce or closure), ability to import and secure ingredients and packaging, product quality issues, costs, production, insurance and reputation. Any of the foregoing could negatively affect the price and availability of our products and impact our supply chain. If these disruptions continue for an extended period of time, our ability to meet the demand for our products may be materially impacted.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independent certification for a number of our products.</w:t>
      </w:r>
    </w:p>
    <w:p>
      <w:pPr>
        <w:spacing w:after="0" w:line="256"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We rely on various independent third-party certifications, such as certifications of our products as “organic”, to differentiate our products and Company from others. We must comply with the requirements of independent organizations or certification authorities in order to label our products as certified organic. For example, we can lose our “organic” certification if our manufacturing partners fail to source certified organic raw materials from local raw material suppliers. In addition, all raw materials must be certified organic. The loss of any independent certifications could adversely affect our market position as an organic and natural products company, which could harm our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make acquisitions and successfully integrate newly acquired products or businesses.</w:t>
      </w:r>
    </w:p>
    <w:p>
      <w:pPr>
        <w:spacing w:after="0" w:line="256"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We have in the past pursued and intend in the future to consider opportunities to acquire other products or businesses that may strategically complement our portfolio of brands and expand the breadth of our markets or customer base. We may be unable to identify suitable targets, opportunistic or otherwise, for acquisition in the future at acceptable terms or at all. In addition, exploring acquisition opportunities may divert management attention from the core business and organic innovation and growth, which could negatively impact our business, financial condition, results of operations and cash flows. If we identify a suitable acquisition candidate, our ability to successfully implement the acquisition will depend on a variety of factors, including our ability to obtain financing on acceptable terms consistent with any debt agreements existing at that time and our ability to negotiate acceptable pricing and terms. Historical instability in the financial markets indicates that obtaining future financing to fund acquisitions may present significant challenges and could also create dilution to shareholders among other potential impacts.</w:t>
      </w:r>
    </w:p>
    <w:p>
      <w:pPr>
        <w:spacing w:after="0" w:line="213"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color w:val="auto"/>
        </w:rPr>
        <w:t>The success of any future acquisitions will be dependent upon our ability to effectively integrate the acquired products and operations into our business. Integration can be complex, expensive and time-consuming. The failure to successfully integrate acquired products or businesses in a timely and cost-effective manner could materially adversely affect our business, prospects, results of operations and financial condition. The diversion of our management’s attention and any difficulties encountered in any integration process could also have a material adverse effect on our ability to manage our business. In addition, the integration process could result in the loss of key employees, the disruption of ongoing businesses, litigation, tax costs or inefficiencies, or inconsistencies in standards, any of which could adversely affect our ability to maintain the appeal of our brands and our relationships with customers, employees or other third parties or our ability to achieve the anticipated benefits or synergies of such acquisitions and could harm our financial performance.</w:t>
      </w:r>
    </w:p>
    <w:p>
      <w:pPr>
        <w:spacing w:after="0" w:line="20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Further, the future acquisition of a product or business may cause us to deviate from our historically fixed-asset lite business model if we were to acquire production capabilities and facilities in connection therewith, and as a result could increase our costs of operation.</w:t>
      </w:r>
    </w:p>
    <w:p>
      <w:pPr>
        <w:spacing w:after="0" w:line="203"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We do not know if we will be able to identify acquisitions we deem suitable, whether we will be able to successfully complete any such acquisitions on favorable terms or at all, or whether we will be able to successfully integrate or realize the anticipated benefits of any acquired products or businesses. Furthermore, an additional risk inherent in any acquisition is that we fail to realize a positive return on our investment.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or legal or market measures to address climate change, may negatively affect our business and operations.</w:t>
      </w:r>
    </w:p>
    <w:p>
      <w:pPr>
        <w:spacing w:after="0" w:line="256"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There is growing concern that carbon dioxide and other greenhouse gases in the atmosphere may have an adverse impact on global temperatures, weather patterns and the frequency and severity of extreme weather and natural disasters. If such climate change has a negative effect on agricultural productivity, we may be subject to decreased availability or less favorable pricing for coconut water, oil, cream and other raw materials that are necessary for our current or any future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products. Such climate changes may also require us to find manufacturing partners in new geographic areas if the location for best production of coconuts changes, which will require changes to our supply network and investing time and resources with new manufacturing partners, thereby potentially increasing our costs of production. In addition, there is no guarantee that we will be able to maintain the quality and taste of our products as we transition to sourcing coconuts in new geographic areas. Increasing frequency and severity of extreme weather and natural disasters could result in unusual weather patterns, which could affect the supply and demand for our products and lead to negative effects on our business, financial condition, results of operations and cash flow.</w:t>
      </w:r>
    </w:p>
    <w:p>
      <w:pPr>
        <w:spacing w:after="0" w:line="207"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Additionally, the increasing concern over climate change may also result in more federal, state, local and foreign legal requirements to reduce or mitigate the effects of greenhouse gases or to reduce packaging and improve recyclability. If such laws are enacted, we may experience significant increases in our costs of operations and delivery, which in turn may negatively affect our business, financial condition, results of operations and cash flows, and may incur increased liability for the accuracy of any public disclosures.</w:t>
      </w:r>
    </w:p>
    <w:p>
      <w:pPr>
        <w:spacing w:after="0" w:line="20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retain our senior management and key personnel, or to maintain and evolve our culture may adversely affect our operations or our ability to grow successfully.</w:t>
      </w:r>
    </w:p>
    <w:p>
      <w:pPr>
        <w:spacing w:after="0" w:line="172" w:lineRule="exact"/>
        <w:rPr>
          <w:sz w:val="20"/>
          <w:szCs w:val="20"/>
          <w:color w:val="auto"/>
        </w:rPr>
      </w:pPr>
    </w:p>
    <w:p>
      <w:pPr>
        <w:ind w:right="80" w:firstLine="648"/>
        <w:spacing w:after="0" w:line="243" w:lineRule="auto"/>
        <w:rPr>
          <w:sz w:val="20"/>
          <w:szCs w:val="20"/>
          <w:color w:val="auto"/>
        </w:rPr>
      </w:pPr>
      <w:r>
        <w:rPr>
          <w:rFonts w:ascii="Times New Roman" w:cs="Times New Roman" w:eastAsia="Times New Roman" w:hAnsi="Times New Roman"/>
          <w:sz w:val="18"/>
          <w:szCs w:val="18"/>
          <w:color w:val="auto"/>
        </w:rPr>
        <w:t>Our success is substantially dependent on the continued service of certain members of our senior management and other key employees. These employees have been primarily responsible for determining the strategic direction of our business and for executing our growth strategy and are integral to our brands, culture and the reputation we enjoy with suppliers, manufacturers, distributors, customers and consumers. In particular, we are dependent on our co-founder, Michael Kirban, for leadership, culture, strategy, key customer and supplier relationships and other skills and capabilities. The loss of the services of the co-founder, or any of these executives and key personnel could have a material adverse effect on our business and prospects, as we may not be able to find suitable individuals to replace them on a timely basis, if at all. In addition, any such departure could be viewed in a negative light by investors and analysts, which may cause the price of our common stock to decline. We do not currently carry key-person life insurance for our co-founder or senior executives.</w:t>
      </w:r>
    </w:p>
    <w:p>
      <w:pPr>
        <w:spacing w:after="0" w:line="227"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Additionally, our success depends on our ability to attract, train and retain a diverse workforce who understand and appreciate our culture and can represent our brand effectively and establish credibility with our business partners and consumers. Pressures in the labor market for talent and wage inflation have been increasing and could increase our future costs of hiring or retaining our employees, and thus impact our profitability. If we are unable to hire and retain employees capable of meeting our business needs, and creating the culture and capability that we desire, our business and brand image may be impaired, including not meeting our B Corp expectations nor our public benefit corporation mission.</w:t>
      </w:r>
    </w:p>
    <w:p>
      <w:pPr>
        <w:spacing w:after="0" w:line="20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our independent suppliers and manufacturing partners, or the local farmers or other suppliers from which our manufacturing partners source the raw materials, do not comply with ethical business practices or with applicable laws and regulations, our reputation, business, and results of operations may be harmed.</w:t>
      </w:r>
    </w:p>
    <w:p>
      <w:pPr>
        <w:spacing w:after="0" w:line="195" w:lineRule="exact"/>
        <w:rPr>
          <w:sz w:val="20"/>
          <w:szCs w:val="20"/>
          <w:color w:val="auto"/>
        </w:rPr>
      </w:pPr>
    </w:p>
    <w:p>
      <w:pPr>
        <w:ind w:right="140" w:firstLine="648"/>
        <w:spacing w:after="0" w:line="244" w:lineRule="auto"/>
        <w:rPr>
          <w:sz w:val="20"/>
          <w:szCs w:val="20"/>
          <w:color w:val="auto"/>
        </w:rPr>
      </w:pPr>
      <w:r>
        <w:rPr>
          <w:rFonts w:ascii="Times New Roman" w:cs="Times New Roman" w:eastAsia="Times New Roman" w:hAnsi="Times New Roman"/>
          <w:sz w:val="18"/>
          <w:szCs w:val="18"/>
          <w:color w:val="auto"/>
        </w:rPr>
        <w:t>Our reputation and our consumers’ willingness to purchase our products depend in part on the compliance of our suppliers, manufacturers, distributors, and retailer partners, as well as the local farmers or other suppliers from which our manufacturing partners source raw materials, with ethical employment practices, such as with respect to child and animal labor, wages and benefits, forced labor, discrimination, safe and healthy working conditions, and with all legal and regulatory requirements relating to the conduct of their businesses. We do not exercise control over our independent suppliers, manufacturers, distributors and retailer partners, nor over the suppliers of our raw materials, and cannot guarantee their compliance with ethical and lawful business practices. If our suppliers, manufacturers, distributors, retailer partners or raw material suppliers fail to comply with applicable laws, regulations, safety codes, employment practices, human rights standards, quality standards, environmental standards, production practices, or other obligations, norms or ethical standards, our reputation and brand image could be harmed, our customers may choose to terminate their relationships with us, and we could be exposed to litigation and additional costs that would harm our business, reputation, and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international nature of our business subjects us to additional risks.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subject to a number of risks related to doing business internationally, any of which could significantly harm our business. These risks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w:t>
      </w:r>
    </w:p>
    <w:p>
      <w:pPr>
        <w:spacing w:after="0" w:line="220" w:lineRule="exact"/>
        <w:rPr>
          <w:sz w:val="20"/>
          <w:szCs w:val="20"/>
          <w:color w:val="auto"/>
        </w:rPr>
      </w:pPr>
    </w:p>
    <w:p>
      <w:pPr>
        <w:ind w:left="660" w:right="2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facing difficulties, such as legal, regulatory, personnel, technological, and consumer preference variation risks, as we operate in countries where we have limited experience or presence, or expand our operations into countries in which we have no prior operating history;</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 to and from foreign countries, including potentially negative tax consequences;</w:t>
      </w:r>
    </w:p>
    <w:p>
      <w:pPr>
        <w:spacing w:after="0" w:line="238" w:lineRule="exact"/>
        <w:rPr>
          <w:rFonts w:ascii="Times New Roman" w:cs="Times New Roman" w:eastAsia="Times New Roman" w:hAnsi="Times New Roman"/>
          <w:sz w:val="18"/>
          <w:szCs w:val="18"/>
          <w:color w:val="auto"/>
        </w:rPr>
      </w:pPr>
    </w:p>
    <w:p>
      <w:pPr>
        <w:ind w:left="660" w:right="120" w:hanging="328"/>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or proposed changes in U.S. trade policies, including with respect to treaties, tariffs, quotas, trade barriers or other export or import restrictions, including navigating the changing relationships between countries such as the U.S. and China and between the U.K. and the European Union ("EU");</w:t>
      </w:r>
    </w:p>
    <w:p>
      <w:pPr>
        <w:spacing w:after="0" w:line="19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foreign exchange controls and variation in currency exchange rates;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foreign currency exchange rate fluctuations;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general international market and economic conditions and uncertainty;</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environmental, health-related or social uncertainty and volatility;</w:t>
      </w:r>
    </w:p>
    <w:p>
      <w:pPr>
        <w:spacing w:after="0" w:line="252" w:lineRule="exact"/>
        <w:rPr>
          <w:rFonts w:ascii="Times New Roman" w:cs="Times New Roman" w:eastAsia="Times New Roman" w:hAnsi="Times New Roman"/>
          <w:sz w:val="18"/>
          <w:szCs w:val="18"/>
          <w:color w:val="auto"/>
        </w:rPr>
      </w:pPr>
    </w:p>
    <w:p>
      <w:pPr>
        <w:ind w:left="660" w:right="540" w:hanging="328"/>
        <w:spacing w:after="0" w:line="272" w:lineRule="auto"/>
        <w:tabs>
          <w:tab w:leader="none" w:pos="6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substantial penalties, litigation and reputational risk related to violations of a wide variety of laws, treaties and regulations, including food and beverage regulations, anti-corruption regulations (including, but not limited to, the U.S. Foreign Corrupt Practices Act (“FCPA”), and the U.K. Bribery Act) and data privacy laws and regulations (including the EU’s General Data Protection Regulation);</w:t>
      </w:r>
    </w:p>
    <w:p>
      <w:pPr>
        <w:spacing w:after="0" w:line="19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differing labor and employment laws and standards;</w:t>
      </w:r>
    </w:p>
    <w:p>
      <w:pPr>
        <w:spacing w:after="0" w:line="238"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differences in regulations across international markets, including new regulations that could impact requirements applicable to our products and the regulatory impacts on a globally integrated supply chain;</w:t>
      </w:r>
    </w:p>
    <w:p>
      <w:pPr>
        <w:spacing w:after="0" w:line="202" w:lineRule="exact"/>
        <w:rPr>
          <w:rFonts w:ascii="Times New Roman" w:cs="Times New Roman" w:eastAsia="Times New Roman" w:hAnsi="Times New Roman"/>
          <w:sz w:val="18"/>
          <w:szCs w:val="18"/>
          <w:color w:val="auto"/>
        </w:rPr>
      </w:pPr>
    </w:p>
    <w:p>
      <w:pPr>
        <w:ind w:left="660" w:right="98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varying trademark laws and regulations, or difficulties with international intellectual property protection and problems created by counterfeiting;</w:t>
      </w:r>
    </w:p>
    <w:p>
      <w:pPr>
        <w:spacing w:after="0" w:line="189"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or default in payment by our international customers and/or import partners and the potential inability to recoup damages from such defaults, as well as subsequent termination of existing importation agreements;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and costs of designing and implementing an effective control environment across diverse regions and employee bases;</w:t>
      </w:r>
    </w:p>
    <w:p>
      <w:pPr>
        <w:spacing w:after="0" w:line="238"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complexities of monitoring and managing compliance with a broad array of international laws related to data privacy and data protection, as well as cross-border transfers of personal data;</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and costs of maintaining effective data security and meeting different data security regulations;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cost and pricing pressures;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supply chain and shipping logistical challenges;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and/or changing foreign tax treaties and policies.</w:t>
      </w:r>
    </w:p>
    <w:p>
      <w:pPr>
        <w:spacing w:after="0" w:line="225"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In 2025 the U.S. government implemented tariffs and other import related fees on goods, including coconut water from Asia and Brazil, which were ultimately waived later in 2025. If tariffs or other import related fees are implemented on goods from countries where the Company does business, they may raise the Company's cost of importation of coconut water and require the Company to adjust its pricing or strategy. An inability to effectively manage these risks associated with our international operations could adversely impact our business and financial results. For more information see the risk factor captioned “</w:t>
      </w:r>
      <w:r>
        <w:rPr>
          <w:rFonts w:ascii="Times New Roman" w:cs="Times New Roman" w:eastAsia="Times New Roman" w:hAnsi="Times New Roman"/>
          <w:sz w:val="18"/>
          <w:szCs w:val="18"/>
          <w:i w:val="1"/>
          <w:iCs w:val="1"/>
          <w:color w:val="auto"/>
        </w:rPr>
        <w:t>If we encounter problems or interruptions with our supply chain, our costs may increase and our or our customers’ ability to deliver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products to market could be adversely affected, impacting our business and profitability</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sustainability and corporate social responsibility.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Our business faces increasing scrutiny related to environmental, social and governance issues, including sustainable development, product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packaging, renewable resources, environmental stewardship, supply chain management, climate change, diversity and inclusion, workplace conduct, human rights, philanthropy and support for local communities. We are a Delaware public benefit corporation which has placed additional requirements on our strategies and decision-making to meet our mission. See “—Risks Related to our Existence as a Public Benefit Corporation.” There has been increasing public focus by investors, customers, environmental activists, the media and governmental and nongovernmental organizations on a variety of environmental, social and other sustainability matters. Our efforts to ensure we meet these standards rely on our leadership, contracts, internal and third-party audits and on continued monitoring of potential risks and solutions. We may experience increased costs in order to execute upon our sustainability goals and measure achievement of those goals, which could have an adverse impact on our business and financial condition. Additionally, if we fail to meet applicable standards or expectations with respect to these issues across any of our products and in any of our operations and activities or those of our third party partners, such as manufacturers and co-packer, our reputation and brand image could be damaged, and our business, financial condition, results of operations and cash flows could be adversely impacted.</w:t>
      </w:r>
    </w:p>
    <w:p>
      <w:pPr>
        <w:spacing w:after="0" w:line="232"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Further, we have developed a strong corporate reputation over the years for our focus on responsible sourcing and support of our supplier communities. We seek to conduct our business in an ethical and socially responsible way, which we regard as essential to maximizing stakeholder value, while enhancing community quality, environmental stewardship and furthering the plant-based movement around the world. We are developing environmental and sustainability initiatives that support our societal programs and are consistent with our purpose, but these initiatives require financial expenditures and employee resources and are not yet fully vetted or implemented. If we are unable to meet our sustainability, and environmental, social and governance goals, this could have a material adverse effect on our reputation and brand and negatively impact our relationship with our employees, customers, consumers and investors. There is no guarantee that our pace of progress on our environmental, social and governance initiatives will meet all parties’ expectations, which in turn could result in harm to our reputation and negatively impact our business, financial condition, results of operations and cash flow. 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225"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Food safety and food-borne illness incidents or other safety concerns may materially adversely affect our business by exposing us to lawsuits, product recalls or regulatory enforcement actions, increasing our operating costs and reducing demand for our product offerings.</w:t>
      </w:r>
    </w:p>
    <w:p>
      <w:pPr>
        <w:spacing w:after="0" w:line="199"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color w:val="auto"/>
        </w:rPr>
        <w:t>Selling food and beverages for human consumption involves inherent legal and other risks, and there is increasing governmental scrutiny of and public awareness regarding food safety. Unexpected side effects, illness, injury or death related to allergens, food-borne illnesses or other food safety incidents caused by products we sell or involving our suppliers or manufacturers, could result in the discontinuance of sales of these products or cessation of our relationships with such suppliers and manufacturers, or otherwise result in increased operating costs, lost sales, regulatory enforcement actions or harm to our reputation. Shipment of adulterated or misbranded products, even if inadvertent, can result in criminal or civil liability. Such incidents could also expose us to product liability, negligence or other lawsuits, including consumer class action lawsuits. Any claims brought against us may exceed or be outside the scope of our existing or future insurance policy coverage or limits. Any judgment against us that is more than our policy limits or not covered by our policies would have to be paid from our cash reserves, which would reduce our capital resources.</w:t>
      </w:r>
    </w:p>
    <w:p>
      <w:pPr>
        <w:spacing w:after="0" w:line="206"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The occurrence of food-borne illnesses or other food safety incidents could also adversely affect the price and availability of affected ingredients and raw materials, resulting in higher costs, disruptions in supply and a reduction in our sales. Furthermore, any instances of food contamination or regulatory noncompliance, whether or not caused by our actions, could compel us, our manufacturing and co-packing partners, our distributors or our retail customers, depending on the circumstances, to conduct a recall in accordance with the FDA, regulations and comparable foreign laws and regulations, as well as other regulations and laws in the other jurisdictions in which we operate. Product recalls could result in significant losses due to their associated costs, the destruction of product inventory, lost sales due to the unavailability of the product for a period of time and potential loss of existing distributors, retail customers and shelf space or e-commerce prominence, and a potential negative impact on our ability to attract new customers and consumers, and maintain our current customer and consumer base due to negative consumer experiences or because of an adverse impact on our brands and reputation. The costs of a recall could exceed or be outside the scope of our existing or future insurance policy coverage or limits. While we maintain batch and lot tracking capability to identify potential causes for any discovered problems, there is no guarantee that in the case of a potential recall, we will effectively be able to isolate all product that might be associated with any alleged problem, or that we will be able to quickly and conclusively determine the root cause or narrow the scope of the recall. Our potential inability to affect a recall quickly and effectively, or manage the consumer</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and retailer communication in a way that mitigates concerns, might create adverse effects on our business and reputation, including large recall and disposal costs and significant loss of revenue.</w:t>
      </w:r>
    </w:p>
    <w:p>
      <w:pPr>
        <w:spacing w:after="0" w:line="203"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believe our consumers, retailers and distributors rely on us to provide them with high-quality products. Therefore, any real or perceived quality or food safety concerns or failures to comply with applicable food regulations and requirements, whether or not ultimately based on fact and whether or not involving us (such as incidents involving our competitors), could cause negative publicity and reduced confidence in our Company, brands or products, which could in turn harm our reputation and sales, and could materially adversely affect our business, financial condition, results of operations and cash flows. Although we believe we and our manufacturing and co-packing partners on which we rely have rigorous quality control processes in place, there can be no assurance that our products will always comply with the standards set for our products or that our manufacturing and co-packing partners will comply with our product specifications.</w:t>
      </w:r>
    </w:p>
    <w:p>
      <w:pPr>
        <w:spacing w:after="0" w:line="208"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In addition, food and beverage companies have been subject to targeted, large-scale tampering as well as to opportunistic, individual product tampering, and we, like any beverage company, could be a target for product tampering. Forms of tampering could include the introduction of foreign material, chemical contaminants and pathological organisms into consumer products as well as product substitution. The FDA enforces laws and regulations, such as the Food Safety Modernization Act, that require companies like us to analyze, prepare and implement mitigation strategies specifically to address tampering designed to inflict widespread public health harm. If we do not adequately address the possibility, or any actual instance, of product tampering, we could face possible seizure or recall of our products and the imposition of civil or criminal sanctions, which could materially adversely affect our business, financial condition, results of operations and cash flows. Most countries in which we operate have comparable regulations that we endeavor to comply with, but any failure to meet regulators’ or customers’ expectations could impact our business in these markets and have a material adverse effect on our reputation as well as our business, financial condition, results of operations and cash flows.</w:t>
      </w:r>
    </w:p>
    <w:p>
      <w:pPr>
        <w:spacing w:after="0" w:line="276" w:lineRule="exact"/>
        <w:rPr>
          <w:sz w:val="20"/>
          <w:szCs w:val="20"/>
          <w:color w:val="auto"/>
        </w:rPr>
      </w:pPr>
    </w:p>
    <w:p>
      <w:pPr>
        <w:ind w:right="120"/>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Our products and operations are subject to state and government regulation and oversight both in the U.S. and abroad, and our failure to comply with applicable requirements, or to respond to changes in regulations applicable to our business could adversely affect our business, financial condition,</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and cash flows.</w:t>
      </w:r>
    </w:p>
    <w:p>
      <w:pPr>
        <w:spacing w:after="0" w:line="205" w:lineRule="exact"/>
        <w:rPr>
          <w:sz w:val="20"/>
          <w:szCs w:val="20"/>
          <w:color w:val="auto"/>
        </w:rPr>
      </w:pPr>
    </w:p>
    <w:p>
      <w:pPr>
        <w:jc w:val="both"/>
        <w:ind w:right="220" w:firstLine="648"/>
        <w:spacing w:after="0" w:line="250" w:lineRule="auto"/>
        <w:rPr>
          <w:sz w:val="20"/>
          <w:szCs w:val="20"/>
          <w:color w:val="auto"/>
        </w:rPr>
      </w:pPr>
      <w:r>
        <w:rPr>
          <w:rFonts w:ascii="Times New Roman" w:cs="Times New Roman" w:eastAsia="Times New Roman" w:hAnsi="Times New Roman"/>
          <w:sz w:val="18"/>
          <w:szCs w:val="18"/>
          <w:color w:val="auto"/>
        </w:rPr>
        <w:t>The manufacturing, marketing and distribution of food products is highly regulated. We, along with our manufacturing and co-packing partners and our suppliers, are subject to a variety of laws and regulations internationally, which apply to many aspects of our and their businesses, including the sourcing of raw materials, manufacturing, packaging, labeling, distribution, advertising, sale, quality and safety of our products, as well as the health and safety of employees and the protection of the environment.</w:t>
      </w:r>
    </w:p>
    <w:p>
      <w:pPr>
        <w:spacing w:after="0" w:line="20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Our products and operations and those of our manufacturing and co-packing partners are subject to oversight by multiple U.S. and international regulatory agencies including the USDA, the FDA, the FTC, the EPA, the European Commission and the U.K.’s Food Standards Agency, Health and Safety Executive, Environment Agency, Environmental Health Officers and Trading Standards Officers and the Singapore Food Agency, among others. These agencies regulate, among other things, with respect to our products and operations:</w:t>
      </w:r>
    </w:p>
    <w:p>
      <w:pPr>
        <w:spacing w:after="0" w:line="21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development and manufacturing;</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labeling, content and language of instructions for use and storage;</w:t>
      </w:r>
    </w:p>
    <w:p>
      <w:pPr>
        <w:spacing w:after="0" w:line="24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product safety;</w:t>
      </w:r>
    </w:p>
    <w:p>
      <w:pPr>
        <w:spacing w:after="0" w:line="238"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sales and distribution;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 procedures;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and corrective actions;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import and export.</w:t>
      </w:r>
    </w:p>
    <w:p>
      <w:pPr>
        <w:spacing w:after="0" w:line="23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In the U.S., for example, we are subject to the requirements of the Federal Food, Drug and Cosmetic Act and regulations promulgated thereunder by the FDA. This comprehensive regulatory program governs, among other things, the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manufacturing, composition and ingredients, packaging, testing, labeling, marketing, promotion, advertising, storage, distribution and safety of food. The FDA requires that facilities that manufacture food products comply with a range of requirements, including hazard analysis and preventative controls regulations, current good manufacturing practices (“cGMP”), and supplier verification requirements. Certain of our facilities, as well as those of our manufacturing and co-packing partners, are subject to periodic inspection by federal, state and local authorities. We do not control the manufacturing processes of, but rely upon, our third-party manufacturing partners for compliance with cGMPs for the manufacturing of our products that is conducted by our partners. If we or our manufacturing partners cannot successfully manufacture products that conform to our specifications and the strict regulatory requirements of the FDA or other regulatory agencies, we or they may be subject to adverse inspectional findings or enforcement actions, which could materially impact our ability to market our products, could result in our manufacturing or co-packing partners’ inability to continue manufacturing for us or could result in a recall of our product that has already been distributed. In addition, we rely upon these parties to maintain adequate quality control, quality assurance and qualified personnel.</w:t>
      </w:r>
    </w:p>
    <w:p>
      <w:pPr>
        <w:spacing w:after="0" w:line="213"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Furthermore, there are an increasing number of state and local regulations in the U.S. related to, among other things, beverage packaging, labeling requirements, container deposits, recycling, or beverage taxes. We anticipate more states to adopt similar legislation or regulations, requiring us to continuously monitor various state laws to ensure compliance. Any failure to comply with these laws or regulations correctly could result in a temporary halt in distribution of our products and other costs, affecting our business and profitability.</w:t>
      </w:r>
    </w:p>
    <w:p>
      <w:pPr>
        <w:spacing w:after="0" w:line="218"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Failure by us, our suppliers or our manufacturing and co-packing partners to comply with applicable laws and regulations or maintain permits, licenses or registrations relating to our or our suppliers or manufacturing and co-packing partners’ operations could subject us to civil remedies or penalties, including fines, injunctions, recalls or seizures, warning letters, untitled letters, restrictions on the marketing or manufacturing of products, or refusals to permit the import or export of products, as well as potential criminal sanctions, which could result in increased operating costs or loss of revenue, resulting in a material effect on our business, financial condition, results of operations and cash flows. The regulations to which we are subject are complex and continuously changing, and have tended to become more stringent over time. New labeling and food safety laws could restrict our ability to carry on or expand our operations, result in higher than anticipated costs or lower than anticipated sales, and otherwise make it more difficult for us to realize our goals of achieving a more integrated global supply chain due to the differences in regulations around the world.</w:t>
      </w:r>
    </w:p>
    <w:p>
      <w:pPr>
        <w:spacing w:after="0" w:line="19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Advertising inaccuracies and product mislabeling may have an adverse effect on our business by exposing us to lawsuits, product recalls or regulatory enforcement actions, increasing our operating costs and reducing demand for our product offerings.</w:t>
      </w:r>
    </w:p>
    <w:p>
      <w:pPr>
        <w:spacing w:after="0" w:line="185"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Certain of our products are advertised with claims as to their origin, ingredients or health, wellness, environmental or other potential benefits, including, by way of example, the use of the terms “natural”, “organic”, “clean”, “non-toxic”, “sustainable”, “no added sugars,” or similar synonyms or implied statements relating to such benefits. Although the FDA and the USDA each have issued statements and adopted policies regarding the appropriate use of the word “natural,” there is no single, universal definition of the term “natural” for various categories we sell, which is true for many other adjectives common in the healthy or sustainable products industry. The resulting uncertainty has led to consumer confusion, distrust and legal challenges.</w:t>
      </w:r>
    </w:p>
    <w:p>
      <w:pPr>
        <w:spacing w:after="0" w:line="222"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In addition, the FDA has consistently enforced its regulations with respect to nutrient content claims, unauthorized health claims (claims that characterize the relationship between a food or food ingredient and a disease or health condition) and other claims that impermissibly suggest therapeutic benefits of certain foods or food components, or that misrepresent or improperly characterize the nutrient content in conventional food products.</w:t>
      </w:r>
    </w:p>
    <w:p>
      <w:pPr>
        <w:spacing w:after="0" w:line="217"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Moreover, the FTC has articulated a robust substantiation standard for health claims on foods and dietary supplements and has pursued investigations and litigation against companies where the FTC has concern that the claims being made are not properly substantiated. Examples of causes of action that may be asserted in a consumer class action lawsuit include fraud, unfair trade practices and breach of state consumer protection statutes. The FTC and/or state attorneys general may bring legal action that seeks removal of a product from the marketplace and impose fines and penalties. Further, consumer class action false advertising litigation relating to terms such as “natural,” “non-toxic,” “non-GMO” and other claims remain a persistent threat in our industry. Even when unmerited, class action claims, action by the FTC or state attorneys general enforcement actions can be expensive to defend and adversely affect our reputation with existing and potential customers and consumers and our corporate and brand image, which could have a material and adverse effect on our business, financial condition, results of operations or cash flows.</w:t>
      </w:r>
    </w:p>
    <w:p>
      <w:pPr>
        <w:spacing w:after="0" w:line="213"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The USDA enforces federal standards for organic production and use of the term “organic” on product labeling. These laws prohibit a company from selling or labeling products as organic unless they are produced and handled in accordance with the applicable federal law. By definition, organic products are not genetically modified or do not include</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60"/>
        <w:spacing w:after="0" w:line="247" w:lineRule="auto"/>
        <w:rPr>
          <w:sz w:val="20"/>
          <w:szCs w:val="20"/>
          <w:color w:val="auto"/>
        </w:rPr>
      </w:pPr>
      <w:r>
        <w:rPr>
          <w:rFonts w:ascii="Times New Roman" w:cs="Times New Roman" w:eastAsia="Times New Roman" w:hAnsi="Times New Roman"/>
          <w:sz w:val="18"/>
          <w:szCs w:val="18"/>
          <w:color w:val="auto"/>
        </w:rPr>
        <w:t>genetically modified (bioengineered) ingredients. We use suppliers and manufacturing partners who can certify that they meet the standards needed for each applicable product or ingredient specification. Our failure, or failure on the part of our suppliers or manufacturing partners to comply with these ingredient and product specifications, to maintain appropriate certifications, or to label organic products in compliance with federal or state laws, may subject us to liability or regulatory enforcement. Consumers may also pursue state law claims as to our labelling practices on this and other matters, challenging our labels as being intentionally mislabeled or misleading or deceptive to consumers. The cost of defending or settling these suits may be material to our business.</w:t>
      </w:r>
    </w:p>
    <w:p>
      <w:pPr>
        <w:spacing w:after="0" w:line="207" w:lineRule="exact"/>
        <w:rPr>
          <w:sz w:val="20"/>
          <w:szCs w:val="20"/>
          <w:color w:val="auto"/>
        </w:rPr>
      </w:pPr>
    </w:p>
    <w:p>
      <w:pPr>
        <w:jc w:val="both"/>
        <w:ind w:right="160" w:firstLine="648"/>
        <w:spacing w:after="0" w:line="250" w:lineRule="auto"/>
        <w:rPr>
          <w:sz w:val="20"/>
          <w:szCs w:val="20"/>
          <w:color w:val="auto"/>
        </w:rPr>
      </w:pPr>
      <w:r>
        <w:rPr>
          <w:rFonts w:ascii="Times New Roman" w:cs="Times New Roman" w:eastAsia="Times New Roman" w:hAnsi="Times New Roman"/>
          <w:sz w:val="18"/>
          <w:szCs w:val="18"/>
          <w:color w:val="auto"/>
        </w:rPr>
        <w:t>The regulatory environment in which we operate could also change significantly and adversely in the future. New or changing regulations could impact the way consumers view our products, such as potential new labeling regulations or enforcement of a standard of identity for terms used to market our products that would require us to list certain ingredients by specific names that could confuse our consumers into thinking we may use different types of ingredients than they originally thought or that the quality of our ingredients is different to what they anticipated.</w:t>
      </w:r>
    </w:p>
    <w:p>
      <w:pPr>
        <w:spacing w:after="0" w:line="204"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Any loss of confidence on the part of consumers in the truthfulness of our labeling, advertising or ingredient claims would be difficult and costly to overcome and may significantly reduce our brand value. In addition, packaging has to be suitable to distributor and retail handling and scanning, and any failures of the packaging to meet these expectations could cause recall or product destruction. Any of these events could adversely affect our brands, increase our costs, and decrease our sales, which could have an adverse effect on our business, financial condition, results of operations and cash flows.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state and foreign anti-corruption, sanctions and trade laws create the potential for significant liabilities and penalties and reputational harm.</w:t>
      </w:r>
    </w:p>
    <w:p>
      <w:pPr>
        <w:spacing w:after="0" w:line="229"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As of December 31, 2025, we derived 17% of our net sales from our International segment. In addition, we source all of our coconut water internationally. As such, we are subject to a number of laws and regulations governing payments and contributions to political persons or other third parties, including restrictions imposed by the FCPA, as well as economic sanctions, customs and export control laws, including those administered by the U.S. Department of the Treasury's Office of Foreign Assets Control (“OFAC”), U.S. Customs and Border Protection (“CBP”), the U.S. Department of Commerce and the U.S. Department of State. The FCPA is intended to prohibit bribery of foreign officials—including officials of any government or supranational organization, foreign political parties and officials thereof, and any candidate for foreign political office—to obtain or retain business. It also requires public companies in the U.S. to keep books and records that accurately and fairly reflect those companies’ transactions and maintain internal accounting controls to assure management’s control, authority, and responsibility over a company’s assets. OFAC, CBP, the U.S. Department of Commerce and the U.S. Department of State, among other governmental authorities, administer and enforce various customs and export control laws and regulations, as well as economic and trade sanctions based on U.S. foreign policy and national security goals that target certain countries, regions, governments, businesses and individuals. These laws and regulations relate to a number of aspects of our business, including but not limited to the activities of our suppliers, distributors and other partners.</w:t>
      </w:r>
    </w:p>
    <w:p>
      <w:pPr>
        <w:spacing w:after="0" w:line="212"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Similar laws in non-U.S. jurisdictions, such as EU sanctions or the U.K. Bribery Act, as well as other applicable anti-bribery, anti-corruption, anti-money laundering, sanctions, customs or export control laws, may also impose stricter or more onerous requirements than the FCPA, OFAC, CBP, the U.S. Department of Commerce and the U.S. Department of State, and implementing them may disrupt our business or cause us to incur significantly more costs to comply with those laws. Different laws may also contain conflicting provisions, making compliance with all laws more difficult. If we fail to comply with these laws and regulations, we could be exposed to claims for damages, civil or criminal financial penalties, reputational harm, incarceration of our employees, restrictions on our operations or other liabilities, which could negatively affect our business, operating results and financial condition. In addition, we may be subject to successor liability for FCPA violations or other acts of bribery, or violations of applicable sanctions or other export control laws committed by companies we acquire. Despite our compliance efforts and activities we cannot assure compliance by our employees or representatives for which we may be held responsible. Any determination that we have violated the FCPA or other applicable anti-corruption, sanctions, customs or export control laws could subject us to, among other things, civil and criminal penalties, material fines, profit disgorgement, injunctions on future conduct, securities litigation and a general loss of investor confidence, any one of which could adversely affect our business prospects, financial condition, results of operations or the market value of our common stock.</w:t>
      </w:r>
    </w:p>
    <w:p>
      <w:pPr>
        <w:spacing w:after="0" w:line="233"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U.S. export control laws and economic and trade sanctions prohibit the provision of certain products and services to U.S. embargoed or sanctioned countries, governments and persons. Even though we take precautions to prevent our products from being shipped or provided to embargoed countries and U.S. sanctions targets, they could be shipped, or provided by our distributors, to those countries and targets despite such precautions. The provision of goods in violation of</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U.S. export controls or sanctions could have negative consequences for our business, including government investigations, penalties and reputational harm. Changes in export and import regulations, economic sanctions and related laws, shifts in the enforcement or scope of existing regulations, changes in the countries, governments or persons targeted by such regulations and the imposition of tariffs may create delays in the introduction and sale of our products in international markets, result in decreased ability to export or sell our products to existing or potential customers with international operations or in some cases, prevent the export or import of our products to certain countries, governments or persons. Actions taken with respect to tariffs or trade relations between the U.S. and other countries, the products subject to such actions, and actions taken by other countries in retaliation may also have an adverse impact on us. The failure to comply with applicable current or future U.S. import, export control, sanctions and anti-corruption laws, including U.S. Customs regulations, could expose us and our employees to substantial civil or criminal penalties, fines and in extreme cases, incarceration. In addition, if our distributors fail to obtain appropriate import, export or re-export licenses or authorizations, or otherwise act in accordance with applicable laws, we may be adversely affected through reputational harm and penalties, which could have a material adverse effect on our business, financial condition, results of operations and cash flows.</w:t>
      </w:r>
    </w:p>
    <w:p>
      <w:pPr>
        <w:spacing w:after="0" w:line="252"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Changes in U.S. trade policy, including the imposition of new and revised tariffs on our principal sourcing countries, have increased our costs and created significant uncertainty, and could continue to materially and adversely affect our business, financial condition, results of operations, and cash flows.</w:t>
      </w:r>
    </w:p>
    <w:p>
      <w:pPr>
        <w:spacing w:after="0" w:line="207" w:lineRule="exact"/>
        <w:rPr>
          <w:sz w:val="20"/>
          <w:szCs w:val="20"/>
          <w:color w:val="auto"/>
        </w:rPr>
      </w:pPr>
    </w:p>
    <w:p>
      <w:pPr>
        <w:ind w:right="180" w:firstLine="648"/>
        <w:spacing w:after="0" w:line="241" w:lineRule="auto"/>
        <w:rPr>
          <w:sz w:val="20"/>
          <w:szCs w:val="20"/>
          <w:color w:val="auto"/>
        </w:rPr>
      </w:pPr>
      <w:r>
        <w:rPr>
          <w:rFonts w:ascii="Times New Roman" w:cs="Times New Roman" w:eastAsia="Times New Roman" w:hAnsi="Times New Roman"/>
          <w:sz w:val="18"/>
          <w:szCs w:val="18"/>
          <w:color w:val="auto"/>
        </w:rPr>
        <w:t>The uncertainty surrounding current and future tariffs presents significant challenges to our operations and supply chain. Tariffs, and uncertainty regarding their long-term rates, could disrupt sourcing decisions, production planning, and logistics, including by causing disturbances in ocean shipping capacity and cost. They have also created, and may continue to create, inflationary effects on our input and transportation costs. We are monitoring the evolving tariff landscape and implementing mitigation strategies, including pricing adjustments, modifications to our sourcing strategies, and other cost reduction initiatives. There can be no assurance that these actions will be successful, sufficient, or sustainable, that we will be able to fully or partially offset increased costs through price increases or other measures, or that such measures will not adversely affect demand for our products.</w:t>
      </w:r>
    </w:p>
    <w:p>
      <w:pPr>
        <w:spacing w:after="0" w:line="211"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Recently, we benefited from a U.S. executive action granting tariff exemptions applicable to coconut water products, which reduced our costs. However, these exemptions may be temporary, subject to change or revocation with limited notice, or may not be renewed on comparable terms, or at all. If the exemptions expire, are scaled back, or otherwise become unavailable, our effective duty rates could increase materially, which could raise our cost of goods sold, compress gross margins, and necessitate price increases or changes to our product, sourcing, or logistics strategies. We may be unable to fully or timely pass increased costs through to customers due to competitive dynamics, retailer negotiations, or consumer price sensitivity, which could adversely affect our volumes, net sales, and profitability.</w:t>
      </w:r>
    </w:p>
    <w:p>
      <w:pPr>
        <w:spacing w:after="0" w:line="197" w:lineRule="exact"/>
        <w:rPr>
          <w:sz w:val="20"/>
          <w:szCs w:val="20"/>
          <w:color w:val="auto"/>
        </w:rPr>
      </w:pPr>
    </w:p>
    <w:p>
      <w:pPr>
        <w:ind w:right="160" w:firstLine="648"/>
        <w:spacing w:after="0" w:line="241" w:lineRule="auto"/>
        <w:rPr>
          <w:sz w:val="20"/>
          <w:szCs w:val="20"/>
          <w:color w:val="auto"/>
        </w:rPr>
      </w:pPr>
      <w:r>
        <w:rPr>
          <w:rFonts w:ascii="Times New Roman" w:cs="Times New Roman" w:eastAsia="Times New Roman" w:hAnsi="Times New Roman"/>
          <w:sz w:val="18"/>
          <w:szCs w:val="18"/>
          <w:color w:val="auto"/>
        </w:rPr>
        <w:t>The overall impact of tariffs and related trade actions on our business depends on numerous factors, including the timing, duration, and scope of any tariffs; future changes to tariffs, including rates or enforcement; reciprocal or retaliatory measures by impacted foreign trading partners; inflationary effects on our cost structure; changes in consumer purchasing behavior; and the effectiveness of our responses in managing these challenges. Any continuation, escalation, or expansion of tariffs, retaliatory actions, or other trade restrictions affecting the countries from which we source could increase our costs, reduce margins, constrain supply availability, impair service levels, and otherwise materially and adversely affect our business, financial condition, results of operations, and cash flows.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or legal proceedings could expose us to significant liabilities and have a negative impact on our reputation or business.</w:t>
      </w:r>
    </w:p>
    <w:p>
      <w:pPr>
        <w:spacing w:after="0" w:line="243"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From time to time, we may be party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 For example, we are and have been subject to various labelling, trademark infringement and product quality claims in the ordinary course of our business, and may, in the future, face a range of litigation, including employment issues, distributor disputes, shareholder litigation and other contractual matters.</w:t>
      </w:r>
    </w:p>
    <w:p>
      <w:pPr>
        <w:spacing w:after="0" w:line="207"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Even when not merited, the defense of these claims or lawsuits may divert our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have a material adverse effect on our financial position, cash flows or results of operations. Any claims or litigation, even if fully indemnified or insured, could damage our reputation</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and potentially prevent us from selling or manufacturing our products, which would make it more difficult to compete effectively or to obtain adequate insurance in the future.</w:t>
      </w:r>
    </w:p>
    <w:p>
      <w:pPr>
        <w:spacing w:after="0" w:line="203" w:lineRule="exact"/>
        <w:rPr>
          <w:sz w:val="20"/>
          <w:szCs w:val="20"/>
          <w:color w:val="auto"/>
        </w:rPr>
      </w:pPr>
    </w:p>
    <w:p>
      <w:pPr>
        <w:ind w:right="180" w:firstLine="648"/>
        <w:spacing w:after="0" w:line="272" w:lineRule="auto"/>
        <w:rPr>
          <w:sz w:val="20"/>
          <w:szCs w:val="20"/>
          <w:color w:val="auto"/>
        </w:rPr>
      </w:pPr>
      <w:r>
        <w:rPr>
          <w:rFonts w:ascii="Times New Roman" w:cs="Times New Roman" w:eastAsia="Times New Roman" w:hAnsi="Times New Roman"/>
          <w:sz w:val="17"/>
          <w:szCs w:val="17"/>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Information Technology and Intellectual Property</w:t>
      </w:r>
    </w:p>
    <w:p>
      <w:pPr>
        <w:spacing w:after="0" w:line="185"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7"/>
          <w:szCs w:val="17"/>
          <w:b w:val="1"/>
          <w:bCs w:val="1"/>
          <w:i w:val="1"/>
          <w:iCs w:val="1"/>
          <w:color w:val="auto"/>
        </w:rPr>
        <w:t>We rely heavily on our information technology systems, as well as those of our third-party vendors and business partners, for our business to effectively operate and to safeguard confidential information; any significant failure, inadequacy, interruption or data security incident could adversely affect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financial condition, results of operations and cash flows.</w:t>
      </w:r>
    </w:p>
    <w:p>
      <w:pPr>
        <w:spacing w:after="0" w:line="205"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18"/>
          <w:szCs w:val="18"/>
          <w:color w:val="auto"/>
        </w:rPr>
        <w:t>We use information technology systems, infrastructure and data in substantially all aspects of our business operations. Our ability to effectively manage our business and coordinate the manufacturing, sourcing, distribution and sale of our products depends significantly on the reliability and capacity of these systems. We are critically dependent on the integrity, security and consistent operations of these systems. We also collect, process and store numerous classes of sensitive, personally identifiable and/or confidential information and intellectual property, including customers’ and suppliers’ information, private information about employees and financial and strategic information about us and our business partners. The secure processing, maintenance and transmission of this information is critical to our operations.</w:t>
      </w:r>
    </w:p>
    <w:p>
      <w:pPr>
        <w:spacing w:after="0" w:line="207"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As discussed above under, “If we encounter problems or interruptions with our supply chain, our costs may increase and our or our customers’ ability to deliver our products to market could be adversely affected, impacting our business and profitability,” our systems and those of our third party vendors, service providers, and business partners may be subject to damage or interruption from power outages or damages, telecommunications problems, data corruption, software errors, network failures, acts of war, or terrorist attacks, fire, flood, global pandemics and natural disasters; our existing safety systems, data backup, access protection, user management and information technology emergency planning may not be sufficient to prevent data loss or long-term network outages. In addition, we and our third party vendors, service providers, and business partners may upgrade our existing information technology systems or choose to incorporate new technology systems from time to time in order for such systems to support the increasing needs of our expanding business. Costs and potential problems and interruptions associated with the implementation of new or upgraded systems and technology or with maintenance or adequate support of existing systems could disrupt our business and result in transaction errors, processing inefficiencies and loss of production or sales, causing our business and reputation to suffer.</w:t>
      </w:r>
    </w:p>
    <w:p>
      <w:pPr>
        <w:spacing w:after="0" w:line="213"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Further, our systems and those of our third-party vendors, service providers, and business partners may be vulnerable to, and have experienced attempted security incidents, attacks by hackers (including ransomware attacks, phishing attacks and other third-party intrusions), acts of vandalism, computer viruses, misplaced or lost data, human errors or other similar events. If unauthorized parties gain access to our networks or databases, or those of our third-party vendors or business partners, they may be able to commit financial fraud, publish, delete, use inappropriately or modify our private and sensitive third-party information, including credit card information and other personally identifiable personal information. In addition, employees may intentionally or inadvertently cause data or security incidents that result in unauthorized payments, and/or release of personally identifiable or confidential information. Because the techniques used to circumvent security systems can be highly sophisticated, change frequently, are often not recognized until launched against a target (and even, in many cases, until after having been successfully launched for some time) and may originate from less regulated and remote areas around the world, we may be unable to proactively address all possible techniques or implement adequate preventive measures for all situations.</w:t>
      </w:r>
    </w:p>
    <w:p>
      <w:pPr>
        <w:spacing w:after="0" w:line="213"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Security incidents compromising the confidentiality, integrity and availability of our sensitive information and our systems and those of our third party vendors and business partners could result from cyber-attacks, computer malware, viruses, social engineering (including spear phishing and ransomware attacks), supply chain attacks, efforts by individuals or groups of hackers and sophisticated organizations, including state-sponsored organizations, errors or malfeasance of our personnel, including human error and bad actors, and security vulnerabilities in the software or systems on which we, or our third party vendors or business partners, rely. Cybercrime and hacking techniques are constantly evolving. We and/or our third-party vendors, service providers, and/or business partners may be unable to stop all attempted security breaches, react in a timely manner, or implement adequate preventative measures, particularly given the increasing use of hacking techniques designed to circumvent controls, avoid detection, and remove or obfuscate forensic artifacts. We anticipate that these threats will continue to grow in scope and complexity over time and such incidents may occur in the future, and could result in unauthorized, unlawful, or inappropriate access to, inability to access, disclosure of, or loss of the sensitive, proprietary and confidential information (including personal information) that we collect, receive and process. We employ</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multiple methods at different layers of our systems designed to defend against intrusion and attack, to protect our systems and to resolve and mitigate the impact of any incidents. Despite our efforts to keep our systems secure and to remedy identified vulnerabilities, future attacks could be successful and could result in substantial liability or business risk. We expect that third parties will continue to attempt to gain unauthorized access to our systems or facilities through various means, including hacking into our systems or facilities, or those of our customers or vendors, or attempting to fraudulently induce our employees, customers, vendors or other users of our systems into disclosing sensitive information, which may in turn be used to access our IT systems. Our cybersecurity programs and efforts to protect our systems and data, and to prevent, detect and respond to data security incidents, may not prevent these threats or provide adequate security. We may experience breaches of our security measures due to human error, malfeasance, system errors or vulnerabilities, or other irregularities including attempts by former, current or future employees to misuse their authorized access and/or gain unauthorized access to our systems. As we rely on a number of our third party vendors and business partners, we are exposed to certain security risks outside of our direct control resulting from our engagements with these parties, and our ability to directly monitor these third-party vendors’ and business partners’ data security is limited. While we take care to vet our vendors and business partners and contract with them to require levels of data security and best practices, and employ a number of security measures designed to prevent, detect, and mitigate potential for harm to our users and our systems from the theft of or misuse of user credentials on our network, these measures may not be effective in every instance. Moreover, we or our third-party vendors or business partners may be more vulnerable to such attacks in remote work environments, which have increased in recent years. Additionally, while we maintain cyber insurance that may help provide coverage for these types of incidents, we cannot ensure that our insurance will be adequate to cover costs and liabilities related to an incident. Previously, we have experienced spoofing and social engineering incidents and since then, we have taken measures, such as third-party forensic consultant reviews, to ensure that no compromises of our systems have occurred and to mitigate risks of future harm. However, the sophistication of cyber attacks continues to increase and there is no guarantee that the steps we have taken will be sufficient to prevent significant disruption and loss.</w:t>
      </w:r>
    </w:p>
    <w:p>
      <w:pPr>
        <w:spacing w:after="0" w:line="222"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Further, a failure to incorporate new technology, like artificial intelligence (“AI”), machine learning and automation, or adopt new marketing practices may reduce our ability to compete and operate efficiently, or increase risks of data security or result in suboptimal business decisions. If we do not sufficiently invest and evolve our business at sufficient speed and scale in response to such developments, or if we execute poorly on these investments, our products, results of operations and ability to compete and develop our business could be negatively affected. For example, we have begun the incorporation of AI and machine learning technology into our systems and business operations. When incorporating AI technologies into our business functions and operations, we are increasingly liable to new or existing risks due to increased governmental monitoring, compliance issues, data privacy risks, and potential litigation, all of which could negatively impact both financial performance and business reputation. Our ability to benefit from AI while managing the risks significantly relies on the effective selection of AI tools and platforms tailored to fit our specific business needs. Integrating ineffective AI technologies, or incorporating AI technologies without appropriate training, could lead to unintended consequences such as bias, discriminatory outputs, accuracy or data privacy issues. If we fail to successfully integrate AI, run afoul of developing regulations regarding AI, or otherwise cannot keep up with market demand when it comes to this new technology, our business may suffer.</w:t>
      </w:r>
    </w:p>
    <w:p>
      <w:pPr>
        <w:spacing w:after="0" w:line="196" w:lineRule="exact"/>
        <w:rPr>
          <w:sz w:val="20"/>
          <w:szCs w:val="20"/>
          <w:color w:val="auto"/>
        </w:rPr>
      </w:pPr>
    </w:p>
    <w:p>
      <w:pPr>
        <w:ind w:right="120" w:firstLine="648"/>
        <w:spacing w:after="0" w:line="260" w:lineRule="auto"/>
        <w:rPr>
          <w:sz w:val="20"/>
          <w:szCs w:val="20"/>
          <w:color w:val="auto"/>
        </w:rPr>
      </w:pPr>
      <w:r>
        <w:rPr>
          <w:rFonts w:ascii="Times New Roman" w:cs="Times New Roman" w:eastAsia="Times New Roman" w:hAnsi="Times New Roman"/>
          <w:sz w:val="17"/>
          <w:szCs w:val="17"/>
          <w:color w:val="auto"/>
        </w:rPr>
        <w:t>Any data security breach, attack, virus or other incident could result in additional financial losses, costly investigations and litigation exceeding applicable insurance coverage or contractual rights available to us, civil or criminal penalties, operational changes or other response measures, loss of consumer confidence in our security measures, and negative publicity that could adversely affect our business, reputation, financial condition, results of operations and cash flows. Furthermore, regulations and expectations for timely disclosing any cyber security events are evolving, and there are additional risks that in our response to such events, and in our disclosure, we will not meet the appropriate requirements, creating regulatory and litigation risks.</w:t>
      </w:r>
    </w:p>
    <w:p>
      <w:pPr>
        <w:spacing w:after="0" w:line="197"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In addition, if any such event resulted in access, disclosure or other loss or unauthorized use of information or data, such as customers’ and suppliers’ information, private information about employees and financial and strategic information about us and our business partners, whether actual or perceived, it could result in legal claims or proceedings, regulatory investigations or actions, and other types of liability under laws that protect the privacy and security of personal information, including federal, state and foreign data protection and privacy laws and regulations, violations of which could result in significant penalties, fines, costs and litigation. The cost of investigating, mitigating and responding to potential security breaches and complying with applicable breach notification obligations to individuals, regulators, partners and others can be significant and the risk of legal claims in the event of a security breach is increasing. For example, certain of the recently enacted state and international comprehensive privacy laws create a private right of action for certain data breaches and for non-compliance. Further, defending a suit, regardless of its merit, could be costly, divert management attention and harm our reputation. The successful assertion of one or more large claims against us that exceed available insurance coverage, or the occurrence of changes in our insurance policies, including premium increases or the imposition of large deductibles or co-insurance requirements, could adversely affect our reputation, business, financial condition, results of operations and cash flows. Any material disruption or slowdown of our systems or those of our third-party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vendors or business partners, could have a material adverse effect on our business, financial condition, results of operations and cash flows. Our risks are likely to increase as we continue to expand, grow our customer base, and process, store, and transmit increasing amounts of proprietary and sensitive data. In addition, although we seek to detect and investigate all data security incidents, security breaches and other incidents of unauthorized access to our information technology systems, it can be difficult to detect and determine the scope and impact of data security incidents. Any delay in identifying such breaches or incidents may lead to increased harm and legal exposure of the type described above.</w:t>
      </w:r>
    </w:p>
    <w:p>
      <w:pPr>
        <w:spacing w:after="0" w:line="285" w:lineRule="exact"/>
        <w:rPr>
          <w:sz w:val="20"/>
          <w:szCs w:val="20"/>
          <w:color w:val="auto"/>
        </w:rPr>
      </w:pPr>
    </w:p>
    <w:p>
      <w:pPr>
        <w:ind w:right="32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Changes in laws, regulations, and public perception concerning data privacy, or changes in the patterns of enforcement of existing laws and regulations, could impact our ability to efficiently gather, process, update, and/or provide some or all of the information we currently provide or the ability of our customers and users to use some or all of our products or services, and increases our compliance costs and litigation risks.</w:t>
      </w:r>
    </w:p>
    <w:p>
      <w:pPr>
        <w:spacing w:after="0" w:line="213"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We collect, maintain, and otherwise process personal information and other data relating to our employees and customers. Additionally, we sell products directly to consumers from our website and rely on a variety of marketing techniques, including email and social media marketing, and we are subject to various laws and regulations that govern such selling, marketing and advertising practices. We are subject to numerous state, federal and international laws, rules and regulations that govern the collection, use and protection of personal information.</w:t>
      </w:r>
    </w:p>
    <w:p>
      <w:pPr>
        <w:spacing w:after="0" w:line="204" w:lineRule="exact"/>
        <w:rPr>
          <w:sz w:val="20"/>
          <w:szCs w:val="20"/>
          <w:color w:val="auto"/>
        </w:rPr>
      </w:pPr>
    </w:p>
    <w:p>
      <w:pPr>
        <w:ind w:right="100" w:firstLine="648"/>
        <w:spacing w:after="0" w:line="244" w:lineRule="auto"/>
        <w:rPr>
          <w:sz w:val="20"/>
          <w:szCs w:val="20"/>
          <w:color w:val="auto"/>
        </w:rPr>
      </w:pPr>
      <w:r>
        <w:rPr>
          <w:rFonts w:ascii="Times New Roman" w:cs="Times New Roman" w:eastAsia="Times New Roman" w:hAnsi="Times New Roman"/>
          <w:sz w:val="18"/>
          <w:szCs w:val="18"/>
          <w:color w:val="auto"/>
        </w:rPr>
        <w:t>In recent years, there has been an increase in attention to and regulation of data protection and data privacy across the globe, including the FTC’s increasingly active approach to enforcing data privacy in the U.S., as well as the enactment of the EU’s General Data Protection Regulation (“GDPR”), which took effect in May 2018, the U.K.’s transposition of GDPR into its domestic laws, which took effect September 2021, the California Privacy Rights Act (“CPRA”), which took effect January 1, 2023 and expands the California Consumer Privacy Act (“CCPA”) of 2020, Virginia’s Consumer Data Protection Act, which also took effect January 1, 2023, and similar comprehensive privacy laws adopted in other states and jurisdictions including Colorado, Connecticut, and Utah. Additionally, Indiana, Montana, Oregon, Tennessee, Texas, Kentucky, Maryland, Minnesota, New Hampshire, New Jersey and Rhode Island have adopted similar laws that took effect in 2025 or will take effect at different dates through 2025 and 2026. Additional U.S. states are considering passing similar data laws. On a federal level, the U.S. Congress has introduced several iterations of a federal comprehensive privacy law. If a federal privacy law passed, it would likely supersede the new state privacy laws and establish uniform privacy protections across the country.</w:t>
      </w:r>
    </w:p>
    <w:p>
      <w:pPr>
        <w:spacing w:after="0" w:line="212"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We anticipate that federal, state and international regulators will continue to enact new legislation related to privacy, cybersecurity and the use of personal information within AI technologies. These laws may impose restrictions on our ability to gather and utilize personal information, provide individuals with additional rights around their personal information, and place downstream obligations on our vendors and business partners relating to their use of personal information we provide to them for processing.</w:t>
      </w:r>
    </w:p>
    <w:p>
      <w:pPr>
        <w:spacing w:after="0" w:line="204"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18"/>
          <w:szCs w:val="18"/>
          <w:color w:val="auto"/>
        </w:rPr>
        <w:t>Our actual or alleged failure to comply with applicable privacy or data security laws, regulations, and policies, or to protect personal information, could result in enforcement actions and significant penalties against us, which could result in negative publicity or costs, subject us to claims or other remedies, and have a material adverse effect on our business, financial condition and results of operations. Further, these laws may require us to take on more onerous obligations in our contracts, add new provisions in data processing agreements ("DPAs") related to the processing of personal information, restrict our ability to store, transfer and process personal information or, in some cases, impact our ability to reach current and prospective customers, or to derive insights from data globally. Cross-border data transfers and the use of data transfer mechanisms now involve additional compliance steps and in the event any court blocks personal information transfers to or from a particular jurisdiction on the basis that certain or all such transfer mechanisms are not legally adequate, this could give rise to operational interruption in the performance of services for customers and internal processing of employee information, greater costs to implement alternative data transfer mechanisms that are still permitted, regulatory liabilities, or reputational harm.</w:t>
      </w:r>
    </w:p>
    <w:p>
      <w:pPr>
        <w:spacing w:after="0" w:line="212"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We rely on a variety of marketing techniques and practices to sell our products and to attract new customers and consumers, and we are subject to various current and future data protection laws and obligations that govern marketing and advertising practices. For example, the Controlling the Assault of Non-Solicited Pornography and Marketing Act of 2003, or the CAN-SPAM Act, establishes specific requirements for commercial email messages in the U.S. Governmental authorities, including in the EU and the U.K., continue to evaluate the privacy implications inherent in the use of third-party “cookies” and other methods of online tracking for behavioral advertising and other purposes, such as by regulating the level of consumer notice and consent required before a company can employ cookies or other electronic tracking tools or the use of data gathered with such tools. Laws and regulations regarding the use of these cookies and other current online tracking and advertising practices could increase our costs of operations and limit our ability to acquire new consumers on cost-effective terms, which, in turn, could have an adverse effect on our business, financial condition, results of operations and cash flows. Furthermore, the uncertain and shifting regulatory environment and trust climate may prompt</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individuals to opt out of our collection of their personal information. Concern regarding our use of the personal information collected on our websites or via our marketing activities could impact sales of product. Additionally, certain new privacy laws require opt-ins rather than opt-outs for certain personal information, which could reduce some of the data we have historically been able to collect. Even the perception that the privacy of personal information is not satisfactorily protected or does not meet regulatory requirements could discourage prospective customers from purchasing our products.</w:t>
      </w:r>
    </w:p>
    <w:p>
      <w:pPr>
        <w:spacing w:after="0" w:line="204"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Industry-wide incidents or incidents with respect to our websites, including changes in industry standards, regulations, or laws, could deter people from using the internet or our websites to conduct transactions that involve the transmission of personal information, which could harm our business. We also receive data from third-party vendors (e.g., data brokers). While we have implemented certain contractual measures with such vendors to protect our interests, we are ultimately unable to verify with complete certainty the source of such data, how it was received, and that such information was collected and is being shared with us in compliance with all applicable data privacy laws.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adequately, which may harm the value of our brands.</w:t>
      </w:r>
    </w:p>
    <w:p>
      <w:pPr>
        <w:spacing w:after="0" w:line="243"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We believe that our intellectual property has substantial value and has contributed significantly to the success of our business. Our trademarks are valuable assets that reinforce our brands and differentiate our products. We cannot assure you that we will be able to register and/or enforce our trademarks in all jurisdictions in which we do business, as the registrability of trademarks and the scope of trademark protection varies from jurisdiction to jurisdiction. In addition, third parties may adopt trade names or trademarks that are the same as or similar to ours, especially in jurisdictions in which we have not yet obtained trademark protection, thereby impeding our ability to build brand identity and possibly leading to market confusion. In addition, our trademark applications may be opposed by third parties, our trademarks may otherwise be challenged, and/or the scope of any of our trademark registrations could be narrowed as a result of a challenge, or even canceled entirely. Failure to protect our trademark rights could prevent us in the future from challenging third parties who use names and logos similar to our trademarks, which may in turn cause consumer confusion, negatively affect our brand recognition, or negatively affect consumers’ perception of our brands and products. Over the long term, if we are unable to successfully register our trademarks and trade names and establish name recognition based on our trademarks and trade names, we may not be able to compete effectively and our business may be adversely affected.</w:t>
      </w:r>
    </w:p>
    <w:p>
      <w:pPr>
        <w:spacing w:after="0" w:line="21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 order to resolve certain trademark disputes, we have entered into coexistence or settlement agreements that permit other parties certain uses of marks similar to ours for certain categories and countries, and restrict the use of our marks in certain categories and countries. There is no guarantee that these coexistence settlement agreements will foreclose future trademark disputes.</w:t>
      </w:r>
    </w:p>
    <w:p>
      <w:pPr>
        <w:spacing w:after="0" w:line="196" w:lineRule="exact"/>
        <w:rPr>
          <w:sz w:val="20"/>
          <w:szCs w:val="20"/>
          <w:color w:val="auto"/>
        </w:rPr>
      </w:pPr>
    </w:p>
    <w:p>
      <w:pPr>
        <w:ind w:right="160" w:firstLine="648"/>
        <w:spacing w:after="0" w:line="246" w:lineRule="auto"/>
        <w:rPr>
          <w:sz w:val="20"/>
          <w:szCs w:val="20"/>
          <w:color w:val="auto"/>
        </w:rPr>
      </w:pPr>
      <w:r>
        <w:rPr>
          <w:rFonts w:ascii="Times New Roman" w:cs="Times New Roman" w:eastAsia="Times New Roman" w:hAnsi="Times New Roman"/>
          <w:sz w:val="18"/>
          <w:szCs w:val="18"/>
          <w:color w:val="auto"/>
        </w:rPr>
        <w:t>We also rely on proprietary expertise, recipes and formulations and other trade secrets and copyright protection to develop and maintain our competitive position. Obtaining patent protection, if available for any of such proprietary intellectual property, can be time consuming and expensive, and we cannot guarantee that our patent applications would be granted, or if granted, that they would be of sufficient scope to provide meaningful protection. Accordingly, we have in the past decided, and may in future decide, to protect our intellectual property rights in our technologies by maintaining them as trade secrets rather than publicly filing for formal intellectual property registrations such as patents and copyrights.</w:t>
      </w:r>
    </w:p>
    <w:p>
      <w:pPr>
        <w:spacing w:after="0" w:line="222"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Our confidentiality agreements with our employees and certain of our consultants, contract employees, suppliers and independent contractors, including some of our manufacturers who use our formulations to manufacture our products, generally require that all information made known to them be kept strictly confidential.</w:t>
      </w:r>
    </w:p>
    <w:p>
      <w:pPr>
        <w:spacing w:after="0" w:line="217"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18"/>
          <w:szCs w:val="18"/>
          <w:color w:val="auto"/>
        </w:rPr>
        <w:t>Nevertheless, trade secrets are difficult to protect. Although we attempt to protect our trade secrets, our confidentiality agreements may not effectively prevent disclosure of our proprietary information and may not provide an adequate remedy in the event of unauthorized disclosure of such information. In addition, others may independently develop similar recipes or formulations to those that we have maintained as trade secrets, in which case we would not be able to assert trade secret rights against such parties. Further, some of our formulations have been developed by or with our suppliers (manufacturing, co-packing, ingredient and packaging partners). As a result, we may not be able to prevent others from developing or using similar formulations.</w:t>
      </w:r>
    </w:p>
    <w:p>
      <w:pPr>
        <w:spacing w:after="0" w:line="209"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We cannot assure you that the steps we have taken to protect our intellectual property rights are adequate, that our intellectual property rights can be successfully defended and asserted in the future or that third parties will not infringe upon or misappropriate any such rights. We may be required to spend significant resources in order to monitor and protect our intellectual property rights. Litigation may be necessary in the future to enforce our intellectual property rights, including to protect our trademarks and trade secrets. We cannot assure you that we will have adequate resources to enforce our intellectual property rights, as such enforcement and potential litigation can be costly, time-consuming, and distracting to the Company’s operations. Any such litigation could result in the impairment or loss of portions of our intellectual</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property, as our efforts to enforce our intellectual property rights may be met with defenses, counterclaims, and countersuits attacking the ownership, scope, validity and enforceability of our intellectual property rights.</w:t>
      </w:r>
    </w:p>
    <w:p>
      <w:pPr>
        <w:spacing w:after="0" w:line="203"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We also face the risk of claims that we have infringed third parties’ intellectual property rights. If a third party asserts a claim that our offerings infringe, misappropriate or violate their rights, resulting litigation could be expensive and could divert management attention and resources away from our core business operations. Any claims of trademark or intellectual property infringement, even those without merit, could:</w:t>
      </w:r>
    </w:p>
    <w:p>
      <w:pPr>
        <w:spacing w:after="0" w:line="21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expensive and time consuming to defend;</w:t>
      </w:r>
    </w:p>
    <w:p>
      <w:pPr>
        <w:spacing w:after="0" w:line="23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cease making, licensing or using products that incorporate the challenged intellectual property, which in turn could harm relationships with customers and distributors and might result in damages;</w:t>
      </w:r>
    </w:p>
    <w:p>
      <w:pPr>
        <w:spacing w:after="0" w:line="202"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redesign, reengineer, or rebrand our products or packaging, if feasible, and might result in large inventory write-offs of unsaleable or unusable materials; and</w:t>
      </w:r>
    </w:p>
    <w:p>
      <w:pPr>
        <w:spacing w:after="0" w:line="18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royalty or licensing agreements in order to obtain the right to use a third party’s intellectual property which might affect our margins and ability to compete.</w:t>
      </w:r>
    </w:p>
    <w:p>
      <w:pPr>
        <w:spacing w:after="0" w:line="17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Any royalty or licensing agreements, if required, may not be available to us on acceptable terms or at all. A successful claim of infringement against us could result in our being required to pay significant damages, enter into costly license or royalty agreements, or stop the sale of certain products, any of which could have a negative impact on our operating profits, our customer relations and harm our future prospects.</w:t>
      </w:r>
    </w:p>
    <w:p>
      <w:pPr>
        <w:spacing w:after="0" w:line="196"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In addition, the introduction of AI technologies into our business activities could expose our business to intellectual property risks. The intellectual property ownership and license rights, including copyright, surrounding AI technologies has not been fully addressed by laws or regulations, and the use or adoption of third-party AI technologies into our business operations, products and services may result in exposure to claims of copyright infringement or other intellectual property misappropriation, as well as potential liability to customers.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adopt, develop and deploy AI and other new technologies may affect demand for our products and impact our internal operations.</w:t>
      </w:r>
    </w:p>
    <w:p>
      <w:pPr>
        <w:spacing w:after="0" w:line="243"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Our ability to adopt, develop, and deploy AI and other emerging technologies may affect demand for our products and the efficiency and reliability of our internal operations. We continue to evaluate and plan for implementation of AI tools for functions in our business, such as sales forecasting, demand planning, inventory and supply chain management, marketing analytics, customer service, and information management, and including tools that may process or rely on consumer information. The benefits of these technologies are uncertain, and the costs and risks may be significant. If we do not timely and effectively adopt or integrate these technologies, or if our competitors do so more quickly or successfully, our business, results of operations, financial condition, and prospects could be materially and adversely affected.</w:t>
      </w:r>
    </w:p>
    <w:p>
      <w:pPr>
        <w:spacing w:after="0" w:line="211" w:lineRule="exact"/>
        <w:rPr>
          <w:sz w:val="20"/>
          <w:szCs w:val="20"/>
          <w:color w:val="auto"/>
        </w:rPr>
      </w:pPr>
    </w:p>
    <w:p>
      <w:pPr>
        <w:ind w:right="40" w:firstLine="648"/>
        <w:spacing w:after="0" w:line="206" w:lineRule="exact"/>
        <w:rPr>
          <w:sz w:val="20"/>
          <w:szCs w:val="20"/>
          <w:color w:val="auto"/>
        </w:rPr>
      </w:pPr>
      <w:r>
        <w:rPr>
          <w:rFonts w:ascii="Times New Roman" w:cs="Times New Roman" w:eastAsia="Times New Roman" w:hAnsi="Times New Roman"/>
          <w:sz w:val="18"/>
          <w:szCs w:val="18"/>
          <w:color w:val="auto"/>
        </w:rPr>
        <w:t>Because AI and other emerging technologies are complex and rapidly evolving, we may not be able to fully anticipate or mitigate all associated risks. Implementing appropriate safeguards, controls, monitoring, and human oversight may be costly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may not prevent all harms. If our AI initiatives do not perform as expected, fail to deliver anticipated efficiencies or insights, produce unreliable or biased results, or give rise to privacy, security, ethical, or legal concerns, our brand and customer trust could be harmed, and our profitability could be negatively impacted, and our competitive position could be weakened. Any of the foregoing could materially and adversely affect our business, results of operations, financial condition, and prospects.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the Ability to Finance our Business and Our Indebtedness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financing to achieve our goals, which may not be available when needed or may be costly and dilutive.</w:t>
      </w:r>
    </w:p>
    <w:p>
      <w:pPr>
        <w:spacing w:after="0" w:line="229" w:lineRule="exact"/>
        <w:rPr>
          <w:sz w:val="20"/>
          <w:szCs w:val="20"/>
          <w:color w:val="auto"/>
        </w:rPr>
      </w:pPr>
    </w:p>
    <w:p>
      <w:pPr>
        <w:ind w:right="240" w:firstLine="648"/>
        <w:spacing w:after="0" w:line="246" w:lineRule="auto"/>
        <w:rPr>
          <w:sz w:val="20"/>
          <w:szCs w:val="20"/>
          <w:color w:val="auto"/>
        </w:rPr>
      </w:pPr>
      <w:r>
        <w:rPr>
          <w:rFonts w:ascii="Times New Roman" w:cs="Times New Roman" w:eastAsia="Times New Roman" w:hAnsi="Times New Roman"/>
          <w:sz w:val="18"/>
          <w:szCs w:val="18"/>
          <w:color w:val="auto"/>
        </w:rPr>
        <w:t>We may require additional financing to support the growth of our business, to acquire new businesses, for working capital needs or to cover unforeseen costs and expenses. The amount of additional capital we may require, the timing of our capital needs and the availability of financing to fund those needs will depend on a number of factors, including our strategic initiatives and operating plans, the performance of our business, the number, complexity and characteristics of additional products or future manufacturing processes we require to serve new or existing markets, any proposed acquisitions and cost increases related to the integration of acquired products or businesses, any material or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significant product recalls, any failure or disruption with our manufacturing and co-packing partners as well as our third party logistics providers, the expansion into new markets, any changes in our regulatory or legislative landscape, particularly with respect to product safety, advertising, product labeling and data privacy, the costs associated with being a public company and the market conditions for debt or equity financing. Additionally, the amount of capital required will depend on our ability to meet our sales goals and otherwise successfully execute our operating plan. We intend to continually monitor and adjust our operating plan as necessary to respond to developments in our business, our markets and the broader economy and it is possible that our business could become more capital intensive. Although we believe various debt and equity financing alternatives will be available to us to support our capital needs, financing arrangements on acceptable terms may not be available to us when needed. Additionally, these alternatives may require significant cash payments for interest and other costs or could be highly dilutive to our existing shareholders. Any such financing alternatives may not provide us with sufficient funds to meet our long-term capital requirements.</w:t>
      </w:r>
    </w:p>
    <w:p>
      <w:pPr>
        <w:spacing w:after="0" w:line="208"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generate sufficient cash flow to satisfy our future debt service obligations, which would adversely affect our financial condition and results of operations.</w:t>
      </w:r>
    </w:p>
    <w:p>
      <w:pPr>
        <w:spacing w:after="0" w:line="18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Our credit facility with Wells Fargo Bank, National Association (the “Credit Facility”), matures in February 2030 and consists of a revolving line of credit that provides for committed borrowings of $60 million. As of December 31, 2025, we have no outstanding debt under our Credit Facility. Our ability to make principal and interest payments on and to refinance any indebtedness we incur in the future will depend on our ability to generate cash in the future. This, to a certain extent, is subject to general economic, financial, competitive, legislative, regulatory, and other factors that are beyond our control. If our business does not generate sufficient cash flow from operations, in the amounts projected or at all, or if future borrowings are not available to us in amounts sufficient to fund our other liquidity needs including working capital needs or acquisition needs, our financial condition and results of operations may be adversely affected. If we cannot generate sufficient cash flow from operations to make scheduled principal amortization and interest payments on our future debt obligations, we may need to refinance all or a portion of our indebtedness on or before maturity, sell assets, delay vendor payments and capital expenditures, or seek additional equity investments. If we are unable to refinance any of our indebtedness on commercially reasonable terms or at all or to effect any other action relating to our indebtedness on satisfactory terms or at all, our business may be harmed.</w:t>
      </w:r>
    </w:p>
    <w:p>
      <w:pPr>
        <w:spacing w:after="0" w:line="215" w:lineRule="exact"/>
        <w:rPr>
          <w:sz w:val="20"/>
          <w:szCs w:val="20"/>
          <w:color w:val="auto"/>
        </w:rPr>
      </w:pPr>
    </w:p>
    <w:p>
      <w:pPr>
        <w:ind w:right="78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The agreements governing our current and future indebtedness may contain restrictive covenants and our failure to comply with any of these covenants could put us in default, which would have an adverse effect on our business and prospects.</w:t>
      </w:r>
    </w:p>
    <w:p>
      <w:pPr>
        <w:spacing w:after="0" w:line="19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Credit Facility imposes certain terms and restrictive covenants of these borrowings and the terms of any future indebtedness will likely impose similar restrictions. The Credit Facility contains, and agreements governing any future indebtedness may contain, a number of covenants which put some limits on our ability to, among other things:</w:t>
      </w:r>
    </w:p>
    <w:p>
      <w:pPr>
        <w:spacing w:after="0" w:line="19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dispose of assets;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acquisitions, and other business combinations;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dividends and distributions on, or repurchases of, equity;</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or permit to exist additional indebtedness;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advances or investments, or give guarantees;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252"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The Credit Facility also requires us to maintain a specified total leverage ratio, fixed charge coverage ratio and asset coverage ratio and our ability to meet these financial ratios may be affected by events beyond our control, and we may not satisfy such a test. A breach of the covenants in the Credit Facility or any agreements governing future debt obligations could result in a default under such agreements. By reason of cross-acceleration or cross-default provisions, other indebtedness may then become immediately due and payable. Our assets or cash flows may not be sufficient to fully repay borrowings under our outstanding debt instruments if accelerated upon an event of default. If amounts owed are accelerated because of a default and we are unable to pay such amounts, our lenders may have the right to assume control of substantially all of the assets securing the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5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Any changes to interest rates could affect the value of any investments and interest income thereof, or could significantly change the cost of any borrowing.</w:t>
      </w:r>
    </w:p>
    <w:p>
      <w:pPr>
        <w:spacing w:after="0" w:line="198" w:lineRule="exact"/>
        <w:rPr>
          <w:sz w:val="20"/>
          <w:szCs w:val="20"/>
          <w:color w:val="auto"/>
        </w:rPr>
      </w:pPr>
    </w:p>
    <w:p>
      <w:pPr>
        <w:jc w:val="both"/>
        <w:ind w:right="160" w:firstLine="648"/>
        <w:spacing w:after="0" w:line="250" w:lineRule="auto"/>
        <w:rPr>
          <w:sz w:val="20"/>
          <w:szCs w:val="20"/>
          <w:color w:val="auto"/>
        </w:rPr>
      </w:pPr>
      <w:r>
        <w:rPr>
          <w:rFonts w:ascii="Times New Roman" w:cs="Times New Roman" w:eastAsia="Times New Roman" w:hAnsi="Times New Roman"/>
          <w:sz w:val="18"/>
          <w:szCs w:val="18"/>
          <w:color w:val="auto"/>
        </w:rPr>
        <w:t>Borrowings under the Credit Facility accrue interest at variable rates and expose us to interest rate risk. Interest rates may fluctuate in the future. As a result, interest rates under the agreement or other variable rate debt obligations could be higher or lower than current levels. If interest rates increase, our debt service obligations on any future variable rate indebtedness could be significant.</w:t>
      </w:r>
    </w:p>
    <w:p>
      <w:pPr>
        <w:spacing w:after="0" w:line="217" w:lineRule="exact"/>
        <w:rPr>
          <w:sz w:val="20"/>
          <w:szCs w:val="20"/>
          <w:color w:val="auto"/>
        </w:rPr>
      </w:pPr>
    </w:p>
    <w:p>
      <w:pPr>
        <w:ind w:right="280" w:firstLine="648"/>
        <w:spacing w:after="0" w:line="250" w:lineRule="auto"/>
        <w:rPr>
          <w:sz w:val="20"/>
          <w:szCs w:val="20"/>
          <w:color w:val="auto"/>
        </w:rPr>
      </w:pPr>
      <w:r>
        <w:rPr>
          <w:rFonts w:ascii="Times New Roman" w:cs="Times New Roman" w:eastAsia="Times New Roman" w:hAnsi="Times New Roman"/>
          <w:sz w:val="18"/>
          <w:szCs w:val="18"/>
          <w:color w:val="auto"/>
        </w:rPr>
        <w:t>We generally operate with a small target cash balance, and when that level is exceeded, we invest any excess in interest generating investments with generally short maturities consistent with our projected cash business needs. Any change in interest rates could affect the income from our cash equivalent balance and such investments, and might impact the market value of such holdings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Common Stock</w:t>
      </w:r>
    </w:p>
    <w:p>
      <w:pPr>
        <w:spacing w:after="0" w:line="198"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our shares among our existing executive officers, directors and principal shareholders may prevent new investors from influencing significant corporate decisions.</w:t>
      </w:r>
    </w:p>
    <w:p>
      <w:pPr>
        <w:spacing w:after="0" w:line="213"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Based upon our shares of common stock outstanding as of December 31, 2025, our executive officers, directors and shareholders who own more than 5% of our outstanding share capital, in the aggregate, beneficially own approximately 30% of our outstanding shares of common stock. These shareholders, acting together, are able to significantly influence all matters requiring shareholder approval, including the election and removal of directors and approval of any merger, consolidation or sale of all or substantially all of our assets.</w:t>
      </w:r>
    </w:p>
    <w:p>
      <w:pPr>
        <w:spacing w:after="0" w:line="20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addition, certain of our shareholders have entered into a shareholders’ agreement to support each other’s director nominees. For so long as such agreement remains, the remaining shareholders may be prevented from having an influence on the Board.</w:t>
      </w:r>
    </w:p>
    <w:p>
      <w:pPr>
        <w:spacing w:after="0" w:line="203"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yours. For example, because many of these shareholders purchased their shares at prices substantially below the current market price and have held their shares for a long period, they may be more interested in selling our Company to an acquirer than other investors, or they may want us to pursue strategies that deviate from the interests of other shareholders.</w:t>
      </w:r>
    </w:p>
    <w:p>
      <w:pPr>
        <w:spacing w:after="0" w:line="217"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Furthermore, sales of a substantial number of shares of our common stock into the public market, particularly sales by our directors, executive officers and principal stockholders, or the perception that these sales might occur, could cause the market price of our common stock to decline.</w:t>
      </w:r>
    </w:p>
    <w:p>
      <w:pPr>
        <w:spacing w:after="0" w:line="185"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As a public reporting company, we are subject to rules and regulations established from time to time by the SEC and Nasdaq regarding our internal control over financial reporting. These rules and regulations require, among other things, that we establish and periodically evaluate procedures with respect to our internal control over financial reporting. Reporting obligations as a public company place a considerable strain on our financial and management systems, processes and controls, as well as on our personnel.</w:t>
      </w:r>
    </w:p>
    <w:p>
      <w:pPr>
        <w:spacing w:after="0" w:line="201"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As a public company, we are required to document and test our internal control over financial reporting pursuant to Section 404 of the Sarbanes-Oxley Act so that our management can evaluate the effectiveness of our internal control over financial reporting. Section 404(a) of the Sarbanes-Oxley Act (“Section 404(a)”) requires that management assess and report annually on the effectiveness of our internal control over financial reporting and identify any material weaknesses in our internal control over financial reporting. Likewise, our independent registered public accounting firm is required to provide an attestation report on the effectiveness of our internal control over financial reporting. Our compliance with Section 404(a) requires that we incur substantial expenses and expend significant management efforts. If our management is unable to certify the effectiveness of our internal control or if our independent registered public accounting firm cannot deliver a report attesting to the effectiveness of our internal control over financial reporting when required, or if we identify or fail to remediate any significant deficiencies or material weaknesses in our internal controls, we could be subject to regulatory scrutiny and loss of public confidence, which could seriously harm our reputation, and the price per share of our common stock may be adversely affected. See "Controls and Procedures" in Part II, Item 9A, for management’s annual report on internal control over financial reporting as of December 31, 2025.</w:t>
      </w:r>
    </w:p>
    <w:p>
      <w:pPr>
        <w:spacing w:after="0" w:line="233" w:lineRule="exact"/>
        <w:rPr>
          <w:sz w:val="20"/>
          <w:szCs w:val="20"/>
          <w:color w:val="auto"/>
        </w:rPr>
      </w:pPr>
    </w:p>
    <w:p>
      <w:pPr>
        <w:jc w:val="both"/>
        <w:ind w:right="120" w:firstLine="648"/>
        <w:spacing w:after="0" w:line="250" w:lineRule="auto"/>
        <w:rPr>
          <w:sz w:val="20"/>
          <w:szCs w:val="20"/>
          <w:color w:val="auto"/>
        </w:rPr>
      </w:pPr>
      <w:r>
        <w:rPr>
          <w:rFonts w:ascii="Times New Roman" w:cs="Times New Roman" w:eastAsia="Times New Roman" w:hAnsi="Times New Roman"/>
          <w:sz w:val="18"/>
          <w:szCs w:val="18"/>
          <w:color w:val="auto"/>
        </w:rPr>
        <w:t>We have incurred costs related to our implementation of an internal audit and compliance function and expect to incur additional costs to further improve our internal control environment in the future. If we identify future deficiencies in our internal control over financial reporting or if we are unable to comply with the demands that are placed upon us as a</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public company, including the requirements of Section 404 of the Sarbanes-Oxley Act, in a timely manner, we may be unable to accurately report our financial results, or report them within the timeframes required by the SEC. We also could become subject to sanctions or investigations by the SEC or other regulatory authorities. Further, if we do not maintain adequate financial and management personnel, processes, and controls, we may not be able to manage our business effectively or accurately report our financial performance on a timely basis, adversely affecting our business and the price per share of our common stock.</w:t>
      </w:r>
    </w:p>
    <w:p>
      <w:pPr>
        <w:spacing w:after="0" w:line="218"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Consequently, any gains from an investment in our common stock will likely depend on whether the price of our common stock increases.</w:t>
      </w:r>
    </w:p>
    <w:p>
      <w:pPr>
        <w:spacing w:after="0" w:line="185"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We currently intend to retain any future earnings to finance the operation and expansion of our business and we do not expect to declare or pay any dividends in the foreseeable future. Moreover, the terms of our existing arrangements of indebtedness restrict our ability to pay dividends under certain circumstances, and any additional debt we may incur in the future may include similar restrictions. In addition, Delaware law may impose requirements that may restrict our ability to pay dividends to holders of our common stock. As a result, stockholders must rely on sales of their common stock after price appreciation, which may never occur, as the only way to realize any future gains on their investment.</w:t>
      </w:r>
    </w:p>
    <w:p>
      <w:pPr>
        <w:spacing w:after="0" w:line="200"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amended and restated certificate of incorporation and amended and restated bylaws could make a merger, tender offer or proxy contest more difficult, limit attempts by our stockholders to replace or remove our current management and depress the market price of our common stock.</w:t>
      </w:r>
    </w:p>
    <w:p>
      <w:pPr>
        <w:spacing w:after="0" w:line="19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of us or tender offer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the Board. Because the Board is responsible for appointing the members of our management team, these provisions could in turn affect any attempt by our stockholders to replace current members of our management team. Among others, these provisions include that:</w:t>
      </w:r>
    </w:p>
    <w:p>
      <w:pPr>
        <w:spacing w:after="0" w:line="208"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forum for certain litigation against us is restricted to Delaware or the federal courts, as applicable;</w:t>
      </w:r>
    </w:p>
    <w:p>
      <w:pPr>
        <w:spacing w:after="0" w:line="252"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the exclusive right to expand the size of the Board and to elect directors to fill a vacancy created by the expansion of the Board or the resignation, death or removal of a director, which prevents stockholders from being able to fill vacancies on the Board;</w:t>
      </w:r>
    </w:p>
    <w:p>
      <w:pPr>
        <w:spacing w:after="0" w:line="189"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is divided into three classes, Class I, Class II and Class III, with each class serving staggered three-year terms, which may delay the ability of stockholders to change the membership of a majority of the Board;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not act by written consent, which forces stockholder action to be taken at an annual or special meeting of our stockholders;</w:t>
      </w:r>
    </w:p>
    <w:p>
      <w:pPr>
        <w:spacing w:after="0" w:line="238"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meeting of stockholders may be called only by the chair of the Board, a chief executive officer, or the Board, which may delay the ability of our stockholders to force consideration of a proposal or to take action, including the removal of directors;</w:t>
      </w:r>
    </w:p>
    <w:p>
      <w:pPr>
        <w:spacing w:after="0" w:line="17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prohibits cumulative voting in the election of directors, which limits the ability of minority stockholders to elect director candidates;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alter our bylaws without obtaining stockholder approval;</w:t>
      </w:r>
    </w:p>
    <w:p>
      <w:pPr>
        <w:spacing w:after="0" w:line="238"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the holders of at least two-thirds of the shares entitled to vote at an election of directors to adopt, amend or repeal our amended and restated bylaws or repeal the provisions of our amended and restated certificate of incorporation regarding the election and removal of directors;</w:t>
      </w:r>
    </w:p>
    <w:p>
      <w:pPr>
        <w:spacing w:after="0" w:line="217" w:lineRule="exact"/>
        <w:rPr>
          <w:rFonts w:ascii="Times New Roman" w:cs="Times New Roman" w:eastAsia="Times New Roman" w:hAnsi="Times New Roman"/>
          <w:sz w:val="18"/>
          <w:szCs w:val="18"/>
          <w:color w:val="auto"/>
        </w:rPr>
      </w:pPr>
    </w:p>
    <w:p>
      <w:pPr>
        <w:ind w:left="660" w:right="30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provide advance notice and additional disclosures in order to nominate individuals for election to the Board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0" w:right="44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203"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Moreover, we have opted out of Section 203 of the General Corporation Law of the State of Delaware, which we refer to as the DGCL, but our amended and restated certificate of incorporation will provide that engaging in any of a broad range of business combinations with any “interested” stockholder (generally defined as any stockholder with 15% or more of our voting stock) for a period of three years following the date on which the stockholder became an “interested” stockholder is prohibited unless certain requirements are met, provided, however, that, under our amended and restated certificate of incorporation, Verlinvest Beverages SA and any of its affiliates will not be deemed to be interested stockholders regardless of the percentage of our outstanding voting stock owned by them, and accordingly will not be subject to such restrictions.</w:t>
      </w:r>
    </w:p>
    <w:p>
      <w:pPr>
        <w:spacing w:after="0" w:line="218"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capital stock in connection with financings, acquisitions, investments, our equity incentive plans, or otherwise, which will dilute other stockholders.</w:t>
      </w:r>
    </w:p>
    <w:p>
      <w:pPr>
        <w:spacing w:after="0" w:line="185"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It is possible in the future that we may issue additional capital stock that will result in dilution to all other stockholders. We may also raise capital through equity financings in the future. As part of our business strategy, we may acquire or make investments in companies and issue equity securities as consideration for any such acquisition or investment, including issuances in connection with any acquisition-related earnout provision. Any such issuances of additional capital stock may cause stockholders to experience significant dilution of their ownership interests and the per share value of our common stock to decline.</w:t>
      </w:r>
    </w:p>
    <w:p>
      <w:pPr>
        <w:spacing w:after="0" w:line="20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is the sole and exclusive forum for certain stockholder litigation matters and the federal district courts of the United States are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20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subject to limited exceptions, the following actions must be exclusively brought in the Court of Chancery of the State of Delaware or, if such court does not have subject matter jurisdiction thereof, the federal district court of the State of Delaware:</w:t>
      </w:r>
    </w:p>
    <w:p>
      <w:pPr>
        <w:spacing w:after="0" w:line="20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any derivative action or proceeding brought on behalf of the Company;</w:t>
      </w:r>
    </w:p>
    <w:p>
      <w:pPr>
        <w:spacing w:after="0" w:line="265" w:lineRule="exact"/>
        <w:rPr>
          <w:rFonts w:ascii="Arial" w:cs="Arial" w:eastAsia="Arial" w:hAnsi="Arial"/>
          <w:sz w:val="22"/>
          <w:szCs w:val="22"/>
          <w:color w:val="auto"/>
        </w:rPr>
      </w:pPr>
    </w:p>
    <w:p>
      <w:pPr>
        <w:ind w:left="660" w:right="300" w:hanging="328"/>
        <w:spacing w:after="0" w:line="234" w:lineRule="auto"/>
        <w:tabs>
          <w:tab w:leader="none" w:pos="65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any action asserting a claim of breach of a fiduciary duty owed by any current or former director, officer, other employee or stockholder of the Company to the Company or the Company’s stockholders; </w:t>
      </w:r>
    </w:p>
    <w:p>
      <w:pPr>
        <w:spacing w:after="0" w:line="240" w:lineRule="exact"/>
        <w:rPr>
          <w:rFonts w:ascii="Arial" w:cs="Arial" w:eastAsia="Arial" w:hAnsi="Arial"/>
          <w:sz w:val="22"/>
          <w:szCs w:val="22"/>
          <w:color w:val="auto"/>
        </w:rPr>
      </w:pPr>
    </w:p>
    <w:p>
      <w:pPr>
        <w:jc w:val="both"/>
        <w:ind w:left="660" w:right="160" w:hanging="328"/>
        <w:spacing w:after="0" w:line="239" w:lineRule="auto"/>
        <w:tabs>
          <w:tab w:leader="none" w:pos="65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any action asserting a claim arising pursuant to any provision of the Delaware General Corporation Law, our amended and restated certificate of incorporation or our amended and restated bylaws (as either may be amended or restated) or as to which the Delaware General Corporation Law confers exclusive jurisdiction on the Court of Chancery of the State of Delaware; or  </w:t>
      </w:r>
    </w:p>
    <w:p>
      <w:pPr>
        <w:spacing w:after="0" w:line="221"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any action asserting a claim governed by the internal affairs doctrine of the law of the State of Delaware.</w:t>
      </w:r>
    </w:p>
    <w:p>
      <w:pPr>
        <w:spacing w:after="0" w:line="238" w:lineRule="exact"/>
        <w:rPr>
          <w:sz w:val="20"/>
          <w:szCs w:val="20"/>
          <w:color w:val="auto"/>
        </w:rPr>
      </w:pPr>
    </w:p>
    <w:p>
      <w:pPr>
        <w:ind w:right="180" w:firstLine="648"/>
        <w:spacing w:after="0" w:line="243" w:lineRule="auto"/>
        <w:rPr>
          <w:sz w:val="20"/>
          <w:szCs w:val="20"/>
          <w:color w:val="auto"/>
        </w:rPr>
      </w:pPr>
      <w:r>
        <w:rPr>
          <w:rFonts w:ascii="Times New Roman" w:cs="Times New Roman" w:eastAsia="Times New Roman" w:hAnsi="Times New Roman"/>
          <w:sz w:val="18"/>
          <w:szCs w:val="18"/>
          <w:color w:val="auto"/>
        </w:rPr>
        <w:t>Additionally, our amended and restated certificate of incorporation provides that the federal district courts of the United States are the exclusive forum for the resolution of any complaint asserting a cause or causes of action arising under the Securities Act, including all causes of action asserted against a defendant to such complaint. The choice of forum provisions do not apply to claims or causes of action brought to enforce a duty or liability created by the Exchange Act or any other claim for which the federal courts have exclusive jurisdiction, as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must be brought in federal court. We note that there is uncertainty as to whether a court would enforce the choice of forum provision with respect to claims under the federal securities laws, and that investors cannot waive compliance with the federal securities laws and the rules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The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financial condition and results of operations. Any person or entity purchasing or otherwise acquiring or holding any interest in shares of our capital stock shall be deemed to have notice of and consented to the forum provisions in our amended and restated certificate of incorporation.</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may adversely affect our business and financial condition.</w:t>
      </w:r>
    </w:p>
    <w:p>
      <w:pPr>
        <w:spacing w:after="0" w:line="243"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There could be significant changes in tax laws and regulations that could result in additional federal income taxes being imposed on us or changes to taxes in other jurisdictions. Any adverse developments in these laws or regulations, including legislative changes, judicial holdings or administrative interpretations, could have a material and adverse effect on our business, financial condition, results of operations and cash flows. Changes in tax rates or exposure to additional tax liabilities or assessments could affect our profitability, and audits by tax authorities could result in additional tax payments.</w:t>
      </w:r>
    </w:p>
    <w:p>
      <w:pPr>
        <w:spacing w:after="0" w:line="200" w:lineRule="exact"/>
        <w:rPr>
          <w:sz w:val="20"/>
          <w:szCs w:val="20"/>
          <w:color w:val="auto"/>
        </w:rPr>
      </w:pPr>
    </w:p>
    <w:p>
      <w:pPr>
        <w:ind w:right="1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our estimates or judgments relating to our critical accounting policies are based on assumptions that change or prove to be incorrect, our results of operations could fall below the expectations of our investors and securities analysts, resulting in a decline in the trading price of our common stock.</w:t>
      </w:r>
    </w:p>
    <w:p>
      <w:pPr>
        <w:spacing w:after="0" w:line="149"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(“U.S. GAAP”) requires management to make estimates and assumptions that affect the amounts reported in our consolidated financial statements and accompanying notes. We base our estimates on many factors, including historical experience and various other assumptions that we believe to be reasonable under the circumstances, as discussed in Part II, Item 7. “Management’s Discussion and Analysis of Financial Condition and Results of Operations” included elsewhere in this Annual Report on Form 10-K, the results of which form the basis for making judgments about the carrying values of assets, liabilities, equity and expenses that are not readily apparent from other sources. Our results of operations may be adversely affected if our assumptions change or if actual circumstances differ from those in our assumptions, which could cause our results of operations to fall below our publicly announced guidance or the expectations of securities analysts and investors, resulting in a decline in the market price of our common stock.</w:t>
      </w:r>
    </w:p>
    <w:p>
      <w:pPr>
        <w:spacing w:after="0" w:line="29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Risks Related to Our Existence as a Public Benefit Corporation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as a Delaware public benefit corporation, and we cannot provide any assurance that we will achieve our public benefit purpose.</w:t>
      </w:r>
    </w:p>
    <w:p>
      <w:pPr>
        <w:spacing w:after="0" w:line="229"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As a public benefit corporation, we are required to produce a public benefit or benefits and to operate in a responsible and sustainable manner, balancing our stockholders’ pecuniary interests, the best interests of those materially affected by our conduct, and the public benefit or benefits identified by our amended and restated certificate of incorporation. There is no assurance that we will achieve our public benefit purpose or that the expected positive impact from being a public benefit corporation will be realized, which could have a material adverse effect on our reputation, which in turn may have a material adverse effect on our business, financial condition, results of operations and cash flows.</w:t>
      </w:r>
    </w:p>
    <w:p>
      <w:pPr>
        <w:spacing w:after="0" w:line="204"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As a public benefit corporation, we are required to publicly disclose a report at least biennially on our overall public benefit performance and on our assessment of our success in achieving our specific public benefit purpose. If we are unable to provide the report, if we are unable to provide the report in a timely manner, or if the report is not viewed favorably by parties doing business with us or regulators or others reviewing our credentials, our reputation and status as a public benefit corporation may be harmed and we could be subject to derivative litigation</w:t>
      </w:r>
      <w:r>
        <w:rPr>
          <w:rFonts w:ascii="Times New Roman" w:cs="Times New Roman" w:eastAsia="Times New Roman" w:hAnsi="Times New Roman"/>
          <w:sz w:val="18"/>
          <w:szCs w:val="18"/>
          <w:b w:val="1"/>
          <w:bCs w:val="1"/>
          <w:i w:val="1"/>
          <w:iCs w:val="1"/>
          <w:color w:val="auto"/>
        </w:rPr>
        <w:t>.</w:t>
      </w:r>
    </w:p>
    <w:p>
      <w:pPr>
        <w:spacing w:after="0" w:line="268" w:lineRule="exact"/>
        <w:rPr>
          <w:sz w:val="20"/>
          <w:szCs w:val="20"/>
          <w:color w:val="auto"/>
        </w:rPr>
      </w:pPr>
    </w:p>
    <w:p>
      <w:pPr>
        <w:ind w:right="440"/>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As a Delaware public benefit corporation, our focus on a specific public benefit purpose and producing a positive effect for society may negatively impact our financial performance or increase legal risk.</w:t>
      </w:r>
    </w:p>
    <w:p>
      <w:pPr>
        <w:spacing w:after="0" w:line="213"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Unlike traditional corporations, which have a fiduciary duty to focus exclusively on maximizing stockholder value, our directors have a fiduciary duty to consider not only the stockholders’ interests, but also the Company’s specific public benefit and the interests of other stakeholders affected by our actions. Therefore, we may take actions that we believe will be in the best interests of those stakeholders materially affected by our specific benefit purpose, even if those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actions do not maximize our financial results. While we intend for this public benefit designation and obligation to provide an overall net benefit to us, our stockholders and our customers, it could instead cause us to make decisions and take actions without seeking to maximize the income generated from our business. Our pursuit of longer-term or non-pecuniary benefits related to this public benefit designation may not materialize within the timeframe we expect or at all, yet may have an immediate negative effect on any amounts available for distribution to our stockholders. Accordingly, being a public benefit corporation may have a material adverse effect on our business, results of operations, financial condition and cash flows, which in turn could cause our stock price to decline.</w:t>
      </w:r>
    </w:p>
    <w:p>
      <w:pPr>
        <w:spacing w:after="0" w:line="193"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As a public benefit corporation, we may be less attractive as a takeover target than a traditional company would be, and, therefore, your ability to realize your investment through a sale may be limited. Under Delaware law, a public benefit corporation cannot merge or consolidate with another entity if, as a result of such merger or consolidation, the surviving entity’s charter “does not contain the identical provisions identifying the public benefit or public benefits,” unless the transaction receives approval from a majority of the outstanding shares entitled to vote thereon. Additionally, public benefit corporations may also not be attractive targets for activists or hedge fund because new directors must balance stockholders’ pecuniary interests, the best interests of those materially affected by the corporation’s conduct, and the specific public benefit(s) identified in the charter. Stockholders meeting the statutory ownership thresholds can enforce this balancing duty through derivative suits. Further, because Delaware public benefit corporate law requires boards of directors of public benefit corporations to balance additional constituencies and the corporation’s specified public benefits, it could potentially make it easier for a board to reject a hostile bid that offers the greatest short-term financial yield to investors but is inconsistent with that balancing. Additionally, being a public benefit corporation may result in a different assessment of potential acquisitions than a traditional corporation and may limit the suitable pool of such targets.</w:t>
      </w:r>
    </w:p>
    <w:p>
      <w:pPr>
        <w:spacing w:after="0" w:line="232"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Stockholders of a Delaware public benefit corporation (if they, individually or collectively, own at least 2% of the Company’s outstanding shares or, upon our listing, the lesser of such percentage or shares of at least $2 million in market value) are entitled to file a derivative lawsuit claiming the directors failed to balance stockholder and public benefit interests. This potential liability does not exist for traditional corporations. Therefore, we may be subject to the possibility of increased derivative litigation, which would require the attention of our management, and, as a result, may adversely impact our management’s ability to effectively execute our strategy. Additionally, any such derivative litigation may be costly, which may have an adverse impact on our financial condition and results of operations.</w:t>
      </w:r>
    </w:p>
    <w:p>
      <w:pPr>
        <w:spacing w:after="0" w:line="162"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7"/>
          <w:szCs w:val="17"/>
          <w:b w:val="1"/>
          <w:bCs w:val="1"/>
          <w:i w:val="1"/>
          <w:iCs w:val="1"/>
          <w:color w:val="auto"/>
        </w:rPr>
        <w:t>Our directors have a fiduciary duty to consider not only our stockholders’ interests, but also our specific public benefit and the interests of other stakeholders affected by our actions. If a conflict between such interests arises, there is no guarantee that such a conflict would be resolved in favor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w:t>
      </w:r>
    </w:p>
    <w:p>
      <w:pPr>
        <w:spacing w:after="0" w:line="205" w:lineRule="exact"/>
        <w:rPr>
          <w:sz w:val="20"/>
          <w:szCs w:val="20"/>
          <w:color w:val="auto"/>
        </w:rPr>
      </w:pPr>
    </w:p>
    <w:p>
      <w:pPr>
        <w:ind w:right="100" w:firstLine="648"/>
        <w:spacing w:after="0" w:line="243" w:lineRule="auto"/>
        <w:rPr>
          <w:sz w:val="20"/>
          <w:szCs w:val="20"/>
          <w:color w:val="auto"/>
        </w:rPr>
      </w:pPr>
      <w:r>
        <w:rPr>
          <w:rFonts w:ascii="Times New Roman" w:cs="Times New Roman" w:eastAsia="Times New Roman" w:hAnsi="Times New Roman"/>
          <w:sz w:val="18"/>
          <w:szCs w:val="18"/>
          <w:color w:val="auto"/>
        </w:rPr>
        <w:t>While directors of a traditional corporation are required to make decisions that they believe to be in the best interests of their stockholders, directors of a public benefit corporation have a fiduciary duty to consider not only the stockholders’ interests, but also how its stakeholders are affected by the company’s actions. Under Delaware law, directors are shielded from liability for breach of these obligations if they make informed and disinterested decisions that serve a rational purpose. Thus, unlike traditional corporations which must focus exclusively on stockholder value, our directors are not merely permitted, but obligated, to consider our specific public benefit and the interests of other stakeholders. In the event of a conflict between the interests of our stockholders and the interests of our specific public benefit or our other stakeholders, our directors must only make informed and disinterested decisions that serve a rational purpose; thus, there is no guarantee such a conflict would be resolved in favor of our stockholders. While we believe our public benefit designation and obligation will benefit our stockholders, in balancing these interests, the Board may take actions that do not maximize stockholder value. Any benefits to stockholders resulting from our public benefit purposes may not materialize within the timeframe we expect or at all and may have negative effects. For example:</w:t>
      </w:r>
    </w:p>
    <w:p>
      <w:pPr>
        <w:spacing w:after="0" w:line="213" w:lineRule="exact"/>
        <w:rPr>
          <w:sz w:val="20"/>
          <w:szCs w:val="20"/>
          <w:color w:val="auto"/>
        </w:rPr>
      </w:pPr>
    </w:p>
    <w:p>
      <w:pPr>
        <w:ind w:left="660" w:right="4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to revise our policies in ways that we believe will be beneficial to our stakeholders, including suppliers, employees and local communities, even though the changes may be costly;</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take actions that exceed regulatory requirements, even though these actions may be more costly than other alternatives;</w:t>
      </w:r>
    </w:p>
    <w:p>
      <w:pPr>
        <w:spacing w:after="0" w:line="23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influenced to pursue programs and services to further our commitment to the communities to which we serve even though there is no immediate return to our stockholders; or</w:t>
      </w:r>
    </w:p>
    <w:p>
      <w:pPr>
        <w:spacing w:after="0" w:line="175"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responding to a possible proposal to acquire the Company, the Board has a fiduciary duty to consider the interests of our other stakeholders, including suppliers, employees and local communities, whose interests may be different from the interests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We may be unable or slow to realize the benefits we expect from actions taken to benefit our stakeholders, which could have a material adverse effect on our business, financial condition, results of operations, and cash flows, which in turn could cause our stock price to decline.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8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262626"/>
        </w:rPr>
        <w:t>We face significant and persistent cybersecurity risks due to the global nature of our business, the use of i</w:t>
      </w:r>
      <w:r>
        <w:rPr>
          <w:rFonts w:ascii="Times New Roman" w:cs="Times New Roman" w:eastAsia="Times New Roman" w:hAnsi="Times New Roman"/>
          <w:sz w:val="18"/>
          <w:szCs w:val="18"/>
          <w:color w:val="000000"/>
        </w:rPr>
        <w:t>nformation technology systems,</w:t>
      </w:r>
      <w:r>
        <w:rPr>
          <w:rFonts w:ascii="Times New Roman" w:cs="Times New Roman" w:eastAsia="Times New Roman" w:hAnsi="Times New Roman"/>
          <w:sz w:val="18"/>
          <w:szCs w:val="18"/>
          <w:color w:val="262626"/>
        </w:rPr>
        <w:t xml:space="preserve"> </w:t>
      </w:r>
      <w:r>
        <w:rPr>
          <w:rFonts w:ascii="Times New Roman" w:cs="Times New Roman" w:eastAsia="Times New Roman" w:hAnsi="Times New Roman"/>
          <w:sz w:val="18"/>
          <w:szCs w:val="18"/>
          <w:color w:val="000000"/>
        </w:rPr>
        <w:t>infrastructure and data in our business operations and our reliance on third-party vendors, suppliers, customers and business partners</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00000"/>
        </w:rPr>
        <w:t xml:space="preserve"> We defend our systems against cybersecurity attacks on a daily basis and rely heavily on the reliability, security and efficiency of our information technology systems and ongoing employee training to face these threats. In addition, t</w:t>
      </w:r>
      <w:r>
        <w:rPr>
          <w:rFonts w:ascii="Times New Roman" w:cs="Times New Roman" w:eastAsia="Times New Roman" w:hAnsi="Times New Roman"/>
          <w:sz w:val="18"/>
          <w:szCs w:val="18"/>
          <w:color w:val="262626"/>
        </w:rPr>
        <w:t>o protect our business, we have implemented a cybersecurity risk management program with 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62626"/>
        </w:rPr>
        <w:t>robust governance structure and strong mechanisms, controls, technologies, and processes designed to help us assess, identify, and manage these risks.</w:t>
      </w:r>
    </w:p>
    <w:p>
      <w:pPr>
        <w:spacing w:after="0" w:line="212"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262626"/>
        </w:rPr>
        <w:t>We rely on a multidisciplinary team, including our information security function, legal department, management, and third-party service providers, as described further below, to identify, assess, and manage cybersecurity threats and risks. These processes include, among other things, annual security awareness training for employees, programs to increase awareness of phishing attempts, tools to detect and monitor unusual network activity, and processes to contain, escalate and respond to incidents. In addition, we have an enterprise Information Security Policy describing our cybersecurity program and governance structure and the processes and procedures in place to identify, mitigate and remediate cybersecurity threats and risks.</w:t>
      </w:r>
    </w:p>
    <w:p>
      <w:pPr>
        <w:spacing w:after="0" w:line="21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262626"/>
        </w:rPr>
        <w:t>To further protect our business, we partner with a third party vendor to provide cybersecurity and risk management as a managed service offering. They provide cybersecurity risk assessment and threat intelligence to the Company, in addition to acting as a managed service provider for our information technology program. We decided to retain a third party for these services given the small size of our Company and internal information technology staff and the quality, comprehensiveness, and cost-effectiveness of the services offered. An internal team, led by our Vice President of Information Technology, oversees and works collaboratively with this third party vendor to evaluate the strength of our cybersecurity protocols and the results of testing to determine what additional actions, such as trainings or remedial actions, are necessary to lessen cybersecurity risks. We intend to continue to make investments to monitor and maintain the security of our data and cybersecurity infrastructure.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62626"/>
        </w:rPr>
        <w:t>Third Party Risk Management</w:t>
      </w:r>
    </w:p>
    <w:p>
      <w:pPr>
        <w:spacing w:after="0" w:line="24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262626"/>
        </w:rPr>
        <w:t>We also monitor and manage cybersecurity risks associated with our third-party service providers, including our managed security service provider, suppliers, customers and vendors, through, among other things, the processes set forth in our policies and procedures, due diligence processes, regular oversight, monitoring and auditing of our relationships by internal staff, supplier codes of conduct and escalation practices for reporting issues. We require our third-party providers to meet appropriate security requirements and controls prior to providing access to our internal systems, and investigate and report any security incidents, as appropriate.</w:t>
      </w:r>
    </w:p>
    <w:p>
      <w:pPr>
        <w:spacing w:after="0" w:line="211" w:lineRule="exact"/>
        <w:rPr>
          <w:sz w:val="20"/>
          <w:szCs w:val="20"/>
          <w:color w:val="auto"/>
        </w:rPr>
      </w:pPr>
    </w:p>
    <w:p>
      <w:pPr>
        <w:ind w:right="160" w:firstLine="648"/>
        <w:spacing w:after="0" w:line="242" w:lineRule="auto"/>
        <w:rPr>
          <w:sz w:val="20"/>
          <w:szCs w:val="20"/>
          <w:color w:val="auto"/>
        </w:rPr>
      </w:pPr>
      <w:r>
        <w:rPr>
          <w:rFonts w:ascii="Times New Roman" w:cs="Times New Roman" w:eastAsia="Times New Roman" w:hAnsi="Times New Roman"/>
          <w:sz w:val="18"/>
          <w:szCs w:val="18"/>
          <w:color w:val="262626"/>
        </w:rPr>
        <w:t>Based on the information available as of the date of this Annual Report on Form 10-K, we are not aware of any risks from cybersecurity threats, including as a result of any cybersecurity incidents, which have materially affected or are reasonably likely to materially affect us, including our business strategy, results of operations, or financial condition. Despite our security measures, however, there can be no assurance that we, or the third parties with which we interact, will not experience a cybersecurity incident in the future that will materially affect us. For more information, see "Risk Factors</w:t>
      </w:r>
      <w:r>
        <w:rPr>
          <w:rFonts w:ascii="Times New Roman" w:cs="Times New Roman" w:eastAsia="Times New Roman" w:hAnsi="Times New Roman"/>
          <w:sz w:val="18"/>
          <w:szCs w:val="18"/>
          <w:color w:val="000000"/>
        </w:rPr>
        <w:t>—Risks</w:t>
      </w:r>
      <w:r>
        <w:rPr>
          <w:rFonts w:ascii="Times New Roman" w:cs="Times New Roman" w:eastAsia="Times New Roman" w:hAnsi="Times New Roman"/>
          <w:sz w:val="18"/>
          <w:szCs w:val="18"/>
          <w:color w:val="262626"/>
        </w:rPr>
        <w:t xml:space="preserve"> </w:t>
      </w:r>
      <w:r>
        <w:rPr>
          <w:rFonts w:ascii="Times New Roman" w:cs="Times New Roman" w:eastAsia="Times New Roman" w:hAnsi="Times New Roman"/>
          <w:sz w:val="18"/>
          <w:szCs w:val="18"/>
          <w:color w:val="000000"/>
        </w:rPr>
        <w:t>Related to Our Information Technology and Intellectual Property" in Part I, Item IA of this Annual Report on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02" w:lineRule="exact"/>
        <w:rPr>
          <w:sz w:val="20"/>
          <w:szCs w:val="20"/>
          <w:color w:val="auto"/>
        </w:rPr>
      </w:pPr>
    </w:p>
    <w:p>
      <w:pPr>
        <w:ind w:right="220" w:firstLine="648"/>
        <w:spacing w:after="0" w:line="246" w:lineRule="auto"/>
        <w:rPr>
          <w:sz w:val="20"/>
          <w:szCs w:val="20"/>
          <w:color w:val="auto"/>
        </w:rPr>
      </w:pPr>
      <w:r>
        <w:rPr>
          <w:rFonts w:ascii="Times New Roman" w:cs="Times New Roman" w:eastAsia="Times New Roman" w:hAnsi="Times New Roman"/>
          <w:sz w:val="18"/>
          <w:szCs w:val="18"/>
          <w:color w:val="auto"/>
        </w:rPr>
        <w:t>Risk assessment and oversight are an integral part of our governance and management processes. The Board has ultimate oversight of the Company's risk management. In accordance with its charter, the Audit Committee of the Board is responsible for overseeing our enterprise risk management program on behalf of the Board, including material risks related to cybersecurity threats, and reporting on these matters to the Board. The Audit Committee receives regular updates from management, including the information technology and legal teams, on cybersecurity risk resulting from risk assessments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8"/>
          <w:szCs w:val="18"/>
          <w:color w:val="auto"/>
        </w:rPr>
        <w:t>and reviews any information on relevant internal and industry cybersecurity incidents and is notified between such updates relative to any incidents which could materially affect the Company. Based on this information, our Audit Committee monitors the Company's cybersecurity program, including potential threats, weaknesses and vulnerabilities, and reviews the policies and procedures in place to prevent, detect and respond to cybersecurity threats and unauthorized access to our information security systems. Significant findings related to cybersecurity, data and technology risks or incidents are regularly reported to and discussed at the Board level. Three members of our Board, two of which are Audit Committee members, have received certifications in cyber-risk oversight through the National Association of Corporate Directors.</w:t>
      </w:r>
    </w:p>
    <w:p>
      <w:pPr>
        <w:spacing w:after="0" w:line="207"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Management, in coordination with our information technology department, is responsible for assessing the risk of cybersecurity threats and hiring appropriate personnel and third-party consultants to oversee the cybersecurity program. Specifically, these processes are overseen by our multidisciplinary Technology Risk and Information Security Committee, which consists of leaders from our Information Technology, Operations, Finance, Internal Audit and Legal teams. Such individuals have an average of over 15 years of prior work experience in various roles across multiple industries involving information technology, risk management, operations and legal matters.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9" w:lineRule="exact"/>
        <w:rPr>
          <w:sz w:val="20"/>
          <w:szCs w:val="20"/>
          <w:color w:val="auto"/>
        </w:rPr>
      </w:pPr>
    </w:p>
    <w:p>
      <w:pPr>
        <w:ind w:right="20" w:firstLine="648"/>
        <w:spacing w:after="0" w:line="222" w:lineRule="auto"/>
        <w:rPr>
          <w:sz w:val="20"/>
          <w:szCs w:val="20"/>
          <w:color w:val="auto"/>
        </w:rPr>
      </w:pPr>
      <w:r>
        <w:rPr>
          <w:rFonts w:ascii="Times New Roman" w:cs="Times New Roman" w:eastAsia="Times New Roman" w:hAnsi="Times New Roman"/>
          <w:sz w:val="18"/>
          <w:szCs w:val="18"/>
          <w:color w:val="auto"/>
        </w:rPr>
        <w:t>Our corporate headquarters is currently located in Manhattan, New York, at 111 Fifth Avenue, where we lease office space that provides support to both our Americas and International segments. As of December 31, 2025, we occupied office facilities totaling approximately 36,900 square feet in the</w:t>
      </w:r>
    </w:p>
    <w:p>
      <w:pPr>
        <w:spacing w:after="0" w:line="2"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8"/>
          <w:szCs w:val="18"/>
          <w:color w:val="auto"/>
        </w:rPr>
        <w:t>U.S., Singapore, and London, with the Singapore and London facilities primarily supporting our International segment and global supply chain. We believe that these office spaces will be adequate to support our operating needs in the short to mid-term and that we will be able to obtain additional or substitute space, as needed, on commercially reasonable terms.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89" w:lineRule="exact"/>
        <w:rPr>
          <w:sz w:val="20"/>
          <w:szCs w:val="20"/>
          <w:color w:val="auto"/>
        </w:rPr>
      </w:pPr>
    </w:p>
    <w:p>
      <w:pPr>
        <w:ind w:right="660" w:firstLine="648"/>
        <w:spacing w:after="0" w:line="237"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related to claims arising out of our operations. We are not currently a party to any material legal proceedings, including any such proceedings that are pending or threatened, of which we are aware.</w:t>
      </w:r>
    </w:p>
    <w:p>
      <w:pPr>
        <w:spacing w:after="0" w:line="168"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jc w:val="center"/>
        <w:ind w:right="87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ind w:right="1900"/>
        <w:spacing w:after="0" w:line="464"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left="660"/>
        <w:spacing w:after="0"/>
        <w:rPr>
          <w:sz w:val="20"/>
          <w:szCs w:val="20"/>
          <w:color w:val="auto"/>
        </w:rPr>
      </w:pPr>
      <w:r>
        <w:rPr>
          <w:rFonts w:ascii="Times New Roman" w:cs="Times New Roman" w:eastAsia="Times New Roman" w:hAnsi="Times New Roman"/>
          <w:sz w:val="18"/>
          <w:szCs w:val="18"/>
          <w:color w:val="auto"/>
        </w:rPr>
        <w:t>Our stock currently trades on The Nasdaq Stock Market LLC under the ticker symbol "COCO".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February 16, 2026, there were 30 holders of record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currently intend to retain all available funds and future earnings, if any, for the operation and expansion of our business, and any authorized</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share repurchases and do not anticipate declaring or paying any dividends in the foreseeable future. Any future determination related to our dividend policy will be made at the discretion of our Board after considering our financial condition, results of operations, capital requirements, contractual requirements, business prospects and other factors the Board deems relevant. In addition, the terms of our current credit facilities contain restrictions on our ability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declare and pay dividends under certain limited circumstances.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Purchases of Equity Securities by the Issuer or Affiliated Purchaser</w:t>
      </w:r>
    </w:p>
    <w:p>
      <w:pPr>
        <w:spacing w:after="0" w:line="189" w:lineRule="exact"/>
        <w:rPr>
          <w:sz w:val="20"/>
          <w:szCs w:val="20"/>
          <w:color w:val="auto"/>
        </w:rPr>
      </w:pPr>
    </w:p>
    <w:p>
      <w:pPr>
        <w:ind w:right="360" w:firstLine="648"/>
        <w:spacing w:after="0" w:line="250" w:lineRule="auto"/>
        <w:rPr>
          <w:sz w:val="20"/>
          <w:szCs w:val="20"/>
          <w:color w:val="auto"/>
        </w:rPr>
      </w:pPr>
      <w:r>
        <w:rPr>
          <w:rFonts w:ascii="Times New Roman" w:cs="Times New Roman" w:eastAsia="Times New Roman" w:hAnsi="Times New Roman"/>
          <w:sz w:val="18"/>
          <w:szCs w:val="18"/>
          <w:color w:val="auto"/>
        </w:rPr>
        <w:t>The Company did not sell any equity securities during the three months and year ended December 31, 2025 that were not registered under the Securities Act.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provides information regarding repurchases of our common stock during the three months ended December 31, 2025:</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shd w:val="clear" w:color="auto" w:fill="CCEEFF"/>
          </w:tcPr>
          <w:p>
            <w:pPr>
              <w:spacing w:after="0"/>
              <w:rPr>
                <w:sz w:val="18"/>
                <w:szCs w:val="18"/>
                <w:color w:val="auto"/>
              </w:rPr>
            </w:pPr>
          </w:p>
        </w:tc>
        <w:tc>
          <w:tcPr>
            <w:tcW w:w="2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2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Average Price Paid Per</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Approximate Dollar Value</w:t>
            </w:r>
          </w:p>
        </w:tc>
        <w:tc>
          <w:tcPr>
            <w:tcW w:w="0" w:type="dxa"/>
            <w:vAlign w:val="bottom"/>
          </w:tcPr>
          <w:p>
            <w:pPr>
              <w:spacing w:after="0"/>
              <w:rPr>
                <w:sz w:val="1"/>
                <w:szCs w:val="1"/>
                <w:color w:val="auto"/>
              </w:rPr>
            </w:pPr>
          </w:p>
        </w:tc>
      </w:tr>
      <w:tr>
        <w:trPr>
          <w:trHeight w:val="175"/>
        </w:trPr>
        <w:tc>
          <w:tcPr>
            <w:tcW w:w="2500" w:type="dxa"/>
            <w:vAlign w:val="bottom"/>
            <w:vMerge w:val="restart"/>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Period</w:t>
            </w:r>
          </w:p>
        </w:tc>
        <w:tc>
          <w:tcPr>
            <w:tcW w:w="2180" w:type="dxa"/>
            <w:vAlign w:val="bottom"/>
            <w:vMerge w:val="continue"/>
            <w:shd w:val="clear" w:color="auto" w:fill="CCEEFF"/>
          </w:tcPr>
          <w:p>
            <w:pPr>
              <w:spacing w:after="0"/>
              <w:rPr>
                <w:sz w:val="15"/>
                <w:szCs w:val="15"/>
                <w:color w:val="auto"/>
              </w:rPr>
            </w:pPr>
          </w:p>
        </w:tc>
        <w:tc>
          <w:tcPr>
            <w:tcW w:w="2080" w:type="dxa"/>
            <w:vAlign w:val="bottom"/>
            <w:vMerge w:val="continue"/>
            <w:shd w:val="clear" w:color="auto" w:fill="CCEEFF"/>
          </w:tcPr>
          <w:p>
            <w:pPr>
              <w:spacing w:after="0"/>
              <w:rPr>
                <w:sz w:val="15"/>
                <w:szCs w:val="15"/>
                <w:color w:val="auto"/>
              </w:rPr>
            </w:pPr>
          </w:p>
        </w:tc>
        <w:tc>
          <w:tcPr>
            <w:tcW w:w="22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Purchased as Part of</w:t>
            </w:r>
          </w:p>
        </w:tc>
        <w:tc>
          <w:tcPr>
            <w:tcW w:w="2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of Shares That May be</w:t>
            </w:r>
          </w:p>
        </w:tc>
        <w:tc>
          <w:tcPr>
            <w:tcW w:w="0" w:type="dxa"/>
            <w:vAlign w:val="bottom"/>
          </w:tcPr>
          <w:p>
            <w:pPr>
              <w:spacing w:after="0"/>
              <w:rPr>
                <w:sz w:val="1"/>
                <w:szCs w:val="1"/>
                <w:color w:val="auto"/>
              </w:rPr>
            </w:pPr>
          </w:p>
        </w:tc>
      </w:tr>
      <w:tr>
        <w:trPr>
          <w:trHeight w:val="149"/>
        </w:trPr>
        <w:tc>
          <w:tcPr>
            <w:tcW w:w="2500" w:type="dxa"/>
            <w:vAlign w:val="bottom"/>
            <w:vMerge w:val="continue"/>
            <w:shd w:val="clear" w:color="auto" w:fill="CCEEFF"/>
          </w:tcPr>
          <w:p>
            <w:pPr>
              <w:spacing w:after="0"/>
              <w:rPr>
                <w:sz w:val="12"/>
                <w:szCs w:val="12"/>
                <w:color w:val="auto"/>
              </w:rPr>
            </w:pPr>
          </w:p>
        </w:tc>
        <w:tc>
          <w:tcPr>
            <w:tcW w:w="2180" w:type="dxa"/>
            <w:vAlign w:val="bottom"/>
            <w:vMerge w:val="restart"/>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Purchased</w:t>
            </w:r>
          </w:p>
        </w:tc>
        <w:tc>
          <w:tcPr>
            <w:tcW w:w="2080" w:type="dxa"/>
            <w:vAlign w:val="bottom"/>
            <w:vMerge w:val="restart"/>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Share</w:t>
            </w:r>
          </w:p>
        </w:tc>
        <w:tc>
          <w:tcPr>
            <w:tcW w:w="2220" w:type="dxa"/>
            <w:vAlign w:val="bottom"/>
            <w:vMerge w:val="restart"/>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Publicly Announced Plans</w:t>
            </w:r>
          </w:p>
        </w:tc>
        <w:tc>
          <w:tcPr>
            <w:tcW w:w="2120" w:type="dxa"/>
            <w:vAlign w:val="bottom"/>
            <w:vMerge w:val="restart"/>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Purchased Under the Plans</w:t>
            </w:r>
          </w:p>
        </w:tc>
        <w:tc>
          <w:tcPr>
            <w:tcW w:w="0" w:type="dxa"/>
            <w:vAlign w:val="bottom"/>
          </w:tcPr>
          <w:p>
            <w:pPr>
              <w:spacing w:after="0"/>
              <w:rPr>
                <w:sz w:val="1"/>
                <w:szCs w:val="1"/>
                <w:color w:val="auto"/>
              </w:rPr>
            </w:pPr>
          </w:p>
        </w:tc>
      </w:tr>
      <w:tr>
        <w:trPr>
          <w:trHeight w:val="40"/>
        </w:trPr>
        <w:tc>
          <w:tcPr>
            <w:tcW w:w="2500" w:type="dxa"/>
            <w:vAlign w:val="bottom"/>
            <w:shd w:val="clear" w:color="auto" w:fill="CCEEFF"/>
          </w:tcPr>
          <w:p>
            <w:pPr>
              <w:spacing w:after="0"/>
              <w:rPr>
                <w:sz w:val="3"/>
                <w:szCs w:val="3"/>
                <w:color w:val="auto"/>
              </w:rPr>
            </w:pPr>
          </w:p>
        </w:tc>
        <w:tc>
          <w:tcPr>
            <w:tcW w:w="2180" w:type="dxa"/>
            <w:vAlign w:val="bottom"/>
            <w:vMerge w:val="continue"/>
            <w:shd w:val="clear" w:color="auto" w:fill="CCEEFF"/>
          </w:tcPr>
          <w:p>
            <w:pPr>
              <w:spacing w:after="0"/>
              <w:rPr>
                <w:sz w:val="3"/>
                <w:szCs w:val="3"/>
                <w:color w:val="auto"/>
              </w:rPr>
            </w:pPr>
          </w:p>
        </w:tc>
        <w:tc>
          <w:tcPr>
            <w:tcW w:w="2080" w:type="dxa"/>
            <w:vAlign w:val="bottom"/>
            <w:vMerge w:val="continue"/>
            <w:shd w:val="clear" w:color="auto" w:fill="CCEEFF"/>
          </w:tcPr>
          <w:p>
            <w:pPr>
              <w:spacing w:after="0"/>
              <w:rPr>
                <w:sz w:val="3"/>
                <w:szCs w:val="3"/>
                <w:color w:val="auto"/>
              </w:rPr>
            </w:pPr>
          </w:p>
        </w:tc>
        <w:tc>
          <w:tcPr>
            <w:tcW w:w="2220" w:type="dxa"/>
            <w:vAlign w:val="bottom"/>
            <w:vMerge w:val="continue"/>
            <w:shd w:val="clear" w:color="auto" w:fill="CCEEFF"/>
          </w:tcPr>
          <w:p>
            <w:pPr>
              <w:spacing w:after="0"/>
              <w:rPr>
                <w:sz w:val="3"/>
                <w:szCs w:val="3"/>
                <w:color w:val="auto"/>
              </w:rPr>
            </w:pPr>
          </w:p>
        </w:tc>
        <w:tc>
          <w:tcPr>
            <w:tcW w:w="2120" w:type="dxa"/>
            <w:vAlign w:val="bottom"/>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7"/>
              </w:rPr>
              <w:t xml:space="preserve">or Programs </w:t>
            </w:r>
            <w:r>
              <w:rPr>
                <w:rFonts w:ascii="Times New Roman" w:cs="Times New Roman" w:eastAsia="Times New Roman" w:hAnsi="Times New Roman"/>
                <w:sz w:val="23"/>
                <w:szCs w:val="23"/>
                <w:color w:val="auto"/>
                <w:w w:val="97"/>
                <w:vertAlign w:val="superscript"/>
              </w:rPr>
              <w:t>(1)</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or Programs</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 millions)</w:t>
            </w:r>
          </w:p>
        </w:tc>
        <w:tc>
          <w:tcPr>
            <w:tcW w:w="0" w:type="dxa"/>
            <w:vAlign w:val="bottom"/>
          </w:tcPr>
          <w:p>
            <w:pPr>
              <w:spacing w:after="0"/>
              <w:rPr>
                <w:sz w:val="1"/>
                <w:szCs w:val="1"/>
                <w:color w:val="auto"/>
              </w:rPr>
            </w:pPr>
          </w:p>
        </w:tc>
      </w:tr>
      <w:tr>
        <w:trPr>
          <w:trHeight w:val="175"/>
        </w:trPr>
        <w:tc>
          <w:tcPr>
            <w:tcW w:w="2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October 1, 2025 - October 31,</w:t>
            </w:r>
          </w:p>
        </w:tc>
        <w:tc>
          <w:tcPr>
            <w:tcW w:w="2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25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180" w:type="dxa"/>
            <w:vAlign w:val="bottom"/>
            <w:vMerge w:val="continue"/>
            <w:shd w:val="clear" w:color="auto" w:fill="CCEEFF"/>
          </w:tcPr>
          <w:p>
            <w:pPr>
              <w:spacing w:after="0"/>
              <w:rPr>
                <w:sz w:val="12"/>
                <w:szCs w:val="12"/>
                <w:color w:val="auto"/>
              </w:rPr>
            </w:pPr>
          </w:p>
        </w:tc>
        <w:tc>
          <w:tcPr>
            <w:tcW w:w="2080" w:type="dxa"/>
            <w:vAlign w:val="bottom"/>
            <w:vMerge w:val="continue"/>
            <w:shd w:val="clear" w:color="auto" w:fill="CCEEFF"/>
          </w:tcPr>
          <w:p>
            <w:pPr>
              <w:spacing w:after="0"/>
              <w:rPr>
                <w:sz w:val="12"/>
                <w:szCs w:val="12"/>
                <w:color w:val="auto"/>
              </w:rPr>
            </w:pPr>
          </w:p>
        </w:tc>
        <w:tc>
          <w:tcPr>
            <w:tcW w:w="2220" w:type="dxa"/>
            <w:vAlign w:val="bottom"/>
            <w:vMerge w:val="continue"/>
            <w:shd w:val="clear" w:color="auto" w:fill="CCEEFF"/>
          </w:tcPr>
          <w:p>
            <w:pPr>
              <w:spacing w:after="0"/>
              <w:rPr>
                <w:sz w:val="12"/>
                <w:szCs w:val="12"/>
                <w:color w:val="auto"/>
              </w:rPr>
            </w:pPr>
          </w:p>
        </w:tc>
        <w:tc>
          <w:tcPr>
            <w:tcW w:w="21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500" w:type="dxa"/>
            <w:vAlign w:val="bottom"/>
            <w:vMerge w:val="continue"/>
            <w:shd w:val="clear" w:color="auto" w:fill="CCEEFF"/>
          </w:tcPr>
          <w:p>
            <w:pPr>
              <w:spacing w:after="0"/>
              <w:rPr>
                <w:sz w:val="8"/>
                <w:szCs w:val="8"/>
                <w:color w:val="auto"/>
              </w:rPr>
            </w:pPr>
          </w:p>
        </w:tc>
        <w:tc>
          <w:tcPr>
            <w:tcW w:w="2180" w:type="dxa"/>
            <w:vAlign w:val="bottom"/>
            <w:shd w:val="clear" w:color="auto" w:fill="CCEEFF"/>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c>
          <w:tcPr>
            <w:tcW w:w="2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November 1, 2025 - November</w:t>
            </w: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25,514</w:t>
            </w: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$41.74</w:t>
            </w: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898,176</w:t>
            </w: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$40.9</w:t>
            </w:r>
          </w:p>
        </w:tc>
        <w:tc>
          <w:tcPr>
            <w:tcW w:w="0" w:type="dxa"/>
            <w:vAlign w:val="bottom"/>
          </w:tcPr>
          <w:p>
            <w:pPr>
              <w:spacing w:after="0"/>
              <w:rPr>
                <w:sz w:val="1"/>
                <w:szCs w:val="1"/>
                <w:color w:val="auto"/>
              </w:rPr>
            </w:pPr>
          </w:p>
        </w:tc>
      </w:tr>
      <w:tr>
        <w:trPr>
          <w:trHeight w:val="149"/>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30, 2025</w:t>
            </w:r>
          </w:p>
        </w:tc>
        <w:tc>
          <w:tcPr>
            <w:tcW w:w="2180" w:type="dxa"/>
            <w:vAlign w:val="bottom"/>
            <w:vMerge w:val="continue"/>
          </w:tcPr>
          <w:p>
            <w:pPr>
              <w:spacing w:after="0"/>
              <w:rPr>
                <w:sz w:val="12"/>
                <w:szCs w:val="12"/>
                <w:color w:val="auto"/>
              </w:rPr>
            </w:pPr>
          </w:p>
        </w:tc>
        <w:tc>
          <w:tcPr>
            <w:tcW w:w="2080" w:type="dxa"/>
            <w:vAlign w:val="bottom"/>
            <w:vMerge w:val="continue"/>
          </w:tcPr>
          <w:p>
            <w:pPr>
              <w:spacing w:after="0"/>
              <w:rPr>
                <w:sz w:val="12"/>
                <w:szCs w:val="12"/>
                <w:color w:val="auto"/>
              </w:rPr>
            </w:pPr>
          </w:p>
        </w:tc>
        <w:tc>
          <w:tcPr>
            <w:tcW w:w="2220" w:type="dxa"/>
            <w:vAlign w:val="bottom"/>
            <w:vMerge w:val="continue"/>
          </w:tcPr>
          <w:p>
            <w:pPr>
              <w:spacing w:after="0"/>
              <w:rPr>
                <w:sz w:val="12"/>
                <w:szCs w:val="12"/>
                <w:color w:val="auto"/>
              </w:rPr>
            </w:pPr>
          </w:p>
        </w:tc>
        <w:tc>
          <w:tcPr>
            <w:tcW w:w="2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500" w:type="dxa"/>
            <w:vAlign w:val="bottom"/>
            <w:vMerge w:val="continue"/>
          </w:tcPr>
          <w:p>
            <w:pPr>
              <w:spacing w:after="0"/>
              <w:rPr>
                <w:sz w:val="7"/>
                <w:szCs w:val="7"/>
                <w:color w:val="auto"/>
              </w:rPr>
            </w:pPr>
          </w:p>
        </w:tc>
        <w:tc>
          <w:tcPr>
            <w:tcW w:w="21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2220" w:type="dxa"/>
            <w:vAlign w:val="bottom"/>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50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December 1, 2025 - December</w:t>
            </w:r>
          </w:p>
        </w:tc>
        <w:tc>
          <w:tcPr>
            <w:tcW w:w="2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25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31, 2025</w:t>
            </w:r>
          </w:p>
        </w:tc>
        <w:tc>
          <w:tcPr>
            <w:tcW w:w="2180" w:type="dxa"/>
            <w:vAlign w:val="bottom"/>
            <w:vMerge w:val="continue"/>
            <w:shd w:val="clear" w:color="auto" w:fill="CCEEFF"/>
          </w:tcPr>
          <w:p>
            <w:pPr>
              <w:spacing w:after="0"/>
              <w:rPr>
                <w:sz w:val="12"/>
                <w:szCs w:val="12"/>
                <w:color w:val="auto"/>
              </w:rPr>
            </w:pPr>
          </w:p>
        </w:tc>
        <w:tc>
          <w:tcPr>
            <w:tcW w:w="2080" w:type="dxa"/>
            <w:vAlign w:val="bottom"/>
            <w:vMerge w:val="continue"/>
            <w:shd w:val="clear" w:color="auto" w:fill="CCEEFF"/>
          </w:tcPr>
          <w:p>
            <w:pPr>
              <w:spacing w:after="0"/>
              <w:rPr>
                <w:sz w:val="12"/>
                <w:szCs w:val="12"/>
                <w:color w:val="auto"/>
              </w:rPr>
            </w:pPr>
          </w:p>
        </w:tc>
        <w:tc>
          <w:tcPr>
            <w:tcW w:w="2220" w:type="dxa"/>
            <w:vAlign w:val="bottom"/>
            <w:vMerge w:val="continue"/>
            <w:shd w:val="clear" w:color="auto" w:fill="CCEEFF"/>
          </w:tcPr>
          <w:p>
            <w:pPr>
              <w:spacing w:after="0"/>
              <w:rPr>
                <w:sz w:val="12"/>
                <w:szCs w:val="12"/>
                <w:color w:val="auto"/>
              </w:rPr>
            </w:pPr>
          </w:p>
        </w:tc>
        <w:tc>
          <w:tcPr>
            <w:tcW w:w="21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500" w:type="dxa"/>
            <w:vAlign w:val="bottom"/>
            <w:vMerge w:val="continue"/>
            <w:shd w:val="clear" w:color="auto" w:fill="CCEEFF"/>
          </w:tcPr>
          <w:p>
            <w:pPr>
              <w:spacing w:after="0"/>
              <w:rPr>
                <w:sz w:val="8"/>
                <w:szCs w:val="8"/>
                <w:color w:val="auto"/>
              </w:rPr>
            </w:pPr>
          </w:p>
        </w:tc>
        <w:tc>
          <w:tcPr>
            <w:tcW w:w="2180" w:type="dxa"/>
            <w:vAlign w:val="bottom"/>
            <w:shd w:val="clear" w:color="auto" w:fill="CCEEFF"/>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c>
          <w:tcPr>
            <w:tcW w:w="2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October 30, 2023, the Company's Board approved a share repurchase program ("Program") authorizing the Company to repurchase up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million of common stock. On April 28, 2025, the Company's Board approved an additional $25.0 million to the Repurchase Program, authorizing the</w:t>
      </w:r>
    </w:p>
    <w:p>
      <w:pPr>
        <w:spacing w:after="0" w:line="234" w:lineRule="auto"/>
        <w:rPr>
          <w:sz w:val="20"/>
          <w:szCs w:val="20"/>
          <w:color w:val="auto"/>
        </w:rPr>
      </w:pPr>
      <w:r>
        <w:rPr>
          <w:rFonts w:ascii="Times New Roman" w:cs="Times New Roman" w:eastAsia="Times New Roman" w:hAnsi="Times New Roman"/>
          <w:sz w:val="18"/>
          <w:szCs w:val="18"/>
          <w:color w:val="auto"/>
        </w:rPr>
        <w:t>Company to repurchase up to a total of $65.0 million of the Company's Common Stock. There were no other changes made to the terms of the Repurchase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Shares of Common Stock may be repurchased under the Program from time to time through open market purchases, block trades, private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transactions or accelerated or other structured share repurchase programs. To the extent not retired, shares of common stock repurchased under the Program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placed in the Company's treasury shares. The extent to which the Company repurchases shares of common stock, and the timing of such</w:t>
      </w:r>
    </w:p>
    <w:p>
      <w:pPr>
        <w:spacing w:after="0"/>
        <w:rPr>
          <w:sz w:val="20"/>
          <w:szCs w:val="20"/>
          <w:color w:val="auto"/>
        </w:rPr>
      </w:pPr>
      <w:r>
        <w:rPr>
          <w:rFonts w:ascii="Times New Roman" w:cs="Times New Roman" w:eastAsia="Times New Roman" w:hAnsi="Times New Roman"/>
          <w:sz w:val="18"/>
          <w:szCs w:val="18"/>
          <w:color w:val="auto"/>
        </w:rPr>
        <w:t>repurchases, will depend upon a variety of factors, including market conditions, regulatory requirements and other corporate considerations, as determined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Company. The Program has no time limits, and may be suspended or discontinued at any time. During the years ended December 31, 2025 and</w:t>
      </w:r>
    </w:p>
    <w:p>
      <w:pPr>
        <w:spacing w:after="0" w:line="234" w:lineRule="auto"/>
        <w:rPr>
          <w:sz w:val="20"/>
          <w:szCs w:val="20"/>
          <w:color w:val="auto"/>
        </w:rPr>
      </w:pPr>
      <w:r>
        <w:rPr>
          <w:rFonts w:ascii="Times New Roman" w:cs="Times New Roman" w:eastAsia="Times New Roman" w:hAnsi="Times New Roman"/>
          <w:sz w:val="18"/>
          <w:szCs w:val="18"/>
          <w:color w:val="auto"/>
        </w:rPr>
        <w:t>2024, the Company repurchased 363,930 shares at a cost of $11.3 million, and 504,246 shares at a cost of $12.0 million under the Program, respectively.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$40.9 million remained available for future purchases under the Program as of December 31, 2025.</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4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graph illustrates the total return from October 22, 2021 through December 31, 2025, for (i) our common stock, (ii) the Russell 2000 Index, (iii) the NASDAQ Composite Index, and (iv) the NASDAQ US Smart Food &amp;</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Beverage Index. The graph assumes that $100 was invested on October 22, 2021 in our common stock, the Russell 2000 Index, the NASDAQ Composite Index, and the NASDAQ US Smart Food &amp; Beverage Index, and that any dividends were reinvested. The graph assumes our closing sales price on October 22, 2021 of $13.95 per share as the initial value of our common stock and not the initial offering price to the public of $15.00 per share. The comparisons reflected in the graph are not intended to forecast the future performance of our stock and may not be indicative of our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5537835" cy="23914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37835"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color w:val="auto"/>
        </w:rPr>
        <w:t>[Reserved]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100" w:firstLine="551"/>
        <w:spacing w:after="0" w:line="24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included elsewhere in this Annual Report on Form 10-K.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the section titled “Risk Factors” or in other parts of this Form 10-K. Our historical results are not necessarily indicative of the results that may be expected for any period in the future. Except as otherwise noted, all references to 2025 refer to the year ended December 31, 2025, all references to 2024 refer to the year ended December 31, 2024 and all references to 2023, refer to the year ended December 31, 2023.</w:t>
      </w:r>
    </w:p>
    <w:p>
      <w:pPr>
        <w:spacing w:after="0" w:line="181" w:lineRule="exact"/>
        <w:rPr>
          <w:sz w:val="20"/>
          <w:szCs w:val="20"/>
          <w:color w:val="auto"/>
        </w:rPr>
      </w:pPr>
    </w:p>
    <w:p>
      <w:pPr>
        <w:ind w:right="160" w:firstLine="551"/>
        <w:spacing w:after="0" w:line="247" w:lineRule="auto"/>
        <w:rPr>
          <w:sz w:val="20"/>
          <w:szCs w:val="20"/>
          <w:color w:val="auto"/>
        </w:rPr>
      </w:pPr>
      <w:r>
        <w:rPr>
          <w:rFonts w:ascii="Times New Roman" w:cs="Times New Roman" w:eastAsia="Times New Roman" w:hAnsi="Times New Roman"/>
          <w:sz w:val="18"/>
          <w:szCs w:val="18"/>
          <w:i w:val="1"/>
          <w:iCs w:val="1"/>
          <w:color w:val="auto"/>
        </w:rPr>
        <w:t>This section of this Annual Report on Form 10-K generally discusses the years ended December 31, 2025 and 2024 and year-over-year comparisons between the years ended December 31, 2025 and 2024. Discussions of the periods prior to the year ended December 31, 2024 that are not included in this Annual Report on Form 10-K are found in "Management's Discussion and Analysis of Financial Condition and Results of Operations" in Part II, Item 7 of our Annual Report on Form 10-K for the year ended December 31, 2024 and the discussion therein for the year ended December 31, 2024 compared to the year ended December 31, 2023.</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6" w:lineRule="exact"/>
        <w:rPr>
          <w:sz w:val="20"/>
          <w:szCs w:val="20"/>
          <w:color w:val="auto"/>
        </w:rPr>
      </w:pPr>
    </w:p>
    <w:p>
      <w:pPr>
        <w:ind w:right="220" w:firstLine="648"/>
        <w:spacing w:after="0" w:line="239" w:lineRule="auto"/>
        <w:rPr>
          <w:sz w:val="20"/>
          <w:szCs w:val="20"/>
          <w:color w:val="auto"/>
        </w:rPr>
      </w:pPr>
      <w:r>
        <w:rPr>
          <w:rFonts w:ascii="Times New Roman" w:cs="Times New Roman" w:eastAsia="Times New Roman" w:hAnsi="Times New Roman"/>
          <w:sz w:val="18"/>
          <w:szCs w:val="18"/>
          <w:color w:val="auto"/>
        </w:rPr>
        <w:t>The Vita Coco Company pioneered packaged coconut water in 2004 and we have extended our business into other categories. Our mission is to deliver great tasting, natural and nutritious products that we believe are better for consumers and better for the world. We are one of the largest brands globally in the coconut and other plant waters category, and a large supplier of Private Label coconut water.</w:t>
      </w:r>
    </w:p>
    <w:p>
      <w:pPr>
        <w:spacing w:after="0" w:line="210" w:lineRule="exact"/>
        <w:rPr>
          <w:sz w:val="20"/>
          <w:szCs w:val="20"/>
          <w:color w:val="auto"/>
        </w:rPr>
      </w:pPr>
    </w:p>
    <w:p>
      <w:pPr>
        <w:ind w:right="180" w:firstLine="648"/>
        <w:spacing w:after="0" w:line="239" w:lineRule="auto"/>
        <w:rPr>
          <w:sz w:val="20"/>
          <w:szCs w:val="20"/>
          <w:color w:val="auto"/>
        </w:rPr>
      </w:pPr>
      <w:r>
        <w:rPr>
          <w:rFonts w:ascii="Times New Roman" w:cs="Times New Roman" w:eastAsia="Times New Roman" w:hAnsi="Times New Roman"/>
          <w:sz w:val="18"/>
          <w:szCs w:val="18"/>
          <w:color w:val="auto"/>
        </w:rPr>
        <w:t xml:space="preserve">Our branded portfolio is led by our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brand, which is the leader in the coconut water category in the U.S., and also includes coconut oil, juice, and milk offerings. Our portfolio also includes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a protein-infused fitness drink. We also previously offered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a plant-based energy drink inspired by the guayusa plant native to Ecuador, which we ceased selling in December 2023 and impaired all remaining assets in September 2025. Additionally, we supply Private Label products to key retailers in both the coconut water and coconut oil categories and generate revenue from bulk product sales to beverage and food companies.</w:t>
      </w:r>
    </w:p>
    <w:p>
      <w:pPr>
        <w:spacing w:after="0" w:line="213"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We source our coconut water from a diversified global network of approximately 16 factories across six countries supported by thousands of coconut farmers. As we do not own any of these factories, our supply chain is a fixed asset-lite</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model designed to better react to changes in the market or consumer preferences. We also work with co-packers to support local packaging and repacking of our products and to better service our customers’ needs.</w:t>
      </w:r>
    </w:p>
    <w:p>
      <w:pPr>
        <w:spacing w:after="0" w:line="187"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Vita Coco </w:t>
      </w:r>
      <w:r>
        <w:rPr>
          <w:rFonts w:ascii="Times New Roman" w:cs="Times New Roman" w:eastAsia="Times New Roman" w:hAnsi="Times New Roman"/>
          <w:sz w:val="18"/>
          <w:szCs w:val="18"/>
          <w:color w:val="auto"/>
        </w:rPr>
        <w:t>is available in over 35 countries, with our primary markets in North America, the United Kingdom, and Germany. Our primary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Private Label are North America and Europe. Our products are distributed primarily through club, food, drug, mass, convenience, e-commerce, and food service channels. Our products are also available in a variety of on-premise locations such as corporate offices, fitness clubs, airports, and educational institutions.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16" w:lineRule="exact"/>
        <w:rPr>
          <w:sz w:val="20"/>
          <w:szCs w:val="20"/>
          <w:color w:val="auto"/>
        </w:rPr>
      </w:pPr>
    </w:p>
    <w:p>
      <w:pPr>
        <w:ind w:right="420" w:firstLine="551"/>
        <w:spacing w:after="0" w:line="266" w:lineRule="auto"/>
        <w:rPr>
          <w:sz w:val="20"/>
          <w:szCs w:val="20"/>
          <w:color w:val="auto"/>
        </w:rPr>
      </w:pPr>
      <w:r>
        <w:rPr>
          <w:rFonts w:ascii="Times New Roman" w:cs="Times New Roman" w:eastAsia="Times New Roman" w:hAnsi="Times New Roman"/>
          <w:sz w:val="18"/>
          <w:szCs w:val="18"/>
          <w:color w:val="auto"/>
        </w:rPr>
        <w:t>We believe that the growth of our business and our future success are dependent upon many factors, including the key trends and uncertainties highlighted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our Supply Chain and Shipping</w:t>
      </w:r>
    </w:p>
    <w:p>
      <w:pPr>
        <w:spacing w:after="0" w:line="202" w:lineRule="exact"/>
        <w:rPr>
          <w:sz w:val="20"/>
          <w:szCs w:val="20"/>
          <w:color w:val="auto"/>
        </w:rPr>
      </w:pPr>
    </w:p>
    <w:p>
      <w:pPr>
        <w:ind w:right="20" w:firstLine="180"/>
        <w:spacing w:after="0" w:line="246" w:lineRule="auto"/>
        <w:rPr>
          <w:sz w:val="20"/>
          <w:szCs w:val="20"/>
          <w:color w:val="auto"/>
        </w:rPr>
      </w:pPr>
      <w:r>
        <w:rPr>
          <w:rFonts w:ascii="Times New Roman" w:cs="Times New Roman" w:eastAsia="Times New Roman" w:hAnsi="Times New Roman"/>
          <w:sz w:val="18"/>
          <w:szCs w:val="18"/>
          <w:color w:val="auto"/>
        </w:rPr>
        <w:t>Our global asset-light supply chain model has been an integral part of our ability to efficiently scale our business and compete in the marketplace, and to support our Private Label business. This asset-light model allows us to effectively manage total delivery costs and afford greater ability to shift volume between our suppliers to optimize our supply chain, and better manage our supply levels. In addition, our scale of sourcing has allowed us to add capacity as needed and service retailers more reliably, and we believe that our global position as one of the largest and highest quality coconut water procurers in the world protects our customer and supplier relationships.</w:t>
      </w:r>
    </w:p>
    <w:p>
      <w:pPr>
        <w:spacing w:after="0" w:line="222" w:lineRule="exact"/>
        <w:rPr>
          <w:sz w:val="20"/>
          <w:szCs w:val="20"/>
          <w:color w:val="auto"/>
        </w:rPr>
      </w:pPr>
    </w:p>
    <w:p>
      <w:pPr>
        <w:ind w:right="200" w:firstLine="648"/>
        <w:spacing w:after="0" w:line="246" w:lineRule="auto"/>
        <w:rPr>
          <w:sz w:val="20"/>
          <w:szCs w:val="20"/>
          <w:color w:val="auto"/>
        </w:rPr>
      </w:pPr>
      <w:r>
        <w:rPr>
          <w:rFonts w:ascii="Times New Roman" w:cs="Times New Roman" w:eastAsia="Times New Roman" w:hAnsi="Times New Roman"/>
          <w:sz w:val="18"/>
          <w:szCs w:val="18"/>
          <w:color w:val="auto"/>
        </w:rPr>
        <w:t>However, in order to make our supply chain model successful and efficient, we source a large amount of our finished goods from international countries, which exposes us to international supply chain inflation, particularly ocean freight. Uncertainty in the macroeconomic environment resulting from geopolitical and economic instability (including the effects of current wars and other international conflicts) and variability in interest rates, foreign exchange rates and inflationary cost environments may affect our global supply chain. Inflation rates and foreign exchange rate movements varies by country and relevant period, and can impact our expenses significantly.</w:t>
      </w:r>
    </w:p>
    <w:p>
      <w:pPr>
        <w:spacing w:after="0" w:line="208"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Throughout 2025, we faced evolving tariff pressures, beginning with the implementation of a 10% baseline U.S. tariff and country specific rates. This was followed by reciprocal tariffs announced in August 2025 of approximately 20% for Asian countries from which we source, and incremental tariffs that raised the effective rate to 50% for Brazil. Imports from Mexico and Canada remained exempt under the United States-Mexico-Canada Agreement ("USMCA"). At the end of the third quarter of 2025, we estimated our weighted average tariff rate was 23% based on third quarter sourcing, and continued our attempts to mitigate. On November 14, 2025, the White House announced relief from the reciprocal tariffs for certain agricultural products, which included the tariff codes applicable to coconut water products, which are the bulk of our portfolio, and on November 21, 2025, a waiver on the incremental tariffs on coconut water from Brazil was announced. These November announcements significantly reduced the tariff burden on our importation of our coconut water products post November 21, 2025, although miscellaneous tariffs remain. The various tariff rates resulted in $16 million of tariffs paid in 2025.</w:t>
      </w:r>
    </w:p>
    <w:p>
      <w:pPr>
        <w:spacing w:after="0" w:line="212"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We also experienced significant inflation and instability on transportation costs over the past four years, which affected our costs and margins significantly. Although we saw these transportation costs return to near pre-pandemic levels in the middle of 2023, in 2024, we saw significant cost increases and supply constraints caused by geopolitical disruption. We experienced instability in pricing and increased transit times, due to ocean carriers avoiding the Gulf of Aden and Red Sea regions due primarily to concerns that Houthi forces, based in Yemen, may attack freighters. Beginning in the late spring of 2024 and for most of that summer, we were challenged to secure the ocean container capacity that we needed. During 2025, we saw periodic cost surges on ocean freight costs that were unexpected, although generally through the year saw a decline in rates ending the year closer to pre-pandemic levels. The changes in shipping container prices and service levels and cost increases in shipping and port congestion related costs have materially impacted our financial results in recent years and may do so in the future. Due to the price sensitivity of our products, we may not be able to pass such increases on to our customers without impacting our volume, revenue, margins, and operating results and we have no certainty when these pressures may lessen. The Company is continuing to monitor the situation carefully to understand any future potential impact on its people and business.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Demand and Relationships with Key Customers</w:t>
      </w:r>
    </w:p>
    <w:p>
      <w:pPr>
        <w:spacing w:after="0" w:line="108" w:lineRule="exact"/>
        <w:rPr>
          <w:sz w:val="20"/>
          <w:szCs w:val="20"/>
          <w:color w:val="auto"/>
        </w:rPr>
      </w:pPr>
    </w:p>
    <w:p>
      <w:pPr>
        <w:ind w:right="40" w:firstLine="551"/>
        <w:spacing w:after="0" w:line="266" w:lineRule="auto"/>
        <w:rPr>
          <w:sz w:val="20"/>
          <w:szCs w:val="20"/>
          <w:color w:val="auto"/>
        </w:rPr>
      </w:pPr>
      <w:r>
        <w:rPr>
          <w:rFonts w:ascii="Times New Roman" w:cs="Times New Roman" w:eastAsia="Times New Roman" w:hAnsi="Times New Roman"/>
          <w:sz w:val="18"/>
          <w:szCs w:val="18"/>
          <w:color w:val="auto"/>
        </w:rPr>
        <w:t>Coconut water accounted for 96% of our revenue for the year ended December 31, 2025 and we believe that sales of coconut water will continue to be a significant portion of our business in the foreseeable future. The coconut water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category has been growing steadily in recent years and our Vita Coco brand has successfully retained over 40% market share in the U.S. and over 80% market share in the U.K. in this category. We are also a significant supplier of Private Label coconut water and coconut oil products in the U.S. and Europe. Any material negative change to consumer demand for our products or coconut water generally, failure to grow the coconut water category, or loss of significant Private Label demand, could adversely affect our business. Consumer demand between branded products and Private Label may vary over time. In order to meet this consumer demand for our products, we also are subject to the risk of overly relying upon our largest customers for both our branded and Private Label business. One of our significant customers discontinued the Private Label coconut oil supply relationship in early 2024, and we also experienced an impact in Private Label coconut water net sales in 2025 with this customer due to the loss of some regions that we previously serviced for this customer. However, this customer has requested to restart supply in early 2026 for one of those lost regions. We will continue to service their needs if we are asked and it aligns with our long-term margin targets. Any loss of business or changes in our relationships with our key customers can impact our operating results in future periods, as may changes in consumer demand for Private Label versus branded products.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Generate Growth Through Product Innovation</w:t>
      </w:r>
    </w:p>
    <w:p>
      <w:pPr>
        <w:spacing w:after="0" w:line="121" w:lineRule="exact"/>
        <w:rPr>
          <w:sz w:val="20"/>
          <w:szCs w:val="20"/>
          <w:color w:val="auto"/>
        </w:rPr>
      </w:pPr>
    </w:p>
    <w:p>
      <w:pPr>
        <w:ind w:right="20" w:firstLine="551"/>
        <w:spacing w:after="0" w:line="245" w:lineRule="auto"/>
        <w:rPr>
          <w:sz w:val="20"/>
          <w:szCs w:val="20"/>
          <w:color w:val="auto"/>
        </w:rPr>
      </w:pPr>
      <w:r>
        <w:rPr>
          <w:rFonts w:ascii="Times New Roman" w:cs="Times New Roman" w:eastAsia="Times New Roman" w:hAnsi="Times New Roman"/>
          <w:sz w:val="18"/>
          <w:szCs w:val="18"/>
          <w:color w:val="auto"/>
        </w:rPr>
        <w:t xml:space="preserve">The beverage industry is subject to shifting consumer preferences which present opportunities for new beverage occasions, tastes and functional benefits. Our future success is therefore partially dependent on our ability to identify these trends and develop products and brands that effectively meet those needs. We also invest in sales and marketing and execute our sales strategy to develop and deepen consumers’ connection to our brand and new products and to create category growth and increase our branded share. Our innovation efforts focus on developing and marketing product extensions, improving upon the quality and taste profiles of existing products, and introducing new products or brands to meet evolving consumer needs. For example, in 2024 we introduced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Treats, a refreshingly sweet, flavorful coconut milk-based drink for consumers looking for an indulgent treat. In 2025, we expanded distribution of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Treats to retailers nationwide.</w:t>
      </w:r>
    </w:p>
    <w:p>
      <w:pPr>
        <w:spacing w:after="0" w:line="208"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We maintain in-house research and development capabilities as well as strong third-party relationships with flavor development houses, and we monitor the latest advancements to support continued innovation and learning. Our ability to successfully improve existing products, or develop, market and sell new products or brands, or our ability to grow the category or gain branded share, depends on our commitment and continued investment in sales execution, marketing, innovation, and our willingness to try and fail and learn from our experiences.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Successfully Execute Both In-Store and Online</w:t>
      </w:r>
    </w:p>
    <w:p>
      <w:pPr>
        <w:spacing w:after="0" w:line="121" w:lineRule="exact"/>
        <w:rPr>
          <w:sz w:val="20"/>
          <w:szCs w:val="20"/>
          <w:color w:val="auto"/>
        </w:rPr>
      </w:pPr>
    </w:p>
    <w:p>
      <w:pPr>
        <w:ind w:right="60" w:firstLine="551"/>
        <w:spacing w:after="0" w:line="245" w:lineRule="auto"/>
        <w:rPr>
          <w:sz w:val="20"/>
          <w:szCs w:val="20"/>
          <w:color w:val="auto"/>
        </w:rPr>
      </w:pPr>
      <w:r>
        <w:rPr>
          <w:rFonts w:ascii="Times New Roman" w:cs="Times New Roman" w:eastAsia="Times New Roman" w:hAnsi="Times New Roman"/>
          <w:sz w:val="18"/>
          <w:szCs w:val="18"/>
          <w:color w:val="auto"/>
        </w:rPr>
        <w:t>To aid the growth of our business, we intend to continue improving our operational efficiency and leverage our brand position across channels, and therefore have a balanced approach to investment and development of capabilities in retail and e-commerce execution. Our DSD network is an important asset in executing physical retail programs and ensuring product availability and visibility in the U.S. In 2025, we continued to prioritize multi-packs in coconut water in U.S. retail to increase consumption with core consumers, and increased distribution of our other product offerings. Managing our DSD network requires relationship building and communication as to plans, and alignment of goals and interests, and we are not always a top priority for our DSD network. We also continue to expand our business in e-commerce, including our DTC business, and look to adapt our approaches as consumer and retail behavior changes to ensure we remain competitive and visible regardless of channel.</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19" w:lineRule="exact"/>
        <w:rPr>
          <w:sz w:val="20"/>
          <w:szCs w:val="20"/>
          <w:color w:val="auto"/>
        </w:rPr>
      </w:pPr>
    </w:p>
    <w:p>
      <w:pPr>
        <w:ind w:firstLine="551"/>
        <w:spacing w:after="0" w:line="246" w:lineRule="auto"/>
        <w:rPr>
          <w:sz w:val="20"/>
          <w:szCs w:val="20"/>
          <w:color w:val="auto"/>
        </w:rPr>
      </w:pPr>
      <w:r>
        <w:rPr>
          <w:rFonts w:ascii="Times New Roman" w:cs="Times New Roman" w:eastAsia="Times New Roman" w:hAnsi="Times New Roman"/>
          <w:sz w:val="18"/>
          <w:szCs w:val="18"/>
          <w:color w:val="auto"/>
        </w:rPr>
        <w:t xml:space="preserve">We generate revenue through the sale of our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branded coconut water, Private Label and Other products in the Americas and International segments. Our sales are predominantly made to distributors or to retailers for final sale to consumers through retail channels, which includes sales to traditional brick and mortar retailers, who may also resell our products through their own online platforms. Our revenue is recognized net of allowances for returns, discounts, credits and any taxes collected from consumers.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08" w:lineRule="exact"/>
        <w:rPr>
          <w:sz w:val="20"/>
          <w:szCs w:val="20"/>
          <w:color w:val="auto"/>
        </w:rPr>
      </w:pPr>
    </w:p>
    <w:p>
      <w:pPr>
        <w:ind w:right="440" w:firstLine="551"/>
        <w:spacing w:after="0" w:line="266" w:lineRule="auto"/>
        <w:rPr>
          <w:sz w:val="20"/>
          <w:szCs w:val="20"/>
          <w:color w:val="auto"/>
        </w:rPr>
      </w:pPr>
      <w:r>
        <w:rPr>
          <w:rFonts w:ascii="Times New Roman" w:cs="Times New Roman" w:eastAsia="Times New Roman" w:hAnsi="Times New Roman"/>
          <w:sz w:val="18"/>
          <w:szCs w:val="18"/>
          <w:color w:val="auto"/>
        </w:rPr>
        <w:t>Cost of goods sold includes the costs of the products sold to customers, inbound and outbound shipping and handling costs, freight and duties (including tariffs), shipping and packaging supplies, and warehouse fulfillment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551"/>
        <w:spacing w:after="0" w:line="250" w:lineRule="auto"/>
        <w:rPr>
          <w:sz w:val="20"/>
          <w:szCs w:val="20"/>
          <w:color w:val="auto"/>
        </w:rPr>
      </w:pPr>
      <w:r>
        <w:rPr>
          <w:rFonts w:ascii="Times New Roman" w:cs="Times New Roman" w:eastAsia="Times New Roman" w:hAnsi="Times New Roman"/>
          <w:sz w:val="18"/>
          <w:szCs w:val="18"/>
          <w:color w:val="auto"/>
        </w:rPr>
        <w:t>Gross profit is net sales less cost of goods sold, and gross margin is gross profit as a percentage of net sales. Gross profit has been, and will continue to be, affected by various factors, including the mix of products we sell, the channel through which we sell our products, the promotional environment in the marketplace, manufacturing costs, exchange rates, commodity prices and transportation rates. We expect that our gross margin will fluctuate from period to period depending on the interplay of these variables.</w:t>
      </w:r>
    </w:p>
    <w:p>
      <w:pPr>
        <w:spacing w:after="0" w:line="177" w:lineRule="exact"/>
        <w:rPr>
          <w:sz w:val="20"/>
          <w:szCs w:val="20"/>
          <w:color w:val="auto"/>
        </w:rPr>
      </w:pPr>
    </w:p>
    <w:p>
      <w:pPr>
        <w:jc w:val="both"/>
        <w:ind w:right="100" w:firstLine="551"/>
        <w:spacing w:after="0" w:line="258" w:lineRule="auto"/>
        <w:rPr>
          <w:sz w:val="20"/>
          <w:szCs w:val="20"/>
          <w:color w:val="auto"/>
        </w:rPr>
      </w:pPr>
      <w:r>
        <w:rPr>
          <w:rFonts w:ascii="Times New Roman" w:cs="Times New Roman" w:eastAsia="Times New Roman" w:hAnsi="Times New Roman"/>
          <w:sz w:val="18"/>
          <w:szCs w:val="18"/>
          <w:color w:val="auto"/>
        </w:rPr>
        <w:t>Management believes gross margin provides investors with useful information related to the profitability of our business prior to considering all of the operating costs incurred. Management uses gross profit and gross margin as key measures in making financial, operating and planning decisions and in evaluating our performance.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08" w:lineRule="exact"/>
        <w:rPr>
          <w:sz w:val="20"/>
          <w:szCs w:val="20"/>
          <w:color w:val="auto"/>
        </w:rPr>
      </w:pPr>
    </w:p>
    <w:p>
      <w:pPr>
        <w:ind w:firstLine="551"/>
        <w:spacing w:after="0" w:line="247" w:lineRule="auto"/>
        <w:rPr>
          <w:sz w:val="20"/>
          <w:szCs w:val="20"/>
          <w:color w:val="auto"/>
        </w:rPr>
      </w:pPr>
      <w:r>
        <w:rPr>
          <w:rFonts w:ascii="Times New Roman" w:cs="Times New Roman" w:eastAsia="Times New Roman" w:hAnsi="Times New Roman"/>
          <w:sz w:val="18"/>
          <w:szCs w:val="18"/>
          <w:color w:val="auto"/>
        </w:rPr>
        <w:t>Selling, general and administrative expenses ("SG&amp;A") include marketing expenses, promotional expenses, and general and administrative expenses. Marketing and promotional expenses consist primarily of costs incurred promoting and marketing our products and are primarily driven by investments to grow our business and retain customers. General and administrative expenses include payroll, employee benefits, stock-based compensation, broker commissions and other headcount-related expenses associated with supply chain &amp; operations, finance, information technology, human resources and other administrative-related personnel, as well as general overhead costs of the business, including research and development for new innovations, rent and related facilities and maintenance costs, depreciation and amortization, and legal, accounting, and professional fees. We expense all SG&amp;A as incurred.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Unrealized Gain/(Loss) on Derivative Instruments</w:t>
      </w:r>
    </w:p>
    <w:p>
      <w:pPr>
        <w:spacing w:after="0" w:line="121" w:lineRule="exact"/>
        <w:rPr>
          <w:sz w:val="20"/>
          <w:szCs w:val="20"/>
          <w:color w:val="auto"/>
        </w:rPr>
      </w:pPr>
    </w:p>
    <w:p>
      <w:pPr>
        <w:ind w:right="40" w:firstLine="551"/>
        <w:spacing w:after="0" w:line="250" w:lineRule="auto"/>
        <w:rPr>
          <w:sz w:val="20"/>
          <w:szCs w:val="20"/>
          <w:color w:val="auto"/>
        </w:rPr>
      </w:pPr>
      <w:r>
        <w:rPr>
          <w:rFonts w:ascii="Times New Roman" w:cs="Times New Roman" w:eastAsia="Times New Roman" w:hAnsi="Times New Roman"/>
          <w:sz w:val="18"/>
          <w:szCs w:val="18"/>
          <w:color w:val="auto"/>
        </w:rPr>
        <w:t>We are subject to foreign currency risks as a result of our inventory purchases and intercompany transactions. In order to mitigate the foreign currency risks, we and our subsidiaries enter into foreign currency exchange contracts which are recorded at fair value. Unrealized gain/(loss) on derivative instruments consists of gains or losses on such foreign currency exchange contracts which are unsettled as of period end. See “—Qualitative and Quantitative Disclosures about Market Risk—Foreign Currency Exchange Risk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further information.</w:t>
      </w:r>
    </w:p>
    <w:p>
      <w:pPr>
        <w:spacing w:after="0" w:line="2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Gain/(Loss)</w:t>
      </w:r>
    </w:p>
    <w:p>
      <w:pPr>
        <w:spacing w:after="0" w:line="108"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Our reporting currency is the U.S. dollar. We maintain the financial statements of each entity within the group in its local currency, which is also the entity’s functional currency. Foreign currency gain/(loss) represents the transaction gains and losses that arise from exchange rate fluctuations on transactions denominated in a currency other than the functional currency. See “—Qualitative and Quantitative Disclosures about Market Risk—Foreign Currency Exchange Risk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further information.</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income consists of interest income earned on our cash and cash equivalents, and money market funds.</w:t>
      </w:r>
    </w:p>
    <w:p>
      <w:pPr>
        <w:spacing w:after="0" w:line="3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expense consists of interest payable on our credit facilities and vehicle loans.</w:t>
      </w:r>
    </w:p>
    <w:p>
      <w:pPr>
        <w:spacing w:after="0" w:line="3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08" w:lineRule="exact"/>
        <w:rPr>
          <w:sz w:val="20"/>
          <w:szCs w:val="20"/>
          <w:color w:val="auto"/>
        </w:rPr>
      </w:pPr>
    </w:p>
    <w:p>
      <w:pPr>
        <w:ind w:right="60" w:firstLine="551"/>
        <w:spacing w:after="0" w:line="250" w:lineRule="auto"/>
        <w:rPr>
          <w:sz w:val="20"/>
          <w:szCs w:val="20"/>
          <w:color w:val="auto"/>
        </w:rPr>
      </w:pPr>
      <w:r>
        <w:rPr>
          <w:rFonts w:ascii="Times New Roman" w:cs="Times New Roman" w:eastAsia="Times New Roman" w:hAnsi="Times New Roman"/>
          <w:sz w:val="18"/>
          <w:szCs w:val="18"/>
          <w:color w:val="auto"/>
        </w:rPr>
        <w:t>We are subject to federal and state income taxes in the U.S. and taxes in foreign jurisdictions in which we operate.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operate in two reporting segments: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820" w:hanging="245"/>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Americas</w:t>
      </w:r>
      <w:r>
        <w:rPr>
          <w:rFonts w:ascii="Times New Roman" w:cs="Times New Roman" w:eastAsia="Times New Roman" w:hAnsi="Times New Roman"/>
          <w:sz w:val="18"/>
          <w:szCs w:val="18"/>
          <w:color w:val="auto"/>
        </w:rPr>
        <w:t>—The Americas segment is comprised of our operations in the Americas region, primarily in the U.S. and Canada.</w:t>
      </w:r>
    </w:p>
    <w:p>
      <w:pPr>
        <w:spacing w:after="0" w:line="103" w:lineRule="exact"/>
        <w:rPr>
          <w:rFonts w:ascii="Times New Roman" w:cs="Times New Roman" w:eastAsia="Times New Roman" w:hAnsi="Times New Roman"/>
          <w:sz w:val="18"/>
          <w:szCs w:val="18"/>
          <w:color w:val="auto"/>
        </w:rPr>
      </w:pPr>
    </w:p>
    <w:p>
      <w:pPr>
        <w:ind w:left="820" w:right="260" w:hanging="245"/>
        <w:spacing w:after="0" w:line="286"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International</w:t>
      </w:r>
      <w:r>
        <w:rPr>
          <w:rFonts w:ascii="Times New Roman" w:cs="Times New Roman" w:eastAsia="Times New Roman" w:hAnsi="Times New Roman"/>
          <w:sz w:val="18"/>
          <w:szCs w:val="18"/>
          <w:color w:val="auto"/>
        </w:rPr>
        <w:t>—The International segment is comprised of our operations primarily in Europe, the Middle East, and the Asia Pacific regions,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includes our sourcing entity.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segment derives its revenues from the following product categories:</w:t>
      </w:r>
    </w:p>
    <w:p>
      <w:pPr>
        <w:spacing w:after="0" w:line="100" w:lineRule="exact"/>
        <w:rPr>
          <w:sz w:val="20"/>
          <w:szCs w:val="20"/>
          <w:color w:val="auto"/>
        </w:rPr>
      </w:pPr>
    </w:p>
    <w:p>
      <w:pPr>
        <w:ind w:left="820" w:right="20" w:hanging="245"/>
        <w:spacing w:after="0" w:line="260"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Vita Coco Coconut Water</w:t>
      </w:r>
      <w:r>
        <w:rPr>
          <w:rFonts w:ascii="Times New Roman" w:cs="Times New Roman" w:eastAsia="Times New Roman" w:hAnsi="Times New Roman"/>
          <w:sz w:val="18"/>
          <w:szCs w:val="18"/>
          <w:color w:val="auto"/>
        </w:rPr>
        <w:t>—This product category consists of all branded coconut water product offerings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labels, where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ingredient is coconut water. For these products, control is transferred upon customer receipt, at which point the Company recognizes the transaction price for the product as revenue.</w:t>
      </w:r>
    </w:p>
    <w:p>
      <w:pPr>
        <w:spacing w:after="0" w:line="56" w:lineRule="exact"/>
        <w:rPr>
          <w:rFonts w:ascii="Times New Roman" w:cs="Times New Roman" w:eastAsia="Times New Roman" w:hAnsi="Times New Roman"/>
          <w:sz w:val="18"/>
          <w:szCs w:val="18"/>
          <w:color w:val="auto"/>
        </w:rPr>
      </w:pPr>
    </w:p>
    <w:p>
      <w:pPr>
        <w:ind w:left="820" w:right="160" w:hanging="245"/>
        <w:spacing w:after="0" w:line="251"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Private Label </w:t>
      </w:r>
      <w:r>
        <w:rPr>
          <w:rFonts w:ascii="Times New Roman" w:cs="Times New Roman" w:eastAsia="Times New Roman" w:hAnsi="Times New Roman"/>
          <w:sz w:val="18"/>
          <w:szCs w:val="18"/>
          <w:color w:val="auto"/>
        </w:rPr>
        <w:t>—This product category consists of all Private Label product offerings, which includes coconut water and coconut oil.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occurs, which may be prior to any shipment.</w:t>
      </w:r>
    </w:p>
    <w:p>
      <w:pPr>
        <w:spacing w:after="0" w:line="65" w:lineRule="exact"/>
        <w:rPr>
          <w:rFonts w:ascii="Times New Roman" w:cs="Times New Roman" w:eastAsia="Times New Roman" w:hAnsi="Times New Roman"/>
          <w:sz w:val="18"/>
          <w:szCs w:val="18"/>
          <w:color w:val="auto"/>
        </w:rPr>
      </w:pPr>
    </w:p>
    <w:p>
      <w:pPr>
        <w:ind w:left="820" w:hanging="245"/>
        <w:spacing w:after="0" w:line="252"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w:t>
      </w:r>
      <w:r>
        <w:rPr>
          <w:rFonts w:ascii="Times New Roman" w:cs="Times New Roman" w:eastAsia="Times New Roman" w:hAnsi="Times New Roman"/>
          <w:sz w:val="18"/>
          <w:szCs w:val="18"/>
          <w:color w:val="auto"/>
        </w:rPr>
        <w:t>This product category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extensions beyond coconut water, such as coconut milk products,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Treats; </w:t>
      </w:r>
      <w:r>
        <w:rPr>
          <w:rFonts w:ascii="Times New Roman" w:cs="Times New Roman" w:eastAsia="Times New Roman" w:hAnsi="Times New Roman"/>
          <w:sz w:val="18"/>
          <w:szCs w:val="18"/>
          <w:i w:val="1"/>
          <w:iCs w:val="1"/>
          <w:color w:val="auto"/>
        </w:rPr>
        <w:t>PWR LIFT; Ever &amp; Ever;</w:t>
      </w:r>
      <w:r>
        <w:rPr>
          <w:rFonts w:ascii="Times New Roman" w:cs="Times New Roman" w:eastAsia="Times New Roman" w:hAnsi="Times New Roman"/>
          <w:sz w:val="18"/>
          <w:szCs w:val="18"/>
          <w:color w:val="auto"/>
        </w:rPr>
        <w:t xml:space="preserve"> Runa (until the Company ceased selling in December 2023);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oil sold internationally; and other revenue transactions (e.g., bulk product sales). For these products, control is transferred upon customer receipt, at which point we recognize the transaction price for the product as revenue.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2025 and 2024</w:t>
      </w:r>
    </w:p>
    <w:p>
      <w:pPr>
        <w:spacing w:after="0" w:line="2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2025 and 2024, respectively:</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6"/>
                <w:szCs w:val="16"/>
                <w:color w:val="auto"/>
              </w:rPr>
            </w:pPr>
          </w:p>
        </w:tc>
        <w:tc>
          <w:tcPr>
            <w:tcW w:w="2020" w:type="dxa"/>
            <w:vAlign w:val="bottom"/>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tcPr>
          <w:p>
            <w:pPr>
              <w:spacing w:after="0"/>
              <w:rPr>
                <w:sz w:val="16"/>
                <w:szCs w:val="16"/>
                <w:color w:val="auto"/>
              </w:rPr>
            </w:pPr>
          </w:p>
        </w:tc>
      </w:tr>
      <w:tr>
        <w:trPr>
          <w:trHeight w:val="23"/>
        </w:trPr>
        <w:tc>
          <w:tcPr>
            <w:tcW w:w="122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1220" w:type="dxa"/>
            <w:vAlign w:val="bottom"/>
            <w:tcBorders>
              <w:bottom w:val="single" w:sz="8" w:color="CCEEFF"/>
            </w:tcBorders>
            <w:shd w:val="clear" w:color="auto" w:fill="CCEEFF"/>
          </w:tcPr>
          <w:p>
            <w:pPr>
              <w:spacing w:after="0"/>
              <w:rPr>
                <w:sz w:val="18"/>
                <w:szCs w:val="18"/>
                <w:color w:val="auto"/>
              </w:rPr>
            </w:pPr>
          </w:p>
        </w:tc>
        <w:tc>
          <w:tcPr>
            <w:tcW w:w="29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40" w:type="dxa"/>
            <w:vAlign w:val="bottom"/>
            <w:tcBorders>
              <w:bottom w:val="single" w:sz="8" w:color="CCEEFF"/>
            </w:tcBorders>
            <w:shd w:val="clear" w:color="auto" w:fill="CCEEFF"/>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06"/>
        </w:trPr>
        <w:tc>
          <w:tcPr>
            <w:tcW w:w="12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31"/>
        </w:trPr>
        <w:tc>
          <w:tcPr>
            <w:tcW w:w="122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50"/>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609,780</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516,013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93,767</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50"/>
        </w:trPr>
        <w:tc>
          <w:tcPr>
            <w:tcW w:w="4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387,185</w:t>
            </w: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317,230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69,955</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56"/>
        </w:trPr>
        <w:tc>
          <w:tcPr>
            <w:tcW w:w="4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222,595</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198,783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23,812</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5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63"/>
        </w:trPr>
        <w:tc>
          <w:tcPr>
            <w:tcW w:w="4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140,063</w:t>
            </w:r>
          </w:p>
        </w:tc>
        <w:tc>
          <w:tcPr>
            <w:tcW w:w="12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124,963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15,100</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44"/>
        </w:trPr>
        <w:tc>
          <w:tcPr>
            <w:tcW w:w="4120" w:type="dxa"/>
            <w:vAlign w:val="bottom"/>
            <w:tcBorders>
              <w:bottom w:val="single" w:sz="8" w:color="CCEEFF"/>
            </w:tcBorders>
            <w:gridSpan w:val="2"/>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140,063</w:t>
            </w: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124,963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15,100</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56"/>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82,532</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8,712</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5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63"/>
        </w:trPr>
        <w:tc>
          <w:tcPr>
            <w:tcW w:w="4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 (loss) on derivative instrument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12,913</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r>
      <w:tr>
        <w:trPr>
          <w:trHeight w:val="257"/>
        </w:trPr>
        <w:tc>
          <w:tcPr>
            <w:tcW w:w="4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Foreign currency loss</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57"/>
        </w:trPr>
        <w:tc>
          <w:tcPr>
            <w:tcW w:w="4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net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50"/>
        </w:trPr>
        <w:tc>
          <w:tcPr>
            <w:tcW w:w="41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56"/>
        </w:trPr>
        <w:tc>
          <w:tcPr>
            <w:tcW w:w="4120" w:type="dxa"/>
            <w:vAlign w:val="bottom"/>
            <w:tcBorders>
              <w:top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10,439</w:t>
            </w:r>
          </w:p>
        </w:tc>
        <w:tc>
          <w:tcPr>
            <w:tcW w:w="12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13,471</w:t>
            </w: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5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92,971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63"/>
        </w:trPr>
        <w:tc>
          <w:tcPr>
            <w:tcW w:w="4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21,651</w:t>
            </w:r>
          </w:p>
        </w:tc>
        <w:tc>
          <w:tcPr>
            <w:tcW w:w="12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5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71,320</w:t>
            </w:r>
          </w:p>
        </w:tc>
        <w:tc>
          <w:tcPr>
            <w:tcW w:w="120" w:type="dxa"/>
            <w:vAlign w:val="bottom"/>
          </w:tcPr>
          <w:p>
            <w:pPr>
              <w:spacing w:after="0"/>
              <w:rPr>
                <w:sz w:val="21"/>
                <w:szCs w:val="21"/>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55,952</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15,368</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1"/>
        </w:trPr>
        <w:tc>
          <w:tcPr>
            <w:tcW w:w="12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55"/>
        </w:trPr>
        <w:tc>
          <w:tcPr>
            <w:tcW w:w="1220" w:type="dxa"/>
            <w:vAlign w:val="bottom"/>
            <w:tcBorders>
              <w:bottom w:val="single" w:sz="8" w:color="auto"/>
            </w:tcBorders>
          </w:tcPr>
          <w:p>
            <w:pPr>
              <w:spacing w:after="0"/>
              <w:rPr>
                <w:sz w:val="13"/>
                <w:szCs w:val="13"/>
                <w:color w:val="auto"/>
              </w:rPr>
            </w:pPr>
          </w:p>
        </w:tc>
        <w:tc>
          <w:tcPr>
            <w:tcW w:w="2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40" w:type="dxa"/>
            <w:vAlign w:val="bottom"/>
          </w:tcPr>
          <w:p>
            <w:pPr>
              <w:spacing w:after="0"/>
              <w:rPr>
                <w:sz w:val="13"/>
                <w:szCs w:val="13"/>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n/m—represents percentage calculated not being meaningful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a comparative summary of the Company’s net sales by operating segment and product category: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gridSpan w:val="3"/>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3"/>
            <w:vMerge w:val="restart"/>
          </w:tcPr>
          <w:p>
            <w:pPr>
              <w:ind w:left="1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vMerge w:val="continue"/>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tcBorders>
              <w:bottom w:val="single" w:sz="8" w:color="CCEEFF"/>
            </w:tcBorders>
            <w:shd w:val="clear" w:color="auto" w:fill="CCEEFF"/>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86"/>
        </w:trPr>
        <w:tc>
          <w:tcPr>
            <w:tcW w:w="49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Americas segment</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Vita Coco Coconut Water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424,319</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343,288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Private Label</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21,723</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137.3 %</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508,773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 segment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Vita Coco Coconut Water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71,943</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Private Label</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0" w:type="dxa"/>
            <w:vAlign w:val="bottom"/>
          </w:tcPr>
          <w:p>
            <w:pPr>
              <w:spacing w:after="0"/>
              <w:rPr>
                <w:sz w:val="1"/>
                <w:szCs w:val="1"/>
                <w:color w:val="auto"/>
              </w:rPr>
            </w:pPr>
          </w:p>
        </w:tc>
      </w:tr>
      <w:tr>
        <w:trPr>
          <w:trHeight w:val="223"/>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609,780</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516,013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93,767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color w:val="auto"/>
        </w:rPr>
        <w:t xml:space="preserve">The increase in net sales was driven by higher coconut water CE volumes across both the Americas and International segments, including </w:t>
      </w:r>
      <w:r>
        <w:rPr>
          <w:rFonts w:ascii="Times New Roman" w:cs="Times New Roman" w:eastAsia="Times New Roman" w:hAnsi="Times New Roman"/>
          <w:sz w:val="18"/>
          <w:szCs w:val="18"/>
          <w:i w:val="1"/>
          <w:iCs w:val="1"/>
          <w:color w:val="auto"/>
        </w:rPr>
        <w:t>Vita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Coco </w:t>
      </w:r>
      <w:r>
        <w:rPr>
          <w:rFonts w:ascii="Times New Roman" w:cs="Times New Roman" w:eastAsia="Times New Roman" w:hAnsi="Times New Roman"/>
          <w:sz w:val="18"/>
          <w:szCs w:val="18"/>
          <w:color w:val="auto"/>
        </w:rPr>
        <w:t>Coconut Water volume growth of 21.3% and increased</w:t>
      </w:r>
      <w:r>
        <w:rPr>
          <w:rFonts w:ascii="Times New Roman" w:cs="Times New Roman" w:eastAsia="Times New Roman" w:hAnsi="Times New Roman"/>
          <w:sz w:val="18"/>
          <w:szCs w:val="18"/>
          <w:i w:val="1"/>
          <w:iCs w:val="1"/>
          <w:color w:val="auto"/>
        </w:rPr>
        <w:t xml:space="preserve"> Vita Coco </w:t>
      </w:r>
      <w:r>
        <w:rPr>
          <w:rFonts w:ascii="Times New Roman" w:cs="Times New Roman" w:eastAsia="Times New Roman" w:hAnsi="Times New Roman"/>
          <w:sz w:val="18"/>
          <w:szCs w:val="18"/>
          <w:color w:val="auto"/>
        </w:rPr>
        <w:t>Coconut Water pricing, partially offset by reduced Private Label water volume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lost regions with key retailers.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Volume in Case Equivalent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provides a comparative summary of our volume in CE, by operating segment and product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180340</wp:posOffset>
            </wp:positionV>
            <wp:extent cx="44145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414520" cy="8255"/>
                    </a:xfrm>
                    <a:prstGeom prst="rect">
                      <a:avLst/>
                    </a:prstGeom>
                    <a:noFill/>
                  </pic:spPr>
                </pic:pic>
              </a:graphicData>
            </a:graphic>
          </wp:anchor>
        </w:drawing>
      </w:r>
    </w:p>
    <w:p>
      <w:pPr>
        <w:spacing w:after="0" w:line="27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Percentage Change - Year Ended December 31, 2025 vs. 2024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6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6"/>
                <w:szCs w:val="16"/>
                <w:b w:val="1"/>
                <w:bCs w:val="1"/>
                <w:color w:val="auto"/>
              </w:rPr>
              <w:t>Americas</w:t>
            </w:r>
          </w:p>
        </w:tc>
        <w:tc>
          <w:tcPr>
            <w:tcW w:w="7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260" w:type="dxa"/>
            <w:vAlign w:val="bottom"/>
            <w:tcBorders>
              <w:top w:val="single" w:sz="8" w:color="auto"/>
              <w:bottom w:val="single" w:sz="8" w:color="auto"/>
            </w:tcBorders>
          </w:tcPr>
          <w:p>
            <w:pPr>
              <w:jc w:val="right"/>
              <w:ind w:right="95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5"/>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Vita Coco Coconut Water</w:t>
            </w:r>
          </w:p>
        </w:tc>
        <w:tc>
          <w:tcPr>
            <w:tcW w:w="1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r>
      <w:tr>
        <w:trPr>
          <w:trHeight w:val="230"/>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Private Label</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178.2 %</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162.6 %</w:t>
            </w:r>
          </w:p>
        </w:tc>
      </w:tr>
      <w:tr>
        <w:trPr>
          <w:trHeight w:val="22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volume (CE)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r>
      <w:tr>
        <w:trPr>
          <w:trHeight w:val="20"/>
        </w:trPr>
        <w:tc>
          <w:tcPr>
            <w:tcW w:w="36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715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Note: A CE is a standard volume measure used by management which is defined as a case of 12 bottles of 330ml liquid beverages or the same liter volume of oil.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International Other excludes minor volume that is treated as zero CE.</w:t>
      </w:r>
    </w:p>
    <w:p>
      <w:pPr>
        <w:spacing w:after="0" w:line="3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Americas Segment</w:t>
      </w:r>
    </w:p>
    <w:p>
      <w:pPr>
        <w:spacing w:after="0" w:line="229" w:lineRule="exact"/>
        <w:rPr>
          <w:sz w:val="20"/>
          <w:szCs w:val="20"/>
          <w:color w:val="auto"/>
        </w:rPr>
      </w:pPr>
    </w:p>
    <w:p>
      <w:pPr>
        <w:ind w:right="540" w:firstLine="551"/>
        <w:spacing w:after="0" w:line="266" w:lineRule="auto"/>
        <w:rPr>
          <w:sz w:val="20"/>
          <w:szCs w:val="20"/>
          <w:color w:val="auto"/>
        </w:rPr>
      </w:pPr>
      <w:r>
        <w:rPr>
          <w:rFonts w:ascii="Times New Roman" w:cs="Times New Roman" w:eastAsia="Times New Roman" w:hAnsi="Times New Roman"/>
          <w:sz w:val="18"/>
          <w:szCs w:val="18"/>
          <w:color w:val="auto"/>
        </w:rPr>
        <w:t>Americas net sales increased $66.4 million, or 15.0%, primarily driven by CE volume growth of 11.2% with additional benefit from branded pricing. These increases were partially offset by a decline in Private Label sales in certain regions of key retailers.</w:t>
      </w:r>
    </w:p>
    <w:p>
      <w:pPr>
        <w:spacing w:after="0" w:line="160" w:lineRule="exact"/>
        <w:rPr>
          <w:sz w:val="20"/>
          <w:szCs w:val="20"/>
          <w:color w:val="auto"/>
        </w:rPr>
      </w:pPr>
    </w:p>
    <w:p>
      <w:pPr>
        <w:ind w:right="200" w:firstLine="55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Vita Coco </w:t>
      </w:r>
      <w:r>
        <w:rPr>
          <w:rFonts w:ascii="Times New Roman" w:cs="Times New Roman" w:eastAsia="Times New Roman" w:hAnsi="Times New Roman"/>
          <w:sz w:val="18"/>
          <w:szCs w:val="18"/>
          <w:color w:val="auto"/>
        </w:rPr>
        <w:t>Coconut Water net sales increased $81.0 million, or 23.6%, reflecting a combination of increased CE volume growth and benefits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pricing actions.</w:t>
      </w:r>
    </w:p>
    <w:p>
      <w:pPr>
        <w:spacing w:after="0" w:line="1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Private Label net sales decreased $27.2 million, or 30.2%, driven by CE volume decline of 26.4%, due to lost regions with key retailers.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Net Sales for Other products increased $12.6 million, or 137.3%, driven by CE volume increase of 178.2% as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Treats launched nationally.</w:t>
      </w:r>
    </w:p>
    <w:p>
      <w:pPr>
        <w:spacing w:after="0" w:line="31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International Segment</w:t>
      </w:r>
    </w:p>
    <w:p>
      <w:pPr>
        <w:spacing w:after="0" w:line="121" w:lineRule="exact"/>
        <w:rPr>
          <w:sz w:val="20"/>
          <w:szCs w:val="20"/>
          <w:color w:val="auto"/>
        </w:rPr>
      </w:pPr>
    </w:p>
    <w:p>
      <w:pPr>
        <w:ind w:firstLine="551"/>
        <w:spacing w:after="0" w:line="266" w:lineRule="auto"/>
        <w:rPr>
          <w:sz w:val="20"/>
          <w:szCs w:val="20"/>
          <w:color w:val="auto"/>
        </w:rPr>
      </w:pPr>
      <w:r>
        <w:rPr>
          <w:rFonts w:ascii="Times New Roman" w:cs="Times New Roman" w:eastAsia="Times New Roman" w:hAnsi="Times New Roman"/>
          <w:sz w:val="18"/>
          <w:szCs w:val="18"/>
          <w:color w:val="auto"/>
        </w:rPr>
        <w:t>International net sales increased $27.3 million, or 37.1%, driven by 33.7% CE volume growth, with notable growth in the United Kingdom ("U.K.") and Germany, in addition to benefits from net pricing actions.</w:t>
      </w:r>
    </w:p>
    <w:p>
      <w:pPr>
        <w:spacing w:after="0" w:line="160" w:lineRule="exact"/>
        <w:rPr>
          <w:sz w:val="20"/>
          <w:szCs w:val="20"/>
          <w:color w:val="auto"/>
        </w:rPr>
      </w:pPr>
    </w:p>
    <w:p>
      <w:pPr>
        <w:ind w:right="420" w:firstLine="55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Vita Coco </w:t>
      </w:r>
      <w:r>
        <w:rPr>
          <w:rFonts w:ascii="Times New Roman" w:cs="Times New Roman" w:eastAsia="Times New Roman" w:hAnsi="Times New Roman"/>
          <w:sz w:val="18"/>
          <w:szCs w:val="18"/>
          <w:color w:val="auto"/>
        </w:rPr>
        <w:t>Coconut Water net sales increased $21.6 million, or 43.0%, reflecting higher CE volume, primarily in Europe, and benefits from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actions.</w:t>
      </w:r>
    </w:p>
    <w:p>
      <w:pPr>
        <w:spacing w:after="0" w:line="147" w:lineRule="exact"/>
        <w:rPr>
          <w:sz w:val="20"/>
          <w:szCs w:val="20"/>
          <w:color w:val="auto"/>
        </w:rPr>
      </w:pPr>
    </w:p>
    <w:p>
      <w:pPr>
        <w:ind w:right="80" w:firstLine="551"/>
        <w:spacing w:after="0" w:line="266" w:lineRule="auto"/>
        <w:rPr>
          <w:sz w:val="20"/>
          <w:szCs w:val="20"/>
          <w:color w:val="auto"/>
        </w:rPr>
      </w:pPr>
      <w:r>
        <w:rPr>
          <w:rFonts w:ascii="Times New Roman" w:cs="Times New Roman" w:eastAsia="Times New Roman" w:hAnsi="Times New Roman"/>
          <w:sz w:val="18"/>
          <w:szCs w:val="18"/>
          <w:color w:val="auto"/>
        </w:rPr>
        <w:t>Private Label net sales increased $6.6 million, or 34.3%, primarily due to CE volume growth in Europe, partially offset by the loss of Private Label coconut oil sales in the Asia Pacific region.</w:t>
      </w:r>
    </w:p>
    <w:p>
      <w:pPr>
        <w:spacing w:after="0" w:line="174" w:lineRule="exact"/>
        <w:rPr>
          <w:sz w:val="20"/>
          <w:szCs w:val="20"/>
          <w:color w:val="auto"/>
        </w:rPr>
      </w:pPr>
    </w:p>
    <w:p>
      <w:pPr>
        <w:ind w:right="280" w:firstLine="551"/>
        <w:spacing w:after="0" w:line="268" w:lineRule="auto"/>
        <w:rPr>
          <w:sz w:val="20"/>
          <w:szCs w:val="20"/>
          <w:color w:val="auto"/>
        </w:rPr>
      </w:pPr>
      <w:r>
        <w:rPr>
          <w:rFonts w:ascii="Times New Roman" w:cs="Times New Roman" w:eastAsia="Times New Roman" w:hAnsi="Times New Roman"/>
          <w:sz w:val="18"/>
          <w:szCs w:val="18"/>
          <w:color w:val="auto"/>
        </w:rPr>
        <w:t xml:space="preserve">Net Sales for Other products decreased $0.9 million, or 22.7%, to $3.1 million driven primarily by the decrease in sales of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oil partially offset by the launch of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Treats.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20" w:type="dxa"/>
            <w:vAlign w:val="bottom"/>
            <w:gridSpan w:val="3"/>
          </w:tcPr>
          <w:p>
            <w:pPr>
              <w:jc w:val="right"/>
              <w:ind w:right="125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4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86"/>
        </w:trPr>
        <w:tc>
          <w:tcPr>
            <w:tcW w:w="4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3"/>
        </w:trPr>
        <w:tc>
          <w:tcPr>
            <w:tcW w:w="4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86"/>
        </w:trPr>
        <w:tc>
          <w:tcPr>
            <w:tcW w:w="4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3"/>
        </w:trPr>
        <w:tc>
          <w:tcPr>
            <w:tcW w:w="4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640" w:type="dxa"/>
            <w:vAlign w:val="bottom"/>
            <w:shd w:val="clear" w:color="auto" w:fill="CFF0FC"/>
          </w:tcPr>
          <w:p>
            <w:pPr>
              <w:spacing w:after="0"/>
              <w:rPr>
                <w:sz w:val="22"/>
                <w:szCs w:val="22"/>
                <w:color w:val="auto"/>
              </w:rPr>
            </w:pPr>
          </w:p>
        </w:tc>
      </w:tr>
      <w:tr>
        <w:trPr>
          <w:trHeight w:val="250"/>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Americas segment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321,464</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268,787</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52,677</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63"/>
        </w:trPr>
        <w:tc>
          <w:tcPr>
            <w:tcW w:w="47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International segment</w:t>
            </w:r>
          </w:p>
        </w:tc>
        <w:tc>
          <w:tcPr>
            <w:tcW w:w="3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65,721</w:t>
            </w:r>
          </w:p>
        </w:tc>
        <w:tc>
          <w:tcPr>
            <w:tcW w:w="100" w:type="dxa"/>
            <w:vAlign w:val="bottom"/>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48,443</w:t>
            </w:r>
          </w:p>
        </w:tc>
        <w:tc>
          <w:tcPr>
            <w:tcW w:w="100" w:type="dxa"/>
            <w:vAlign w:val="bottom"/>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17,278</w:t>
            </w:r>
          </w:p>
        </w:tc>
        <w:tc>
          <w:tcPr>
            <w:tcW w:w="80" w:type="dxa"/>
            <w:vAlign w:val="bottom"/>
            <w:tcBorders>
              <w:bottom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44"/>
        </w:trPr>
        <w:tc>
          <w:tcPr>
            <w:tcW w:w="47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cost of goods sold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387,185</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317,230</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69,955</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7"/>
        </w:trPr>
        <w:tc>
          <w:tcPr>
            <w:tcW w:w="474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top w:val="single" w:sz="8" w:color="auto"/>
              <w:bottom w:val="single" w:sz="8" w:color="auto"/>
            </w:tcBorders>
          </w:tcPr>
          <w:p>
            <w:pPr>
              <w:spacing w:after="0"/>
              <w:rPr>
                <w:sz w:val="2"/>
                <w:szCs w:val="2"/>
                <w:color w:val="auto"/>
              </w:rPr>
            </w:pPr>
          </w:p>
        </w:tc>
      </w:tr>
      <w:tr>
        <w:trPr>
          <w:trHeight w:val="236"/>
        </w:trPr>
        <w:tc>
          <w:tcPr>
            <w:tcW w:w="4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5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640" w:type="dxa"/>
            <w:vAlign w:val="bottom"/>
            <w:shd w:val="clear" w:color="auto" w:fill="CFF0FC"/>
          </w:tcPr>
          <w:p>
            <w:pPr>
              <w:spacing w:after="0"/>
              <w:rPr>
                <w:sz w:val="22"/>
                <w:szCs w:val="22"/>
                <w:color w:val="auto"/>
              </w:rPr>
            </w:pPr>
          </w:p>
        </w:tc>
      </w:tr>
      <w:tr>
        <w:trPr>
          <w:trHeight w:val="250"/>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Americas segment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187,309</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173,556</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13,753</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63"/>
        </w:trPr>
        <w:tc>
          <w:tcPr>
            <w:tcW w:w="47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International segment</w:t>
            </w:r>
          </w:p>
        </w:tc>
        <w:tc>
          <w:tcPr>
            <w:tcW w:w="3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35,286</w:t>
            </w:r>
          </w:p>
        </w:tc>
        <w:tc>
          <w:tcPr>
            <w:tcW w:w="100" w:type="dxa"/>
            <w:vAlign w:val="bottom"/>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25,227</w:t>
            </w:r>
          </w:p>
        </w:tc>
        <w:tc>
          <w:tcPr>
            <w:tcW w:w="100" w:type="dxa"/>
            <w:vAlign w:val="bottom"/>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10,059</w:t>
            </w:r>
          </w:p>
        </w:tc>
        <w:tc>
          <w:tcPr>
            <w:tcW w:w="80" w:type="dxa"/>
            <w:vAlign w:val="bottom"/>
            <w:tcBorders>
              <w:bottom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43"/>
        </w:trPr>
        <w:tc>
          <w:tcPr>
            <w:tcW w:w="47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gross profit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222,595</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198,783</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23,812</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7"/>
        </w:trPr>
        <w:tc>
          <w:tcPr>
            <w:tcW w:w="474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Gross margin (</w:t>
      </w:r>
      <w:r>
        <w:rPr>
          <w:rFonts w:ascii="Times New Roman" w:cs="Times New Roman" w:eastAsia="Times New Roman" w:hAnsi="Times New Roman"/>
          <w:sz w:val="14"/>
          <w:szCs w:val="14"/>
          <w:b w:val="1"/>
          <w:bCs w:val="1"/>
          <w:color w:val="auto"/>
        </w:rPr>
        <w:t>percentage of net sales</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Americas segment</w:t>
            </w:r>
          </w:p>
        </w:tc>
        <w:tc>
          <w:tcPr>
            <w:tcW w:w="30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36.8%</w:t>
            </w:r>
          </w:p>
        </w:tc>
        <w:tc>
          <w:tcPr>
            <w:tcW w:w="246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39.2%</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63"/>
        </w:trPr>
        <w:tc>
          <w:tcPr>
            <w:tcW w:w="3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International segment</w:t>
            </w:r>
          </w:p>
        </w:tc>
        <w:tc>
          <w:tcPr>
            <w:tcW w:w="302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34.9%</w:t>
            </w:r>
          </w:p>
        </w:tc>
        <w:tc>
          <w:tcPr>
            <w:tcW w:w="2460" w:type="dxa"/>
            <w:vAlign w:val="bottom"/>
            <w:shd w:val="clear" w:color="auto" w:fill="CFF0FC"/>
          </w:tcPr>
          <w:p>
            <w:pPr>
              <w:jc w:val="right"/>
              <w:ind w:right="1310"/>
              <w:spacing w:after="0"/>
              <w:rPr>
                <w:sz w:val="20"/>
                <w:szCs w:val="20"/>
                <w:color w:val="auto"/>
              </w:rPr>
            </w:pPr>
            <w:r>
              <w:rPr>
                <w:rFonts w:ascii="Times New Roman" w:cs="Times New Roman" w:eastAsia="Times New Roman" w:hAnsi="Times New Roman"/>
                <w:sz w:val="18"/>
                <w:szCs w:val="18"/>
                <w:color w:val="auto"/>
              </w:rPr>
              <w:t>34.2%</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38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Consolidated</w:t>
            </w:r>
          </w:p>
        </w:tc>
        <w:tc>
          <w:tcPr>
            <w:tcW w:w="30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36.5%</w:t>
            </w:r>
          </w:p>
        </w:tc>
        <w:tc>
          <w:tcPr>
            <w:tcW w:w="246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38.5%</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292" w:lineRule="exact"/>
        <w:rPr>
          <w:sz w:val="20"/>
          <w:szCs w:val="20"/>
          <w:color w:val="auto"/>
        </w:rPr>
      </w:pPr>
    </w:p>
    <w:p>
      <w:pPr>
        <w:ind w:right="160" w:firstLine="551"/>
        <w:spacing w:after="0" w:line="282" w:lineRule="auto"/>
        <w:rPr>
          <w:sz w:val="20"/>
          <w:szCs w:val="20"/>
          <w:color w:val="auto"/>
        </w:rPr>
      </w:pPr>
      <w:r>
        <w:rPr>
          <w:rFonts w:ascii="Times New Roman" w:cs="Times New Roman" w:eastAsia="Times New Roman" w:hAnsi="Times New Roman"/>
          <w:sz w:val="18"/>
          <w:szCs w:val="18"/>
          <w:color w:val="auto"/>
        </w:rPr>
        <w:t>On a consolidated basis, cost of goods sold increased $70.0 million, or 22.1%, driven predominantly by the CE volume increase and the impact of tariffs, in addition to cost increases for finished goods and domestic logistics costs.</w:t>
      </w:r>
    </w:p>
    <w:p>
      <w:pPr>
        <w:spacing w:after="0" w:line="173" w:lineRule="exact"/>
        <w:rPr>
          <w:sz w:val="20"/>
          <w:szCs w:val="20"/>
          <w:color w:val="auto"/>
        </w:rPr>
      </w:pPr>
    </w:p>
    <w:p>
      <w:pPr>
        <w:ind w:right="400" w:firstLine="551"/>
        <w:spacing w:after="0" w:line="251" w:lineRule="auto"/>
        <w:rPr>
          <w:sz w:val="20"/>
          <w:szCs w:val="20"/>
          <w:color w:val="auto"/>
        </w:rPr>
      </w:pPr>
      <w:r>
        <w:rPr>
          <w:rFonts w:ascii="Times New Roman" w:cs="Times New Roman" w:eastAsia="Times New Roman" w:hAnsi="Times New Roman"/>
          <w:sz w:val="18"/>
          <w:szCs w:val="18"/>
          <w:color w:val="auto"/>
        </w:rPr>
        <w:t xml:space="preserve">On a consolidated basis, gross profit increased by $23.8 million, or 12.0%, reflecting volume growth, net pricing improvement in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partially offset by tariffs, higher finished good product costs and domestic transportation costs. Gross margin decreased approximately 2.0% percentage points to 36.5% primarily due to increased product cost and the impact of tariffs, partially offset by the benefit of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pricing and favorable product mix due to lower Private Label volumes.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31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6"/>
                <w:szCs w:val="16"/>
                <w:color w:val="auto"/>
              </w:rPr>
            </w:pPr>
          </w:p>
        </w:tc>
        <w:tc>
          <w:tcPr>
            <w:tcW w:w="1740" w:type="dxa"/>
            <w:vAlign w:val="bottom"/>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tcPr>
          <w:p>
            <w:pPr>
              <w:spacing w:after="0"/>
              <w:rPr>
                <w:sz w:val="16"/>
                <w:szCs w:val="16"/>
                <w:color w:val="auto"/>
              </w:rPr>
            </w:pPr>
          </w:p>
        </w:tc>
      </w:tr>
      <w:tr>
        <w:trPr>
          <w:trHeight w:val="24"/>
        </w:trPr>
        <w:tc>
          <w:tcPr>
            <w:tcW w:w="49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4900" w:type="dxa"/>
            <w:vAlign w:val="bottom"/>
          </w:tcPr>
          <w:p>
            <w:pPr>
              <w:spacing w:after="0"/>
              <w:rPr>
                <w:sz w:val="16"/>
                <w:szCs w:val="16"/>
                <w:color w:val="auto"/>
              </w:rPr>
            </w:pPr>
          </w:p>
        </w:tc>
        <w:tc>
          <w:tcPr>
            <w:tcW w:w="146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4"/>
        </w:trPr>
        <w:tc>
          <w:tcPr>
            <w:tcW w:w="4900" w:type="dxa"/>
            <w:vAlign w:val="bottom"/>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4900" w:type="dxa"/>
            <w:vAlign w:val="bottom"/>
          </w:tcPr>
          <w:p>
            <w:pPr>
              <w:spacing w:after="0"/>
              <w:rPr>
                <w:sz w:val="16"/>
                <w:szCs w:val="16"/>
                <w:color w:val="auto"/>
              </w:rPr>
            </w:pPr>
          </w:p>
        </w:tc>
        <w:tc>
          <w:tcPr>
            <w:tcW w:w="2060" w:type="dxa"/>
            <w:vAlign w:val="bottom"/>
            <w:gridSpan w:val="3"/>
          </w:tcPr>
          <w:p>
            <w:pPr>
              <w:jc w:val="center"/>
              <w:ind w:left="90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6"/>
                <w:szCs w:val="16"/>
                <w:color w:val="auto"/>
              </w:rPr>
            </w:pPr>
          </w:p>
        </w:tc>
      </w:tr>
      <w:tr>
        <w:trPr>
          <w:trHeight w:val="24"/>
        </w:trPr>
        <w:tc>
          <w:tcPr>
            <w:tcW w:w="4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6"/>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140,063</w:t>
            </w:r>
          </w:p>
        </w:tc>
        <w:tc>
          <w:tcPr>
            <w:tcW w:w="120" w:type="dxa"/>
            <w:vAlign w:val="bottom"/>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124,963</w:t>
            </w:r>
          </w:p>
        </w:tc>
        <w:tc>
          <w:tcPr>
            <w:tcW w:w="100" w:type="dxa"/>
            <w:vAlign w:val="bottom"/>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15,100</w:t>
            </w:r>
          </w:p>
        </w:tc>
        <w:tc>
          <w:tcPr>
            <w:tcW w:w="100" w:type="dxa"/>
            <w:vAlign w:val="bottom"/>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08" w:lineRule="exact"/>
        <w:rPr>
          <w:sz w:val="20"/>
          <w:szCs w:val="20"/>
          <w:color w:val="auto"/>
        </w:rPr>
      </w:pPr>
    </w:p>
    <w:p>
      <w:pPr>
        <w:jc w:val="both"/>
        <w:ind w:right="80" w:firstLine="551"/>
        <w:spacing w:after="0" w:line="258" w:lineRule="auto"/>
        <w:rPr>
          <w:sz w:val="20"/>
          <w:szCs w:val="20"/>
          <w:color w:val="auto"/>
        </w:rPr>
      </w:pPr>
      <w:r>
        <w:rPr>
          <w:rFonts w:ascii="Times New Roman" w:cs="Times New Roman" w:eastAsia="Times New Roman" w:hAnsi="Times New Roman"/>
          <w:sz w:val="18"/>
          <w:szCs w:val="18"/>
          <w:color w:val="auto"/>
        </w:rPr>
        <w:t>Selling, General &amp; Administrative ("SG&amp;A") expense increased by $15.1 million, or 12.1%, primarily driven by higher personnel-related expenses of $11.0 million, increased marketing spend of $3.0 million, $1.3 million additional charitable contributions, and $1.2 million of overlapping rent expense for the New York office transition. These increases were partially offset by a $2.7 million reduction in sales-related expenses.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460" w:type="dxa"/>
            <w:vAlign w:val="bottom"/>
            <w:gridSpan w:val="4"/>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80" w:type="dxa"/>
            <w:vAlign w:val="bottom"/>
          </w:tcPr>
          <w:p>
            <w:pPr>
              <w:spacing w:after="0"/>
              <w:rPr>
                <w:sz w:val="16"/>
                <w:szCs w:val="16"/>
                <w:color w:val="auto"/>
              </w:rPr>
            </w:pPr>
          </w:p>
        </w:tc>
      </w:tr>
      <w:tr>
        <w:trPr>
          <w:trHeight w:val="23"/>
        </w:trPr>
        <w:tc>
          <w:tcPr>
            <w:tcW w:w="12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6"/>
        </w:trPr>
        <w:tc>
          <w:tcPr>
            <w:tcW w:w="12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3"/>
        </w:trPr>
        <w:tc>
          <w:tcPr>
            <w:tcW w:w="12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6"/>
        </w:trPr>
        <w:tc>
          <w:tcPr>
            <w:tcW w:w="12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80" w:type="dxa"/>
            <w:vAlign w:val="bottom"/>
            <w:gridSpan w:val="3"/>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Pr>
          <w:p>
            <w:pPr>
              <w:spacing w:after="0"/>
              <w:rPr>
                <w:sz w:val="16"/>
                <w:szCs w:val="16"/>
                <w:color w:val="auto"/>
              </w:rPr>
            </w:pPr>
          </w:p>
        </w:tc>
      </w:tr>
      <w:tr>
        <w:trPr>
          <w:trHeight w:val="23"/>
        </w:trPr>
        <w:tc>
          <w:tcPr>
            <w:tcW w:w="12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4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gain/(loss) on derivative instruments</w:t>
            </w:r>
          </w:p>
        </w:tc>
        <w:tc>
          <w:tcPr>
            <w:tcW w:w="880" w:type="dxa"/>
            <w:vAlign w:val="bottom"/>
            <w:shd w:val="clear" w:color="auto" w:fill="CFF0FC"/>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4,737</w:t>
            </w:r>
          </w:p>
        </w:tc>
        <w:tc>
          <w:tcPr>
            <w:tcW w:w="100" w:type="dxa"/>
            <w:vAlign w:val="bottom"/>
            <w:shd w:val="clear" w:color="auto" w:fill="CFF0FC"/>
          </w:tcPr>
          <w:p>
            <w:pPr>
              <w:spacing w:after="0"/>
              <w:rPr>
                <w:sz w:val="22"/>
                <w:szCs w:val="22"/>
                <w:color w:val="auto"/>
              </w:rPr>
            </w:pPr>
          </w:p>
        </w:tc>
        <w:tc>
          <w:tcPr>
            <w:tcW w:w="900" w:type="dxa"/>
            <w:vAlign w:val="bottom"/>
            <w:shd w:val="clear" w:color="auto" w:fill="CFF0FC"/>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(8,176)</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12,913</w:t>
            </w:r>
          </w:p>
        </w:tc>
        <w:tc>
          <w:tcPr>
            <w:tcW w:w="1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50"/>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loss</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63"/>
        </w:trPr>
        <w:tc>
          <w:tcPr>
            <w:tcW w:w="4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88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10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57"/>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88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2"/>
                <w:szCs w:val="22"/>
                <w:color w:val="auto"/>
              </w:rPr>
            </w:pPr>
          </w:p>
        </w:tc>
        <w:tc>
          <w:tcPr>
            <w:tcW w:w="9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75"/>
        </w:trPr>
        <w:tc>
          <w:tcPr>
            <w:tcW w:w="4880" w:type="dxa"/>
            <w:vAlign w:val="bottom"/>
            <w:tcBorders>
              <w:top w:val="single" w:sz="8" w:color="CFF0FC"/>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80" w:type="dxa"/>
            <w:vAlign w:val="bottom"/>
            <w:tcBorders>
              <w:top w:val="single" w:sz="8" w:color="auto"/>
              <w:bottom w:val="single" w:sz="8" w:color="auto"/>
            </w:tcBorders>
            <w:shd w:val="clear" w:color="auto" w:fill="CFF0FC"/>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10,439</w:t>
            </w:r>
          </w:p>
        </w:tc>
        <w:tc>
          <w:tcPr>
            <w:tcW w:w="100" w:type="dxa"/>
            <w:vAlign w:val="bottom"/>
            <w:tcBorders>
              <w:top w:val="single" w:sz="8" w:color="CFF0FC"/>
              <w:bottom w:val="single" w:sz="8" w:color="CFF0FC"/>
            </w:tcBorders>
            <w:shd w:val="clear" w:color="auto" w:fill="CFF0FC"/>
          </w:tcPr>
          <w:p>
            <w:pPr>
              <w:spacing w:after="0"/>
              <w:rPr>
                <w:sz w:val="23"/>
                <w:szCs w:val="23"/>
                <w:color w:val="auto"/>
              </w:rPr>
            </w:pPr>
          </w:p>
        </w:tc>
        <w:tc>
          <w:tcPr>
            <w:tcW w:w="900" w:type="dxa"/>
            <w:vAlign w:val="bottom"/>
            <w:tcBorders>
              <w:top w:val="single" w:sz="8" w:color="auto"/>
              <w:bottom w:val="single" w:sz="8" w:color="auto"/>
            </w:tcBorders>
            <w:shd w:val="clear" w:color="auto" w:fill="CFF0FC"/>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(3,032)</w:t>
            </w:r>
          </w:p>
        </w:tc>
        <w:tc>
          <w:tcPr>
            <w:tcW w:w="120" w:type="dxa"/>
            <w:vAlign w:val="bottom"/>
            <w:tcBorders>
              <w:top w:val="single" w:sz="8" w:color="CFF0FC"/>
              <w:bottom w:val="single" w:sz="8" w:color="CFF0FC"/>
            </w:tcBorders>
            <w:shd w:val="clear" w:color="auto" w:fill="CFF0FC"/>
          </w:tcPr>
          <w:p>
            <w:pPr>
              <w:spacing w:after="0"/>
              <w:rPr>
                <w:sz w:val="23"/>
                <w:szCs w:val="23"/>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13,471</w:t>
            </w:r>
          </w:p>
        </w:tc>
        <w:tc>
          <w:tcPr>
            <w:tcW w:w="100" w:type="dxa"/>
            <w:vAlign w:val="bottom"/>
            <w:tcBorders>
              <w:top w:val="single" w:sz="8" w:color="CFF0FC"/>
              <w:bottom w:val="single" w:sz="8" w:color="CFF0FC"/>
            </w:tcBorders>
            <w:shd w:val="clear" w:color="auto" w:fill="CFF0FC"/>
          </w:tcPr>
          <w:p>
            <w:pPr>
              <w:spacing w:after="0"/>
              <w:rPr>
                <w:sz w:val="23"/>
                <w:szCs w:val="23"/>
                <w:color w:val="auto"/>
              </w:rPr>
            </w:pPr>
          </w:p>
        </w:tc>
        <w:tc>
          <w:tcPr>
            <w:tcW w:w="380" w:type="dxa"/>
            <w:vAlign w:val="bottom"/>
            <w:tcBorders>
              <w:top w:val="single" w:sz="8" w:color="auto"/>
              <w:bottom w:val="single" w:sz="8" w:color="auto"/>
            </w:tcBorders>
            <w:shd w:val="clear" w:color="auto" w:fill="CFF0FC"/>
          </w:tcPr>
          <w:p>
            <w:pPr>
              <w:spacing w:after="0"/>
              <w:rPr>
                <w:sz w:val="23"/>
                <w:szCs w:val="23"/>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1220" w:type="dxa"/>
            <w:vAlign w:val="bottom"/>
            <w:tcBorders>
              <w:top w:val="single" w:sz="8" w:color="CFF0FC"/>
            </w:tcBorders>
          </w:tcPr>
          <w:p>
            <w:pPr>
              <w:spacing w:after="0" w:line="20" w:lineRule="exact"/>
              <w:rPr>
                <w:sz w:val="1"/>
                <w:szCs w:val="1"/>
                <w:color w:val="auto"/>
              </w:rPr>
            </w:pPr>
          </w:p>
        </w:tc>
        <w:tc>
          <w:tcPr>
            <w:tcW w:w="36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r>
      <w:tr>
        <w:trPr>
          <w:trHeight w:val="149"/>
        </w:trPr>
        <w:tc>
          <w:tcPr>
            <w:tcW w:w="1220" w:type="dxa"/>
            <w:vAlign w:val="bottom"/>
            <w:tcBorders>
              <w:bottom w:val="single" w:sz="8" w:color="auto"/>
            </w:tcBorders>
          </w:tcPr>
          <w:p>
            <w:pPr>
              <w:spacing w:after="0"/>
              <w:rPr>
                <w:sz w:val="13"/>
                <w:szCs w:val="13"/>
                <w:color w:val="auto"/>
              </w:rPr>
            </w:pPr>
          </w:p>
        </w:tc>
        <w:tc>
          <w:tcPr>
            <w:tcW w:w="3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n/m—represents percentage calculated not being meaningful</w:t>
      </w:r>
    </w:p>
    <w:p>
      <w:pPr>
        <w:spacing w:after="0" w:line="2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Unrealized Gain/(Loss) on Derivative Instruments</w:t>
      </w:r>
    </w:p>
    <w:p>
      <w:pPr>
        <w:spacing w:after="0" w:line="121" w:lineRule="exact"/>
        <w:rPr>
          <w:sz w:val="20"/>
          <w:szCs w:val="20"/>
          <w:color w:val="auto"/>
        </w:rPr>
      </w:pPr>
    </w:p>
    <w:p>
      <w:pPr>
        <w:ind w:right="180" w:firstLine="551"/>
        <w:spacing w:after="0" w:line="244" w:lineRule="auto"/>
        <w:rPr>
          <w:sz w:val="20"/>
          <w:szCs w:val="20"/>
          <w:color w:val="auto"/>
        </w:rPr>
      </w:pPr>
      <w:r>
        <w:rPr>
          <w:rFonts w:ascii="Times New Roman" w:cs="Times New Roman" w:eastAsia="Times New Roman" w:hAnsi="Times New Roman"/>
          <w:sz w:val="18"/>
          <w:szCs w:val="18"/>
          <w:color w:val="auto"/>
        </w:rPr>
        <w:t>For the year ended December 31, 2025, we recorded an unrealized gain of $4.7 million related to mark-to-market changes on outstanding forward foreign currency exchange contracts, with the gains related to contracts hedging the Brazilian real and Thai baht, partially offset by losses on the British Pound, Euro, and Canadian dollar. During the year ended December 31, 2024, we recorded an unrealized loss of $8.2 million, primarily related to outstanding forward foreign currency exchange contracts hedging the Brazilian real, partially offset by gains on the British Pound, Euro, and Canadian dollar. All forward foreign currency exchange contracts were entered into to hedge exposures to the British pound, Canadian dollar, Brazilian real, Malaysian ringgit, Euro, and Thai baht.</w:t>
      </w:r>
    </w:p>
    <w:p>
      <w:pPr>
        <w:spacing w:after="0" w:line="2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Gain/(Loss)</w:t>
      </w:r>
    </w:p>
    <w:p>
      <w:pPr>
        <w:spacing w:after="0" w:line="108" w:lineRule="exact"/>
        <w:rPr>
          <w:sz w:val="20"/>
          <w:szCs w:val="20"/>
          <w:color w:val="auto"/>
        </w:rPr>
      </w:pPr>
    </w:p>
    <w:p>
      <w:pPr>
        <w:ind w:right="640" w:firstLine="551"/>
        <w:spacing w:after="0" w:line="266" w:lineRule="auto"/>
        <w:rPr>
          <w:sz w:val="20"/>
          <w:szCs w:val="20"/>
          <w:color w:val="auto"/>
        </w:rPr>
      </w:pPr>
      <w:r>
        <w:rPr>
          <w:rFonts w:ascii="Times New Roman" w:cs="Times New Roman" w:eastAsia="Times New Roman" w:hAnsi="Times New Roman"/>
          <w:sz w:val="18"/>
          <w:szCs w:val="18"/>
          <w:color w:val="auto"/>
        </w:rPr>
        <w:t>Foreign currency loss was $1.0 million, compared to a $1.6 million loss for the prior year driven by movements in various foreign currency exchange rates on transactions denominated in currencies other than the functional currency.</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income decreased by $0.2 million, to $6.5 million due to the decline in interest rates, partially offset by increased investment balances.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income of $0.2 million in the year ended December 31, 2025, resulted from the sale of intellectual property.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gridSpan w:val="4"/>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Pr>
          <w:p>
            <w:pPr>
              <w:spacing w:after="0"/>
              <w:rPr>
                <w:sz w:val="16"/>
                <w:szCs w:val="16"/>
                <w:color w:val="auto"/>
              </w:rPr>
            </w:pPr>
          </w:p>
        </w:tc>
      </w:tr>
      <w:tr>
        <w:trPr>
          <w:trHeight w:val="23"/>
        </w:trPr>
        <w:tc>
          <w:tcPr>
            <w:tcW w:w="4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4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3"/>
        </w:trPr>
        <w:tc>
          <w:tcPr>
            <w:tcW w:w="4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4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gridSpan w:val="3"/>
          </w:tcPr>
          <w:p>
            <w:pPr>
              <w:jc w:val="center"/>
              <w:ind w:left="6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6"/>
                <w:szCs w:val="16"/>
                <w:color w:val="auto"/>
              </w:rPr>
            </w:pPr>
          </w:p>
        </w:tc>
      </w:tr>
      <w:tr>
        <w:trPr>
          <w:trHeight w:val="23"/>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21,651</w:t>
            </w:r>
          </w:p>
        </w:tc>
        <w:tc>
          <w:tcPr>
            <w:tcW w:w="100" w:type="dxa"/>
            <w:vAlign w:val="bottom"/>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14,836</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6,815</w:t>
            </w:r>
          </w:p>
        </w:tc>
        <w:tc>
          <w:tcPr>
            <w:tcW w:w="1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Rate</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40" w:firstLine="551"/>
        <w:spacing w:after="0" w:line="282" w:lineRule="auto"/>
        <w:rPr>
          <w:sz w:val="20"/>
          <w:szCs w:val="20"/>
          <w:color w:val="auto"/>
        </w:rPr>
      </w:pPr>
      <w:r>
        <w:rPr>
          <w:rFonts w:ascii="Times New Roman" w:cs="Times New Roman" w:eastAsia="Times New Roman" w:hAnsi="Times New Roman"/>
          <w:sz w:val="18"/>
          <w:szCs w:val="18"/>
          <w:color w:val="auto"/>
        </w:rPr>
        <w:t>Income tax expense was $21.7 million in the year ended December 31, 2025 compared to $14.8 million in the prior year. The effective combined federal, state, and foreign tax rate increased to 23.3% from 21.0% for the years ended December 31, 2025 and 2024, respectively.</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right="200" w:firstLine="551"/>
        <w:spacing w:after="0" w:line="258" w:lineRule="auto"/>
        <w:rPr>
          <w:sz w:val="20"/>
          <w:szCs w:val="20"/>
          <w:color w:val="auto"/>
        </w:rPr>
      </w:pPr>
      <w:r>
        <w:rPr>
          <w:rFonts w:ascii="Times New Roman" w:cs="Times New Roman" w:eastAsia="Times New Roman" w:hAnsi="Times New Roman"/>
          <w:sz w:val="18"/>
          <w:szCs w:val="18"/>
          <w:color w:val="auto"/>
        </w:rPr>
        <w:t>The effective tax rate for the year ended December 31, 2025 exceeded the U.S. federal statutory rate of 21% primarily due to state income taxes, and permanently nondeductible compensation costs, partially offset by tax benefits associated with windfall deductions recognized during the year. Other nondeductible expenses and discrete tax items also contributed to the higher effective tax rate.</w:t>
      </w:r>
    </w:p>
    <w:p>
      <w:pPr>
        <w:spacing w:after="0" w:line="2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08" w:lineRule="exact"/>
        <w:rPr>
          <w:sz w:val="20"/>
          <w:szCs w:val="20"/>
          <w:color w:val="auto"/>
        </w:rPr>
      </w:pPr>
    </w:p>
    <w:p>
      <w:pPr>
        <w:ind w:right="160" w:firstLine="551"/>
        <w:spacing w:after="0" w:line="250" w:lineRule="auto"/>
        <w:rPr>
          <w:sz w:val="20"/>
          <w:szCs w:val="20"/>
          <w:color w:val="auto"/>
        </w:rPr>
      </w:pPr>
      <w:r>
        <w:rPr>
          <w:rFonts w:ascii="Times New Roman" w:cs="Times New Roman" w:eastAsia="Times New Roman" w:hAnsi="Times New Roman"/>
          <w:sz w:val="18"/>
          <w:szCs w:val="18"/>
          <w:color w:val="auto"/>
        </w:rPr>
        <w:t>EBITDA and Adjusted EBITDA are supplemental non-GAAP financial measures that are used by management and external users of our financial statements, such as industry analysts, investors and lenders. These non-GAAP measures should not be considered as alternatives to net income as a measure of financial performance or cash flows from operations as a measure of liquidity, or any other performance measure derived in accordance with GAAP and should not be construed as an inference that our future results will be unaffected by unusual or non-recurring items.</w:t>
      </w:r>
    </w:p>
    <w:p>
      <w:pPr>
        <w:spacing w:after="0" w:line="191" w:lineRule="exact"/>
        <w:rPr>
          <w:sz w:val="20"/>
          <w:szCs w:val="20"/>
          <w:color w:val="auto"/>
        </w:rPr>
      </w:pPr>
    </w:p>
    <w:p>
      <w:pPr>
        <w:jc w:val="both"/>
        <w:ind w:right="100" w:firstLine="551"/>
        <w:spacing w:after="0" w:line="250" w:lineRule="auto"/>
        <w:rPr>
          <w:sz w:val="20"/>
          <w:szCs w:val="20"/>
          <w:color w:val="auto"/>
        </w:rPr>
      </w:pPr>
      <w:r>
        <w:rPr>
          <w:rFonts w:ascii="Times New Roman" w:cs="Times New Roman" w:eastAsia="Times New Roman" w:hAnsi="Times New Roman"/>
          <w:sz w:val="18"/>
          <w:szCs w:val="18"/>
          <w:color w:val="auto"/>
        </w:rPr>
        <w:t>These non-GAAP measures are key metrics used by management and our Board, to assess our financial performance. We present these non-GAAP measures because we believe they assist investors in comparing our performance across reporting periods on a consistent basis by excluding items that we do not believe are indicative of our core operating performance and because we believe it is useful for investors to see the measures that management uses to evaluate the Company.</w:t>
      </w:r>
    </w:p>
    <w:p>
      <w:pPr>
        <w:spacing w:after="0" w:line="177" w:lineRule="exact"/>
        <w:rPr>
          <w:sz w:val="20"/>
          <w:szCs w:val="20"/>
          <w:color w:val="auto"/>
        </w:rPr>
      </w:pPr>
    </w:p>
    <w:p>
      <w:pPr>
        <w:ind w:right="20" w:firstLine="551"/>
        <w:spacing w:after="0" w:line="258" w:lineRule="auto"/>
        <w:rPr>
          <w:sz w:val="20"/>
          <w:szCs w:val="20"/>
          <w:color w:val="auto"/>
        </w:rPr>
      </w:pPr>
      <w:r>
        <w:rPr>
          <w:rFonts w:ascii="Times New Roman" w:cs="Times New Roman" w:eastAsia="Times New Roman" w:hAnsi="Times New Roman"/>
          <w:sz w:val="18"/>
          <w:szCs w:val="18"/>
          <w:color w:val="auto"/>
        </w:rPr>
        <w:t>We define EBITDA as net income before interest, taxes, depreciation, and amortization. Adjusted EBITDA is defined as EBITDA with adjustments to eliminate the impact of certain items, including certain non-cash and other items, that we do not consider representative of our ongoing operating performance.</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reconciliation from net income to EBITDA and Adjusted EBITDA is set forth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2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250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6"/>
                <w:szCs w:val="16"/>
                <w:color w:val="auto"/>
              </w:rPr>
            </w:pPr>
          </w:p>
        </w:tc>
      </w:tr>
      <w:tr>
        <w:trPr>
          <w:trHeight w:val="23"/>
        </w:trPr>
        <w:tc>
          <w:tcPr>
            <w:tcW w:w="12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6"/>
        </w:trPr>
        <w:tc>
          <w:tcPr>
            <w:tcW w:w="122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r>
      <w:tr>
        <w:trPr>
          <w:trHeight w:val="23"/>
        </w:trPr>
        <w:tc>
          <w:tcPr>
            <w:tcW w:w="12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6"/>
        </w:trPr>
        <w:tc>
          <w:tcPr>
            <w:tcW w:w="122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gridSpan w:val="3"/>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6"/>
                <w:szCs w:val="16"/>
                <w:color w:val="auto"/>
              </w:rPr>
            </w:pPr>
          </w:p>
        </w:tc>
      </w:tr>
      <w:tr>
        <w:trPr>
          <w:trHeight w:val="23"/>
        </w:trPr>
        <w:tc>
          <w:tcPr>
            <w:tcW w:w="12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7"/>
        </w:trPr>
        <w:tc>
          <w:tcPr>
            <w:tcW w:w="8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FF0FC"/>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71,320</w:t>
            </w:r>
          </w:p>
        </w:tc>
        <w:tc>
          <w:tcPr>
            <w:tcW w:w="120" w:type="dxa"/>
            <w:vAlign w:val="bottom"/>
            <w:shd w:val="clear" w:color="auto" w:fill="CFF0FC"/>
          </w:tcPr>
          <w:p>
            <w:pPr>
              <w:spacing w:after="0"/>
              <w:rPr>
                <w:sz w:val="22"/>
                <w:szCs w:val="22"/>
                <w:color w:val="auto"/>
              </w:rPr>
            </w:pPr>
          </w:p>
        </w:tc>
        <w:tc>
          <w:tcPr>
            <w:tcW w:w="900" w:type="dxa"/>
            <w:vAlign w:val="bottom"/>
            <w:shd w:val="clear" w:color="auto" w:fill="CFF0FC"/>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55,952</w:t>
            </w:r>
          </w:p>
        </w:tc>
      </w:tr>
      <w:tr>
        <w:trPr>
          <w:trHeight w:val="25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63"/>
        </w:trPr>
        <w:tc>
          <w:tcPr>
            <w:tcW w:w="8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1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(6,715)</w:t>
            </w:r>
          </w:p>
        </w:tc>
      </w:tr>
      <w:tr>
        <w:trPr>
          <w:trHeight w:val="250"/>
        </w:trPr>
        <w:tc>
          <w:tcPr>
            <w:tcW w:w="816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21,651</w:t>
            </w:r>
          </w:p>
        </w:tc>
        <w:tc>
          <w:tcPr>
            <w:tcW w:w="120" w:type="dxa"/>
            <w:vAlign w:val="bottom"/>
            <w:tcBorders>
              <w:bottom w:val="single" w:sz="8" w:color="CFF0FC"/>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14,836</w:t>
            </w:r>
          </w:p>
        </w:tc>
      </w:tr>
      <w:tr>
        <w:trPr>
          <w:trHeight w:val="256"/>
        </w:trPr>
        <w:tc>
          <w:tcPr>
            <w:tcW w:w="81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87,495</w:t>
            </w:r>
          </w:p>
        </w:tc>
        <w:tc>
          <w:tcPr>
            <w:tcW w:w="1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64,818</w:t>
            </w:r>
          </w:p>
        </w:tc>
      </w:tr>
      <w:tr>
        <w:trPr>
          <w:trHeight w:val="25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 (a)</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10,843</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8,922</w:t>
            </w:r>
          </w:p>
        </w:tc>
      </w:tr>
      <w:tr>
        <w:trPr>
          <w:trHeight w:val="263"/>
        </w:trPr>
        <w:tc>
          <w:tcPr>
            <w:tcW w:w="8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(gain)/loss on derivative instruments (b)</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(4,737)</w:t>
            </w:r>
          </w:p>
        </w:tc>
        <w:tc>
          <w:tcPr>
            <w:tcW w:w="1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8,176</w:t>
            </w:r>
          </w:p>
        </w:tc>
      </w:tr>
      <w:tr>
        <w:trPr>
          <w:trHeight w:val="25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(gain)/loss (b)</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r>
      <w:tr>
        <w:trPr>
          <w:trHeight w:val="263"/>
        </w:trPr>
        <w:tc>
          <w:tcPr>
            <w:tcW w:w="8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Secondary offering costs (c)</w:t>
            </w:r>
          </w:p>
        </w:tc>
        <w:tc>
          <w:tcPr>
            <w:tcW w:w="90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50"/>
        </w:trPr>
        <w:tc>
          <w:tcPr>
            <w:tcW w:w="816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adjustments (d)</w:t>
            </w:r>
          </w:p>
        </w:tc>
        <w:tc>
          <w:tcPr>
            <w:tcW w:w="90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20" w:type="dxa"/>
            <w:vAlign w:val="bottom"/>
            <w:tcBorders>
              <w:bottom w:val="single" w:sz="8" w:color="CFF0FC"/>
            </w:tcBorders>
          </w:tcPr>
          <w:p>
            <w:pPr>
              <w:spacing w:after="0"/>
              <w:rPr>
                <w:sz w:val="21"/>
                <w:szCs w:val="21"/>
                <w:color w:val="auto"/>
              </w:rPr>
            </w:pPr>
          </w:p>
        </w:tc>
        <w:tc>
          <w:tcPr>
            <w:tcW w:w="90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75"/>
        </w:trPr>
        <w:tc>
          <w:tcPr>
            <w:tcW w:w="8160" w:type="dxa"/>
            <w:vAlign w:val="bottom"/>
            <w:tcBorders>
              <w:bottom w:val="single" w:sz="8" w:color="CFF0FC"/>
            </w:tcBorders>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00" w:type="dxa"/>
            <w:vAlign w:val="bottom"/>
            <w:tcBorders>
              <w:bottom w:val="single" w:sz="8" w:color="auto"/>
            </w:tcBorders>
            <w:shd w:val="clear" w:color="auto" w:fill="CFF0FC"/>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98,241</w:t>
            </w:r>
          </w:p>
        </w:tc>
        <w:tc>
          <w:tcPr>
            <w:tcW w:w="120" w:type="dxa"/>
            <w:vAlign w:val="bottom"/>
            <w:tcBorders>
              <w:bottom w:val="single" w:sz="8" w:color="CFF0FC"/>
            </w:tcBorders>
            <w:shd w:val="clear" w:color="auto" w:fill="CFF0FC"/>
          </w:tcPr>
          <w:p>
            <w:pPr>
              <w:spacing w:after="0"/>
              <w:rPr>
                <w:sz w:val="23"/>
                <w:szCs w:val="23"/>
                <w:color w:val="auto"/>
              </w:rPr>
            </w:pPr>
          </w:p>
        </w:tc>
        <w:tc>
          <w:tcPr>
            <w:tcW w:w="900" w:type="dxa"/>
            <w:vAlign w:val="bottom"/>
            <w:tcBorders>
              <w:bottom w:val="single" w:sz="8" w:color="auto"/>
            </w:tcBorders>
            <w:shd w:val="clear" w:color="auto" w:fill="CFF0FC"/>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84,127</w:t>
            </w:r>
          </w:p>
        </w:tc>
      </w:tr>
      <w:tr>
        <w:trPr>
          <w:trHeight w:val="20"/>
        </w:trPr>
        <w:tc>
          <w:tcPr>
            <w:tcW w:w="1220" w:type="dxa"/>
            <w:vAlign w:val="bottom"/>
            <w:tcBorders>
              <w:top w:val="single" w:sz="8" w:color="CFF0FC"/>
            </w:tcBorders>
          </w:tcPr>
          <w:p>
            <w:pPr>
              <w:spacing w:after="0" w:line="20" w:lineRule="exact"/>
              <w:rPr>
                <w:sz w:val="1"/>
                <w:szCs w:val="1"/>
                <w:color w:val="auto"/>
              </w:rPr>
            </w:pPr>
          </w:p>
        </w:tc>
        <w:tc>
          <w:tcPr>
            <w:tcW w:w="69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r>
      <w:tr>
        <w:trPr>
          <w:trHeight w:val="170"/>
        </w:trPr>
        <w:tc>
          <w:tcPr>
            <w:tcW w:w="1220" w:type="dxa"/>
            <w:vAlign w:val="bottom"/>
            <w:tcBorders>
              <w:bottom w:val="single" w:sz="8" w:color="auto"/>
            </w:tcBorders>
          </w:tcPr>
          <w:p>
            <w:pPr>
              <w:spacing w:after="0"/>
              <w:rPr>
                <w:sz w:val="14"/>
                <w:szCs w:val="14"/>
                <w:color w:val="auto"/>
              </w:rPr>
            </w:pPr>
          </w:p>
        </w:tc>
        <w:tc>
          <w:tcPr>
            <w:tcW w:w="6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r>
    </w:tbl>
    <w:p>
      <w:pPr>
        <w:spacing w:after="0" w:line="76" w:lineRule="exact"/>
        <w:rPr>
          <w:sz w:val="20"/>
          <w:szCs w:val="20"/>
          <w:color w:val="auto"/>
        </w:rPr>
      </w:pPr>
    </w:p>
    <w:p>
      <w:pPr>
        <w:ind w:left="500" w:right="280" w:hanging="492"/>
        <w:spacing w:after="0" w:line="246" w:lineRule="auto"/>
        <w:tabs>
          <w:tab w:leader="none" w:pos="49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charges related to stock-based compensation, which vary from period to period depending on volume and vesting timing of awards and forfeitures. We adjusted for these charges to facilitate comparison from period to period.</w:t>
      </w:r>
    </w:p>
    <w:p>
      <w:pPr>
        <w:ind w:left="500" w:right="620" w:hanging="492"/>
        <w:spacing w:after="0" w:line="242" w:lineRule="auto"/>
        <w:tabs>
          <w:tab w:leader="none" w:pos="49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gains or losses on derivative instruments and foreign currency gains or losses are not considered in our evaluation of our ongoing performance.</w:t>
      </w:r>
    </w:p>
    <w:p>
      <w:pPr>
        <w:spacing w:after="0" w:line="1" w:lineRule="exact"/>
        <w:rPr>
          <w:rFonts w:ascii="Times New Roman" w:cs="Times New Roman" w:eastAsia="Times New Roman" w:hAnsi="Times New Roman"/>
          <w:sz w:val="18"/>
          <w:szCs w:val="18"/>
          <w:color w:val="auto"/>
        </w:rPr>
      </w:pPr>
    </w:p>
    <w:p>
      <w:pPr>
        <w:ind w:left="500" w:right="60" w:hanging="492"/>
        <w:spacing w:after="0" w:line="255" w:lineRule="auto"/>
        <w:tabs>
          <w:tab w:leader="none" w:pos="497"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an expense waiver of certain costs associated with a secondary offering in which Verlinvest Beverages SA sold shares of the Company. The shares were sold in a block trade that was executed on November 9, 2023. The Company did not receive any proceeds from the sale of the shares.</w:t>
      </w:r>
    </w:p>
    <w:p>
      <w:pPr>
        <w:spacing w:after="0" w:line="1" w:lineRule="exact"/>
        <w:rPr>
          <w:rFonts w:ascii="Times New Roman" w:cs="Times New Roman" w:eastAsia="Times New Roman" w:hAnsi="Times New Roman"/>
          <w:sz w:val="17"/>
          <w:szCs w:val="17"/>
          <w:color w:val="auto"/>
        </w:rPr>
      </w:pPr>
    </w:p>
    <w:p>
      <w:pPr>
        <w:ind w:left="500" w:right="20" w:hanging="492"/>
        <w:spacing w:after="0"/>
        <w:tabs>
          <w:tab w:leader="none" w:pos="49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year ended December 31, 2025, the amount reflects $2.4 million related to a one-time 2023 incentive program that is measured based on full-year 2025 performance relative to 2022 structured differently from our other ongoing employee incentive programs, $1.2 million of overlapping rent expense related to our New York City office, $0.2 million of impairment loss related to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xml:space="preserve"> and a gain of $0.2 million from a sale of intellectual property. For the year ended December 31, 2024, the amount reflects the write-off of prepayments made to a supplier for inventory orders. In November 2024, we learned that the supplier failed to produce the orders placed and paused operations. Further, the supplier did not provide a refund for such orders.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6" w:lineRule="exact"/>
        <w:rPr>
          <w:sz w:val="20"/>
          <w:szCs w:val="20"/>
          <w:color w:val="auto"/>
        </w:rPr>
      </w:pPr>
    </w:p>
    <w:p>
      <w:pPr>
        <w:ind w:right="220" w:firstLine="551"/>
        <w:spacing w:after="0" w:line="258"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through cash generated from our business operations and proceeds on borrowings through our credit facilities and term loans. We had $196.9 million and $164.7 million of cash and cash equivalents as of December 31, 2025 and 2024, respectively.</w:t>
      </w:r>
    </w:p>
    <w:p>
      <w:pPr>
        <w:spacing w:after="0" w:line="16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Considering recent market conditions and our business assumptions, we have reevaluated our operating cash flows and cash requirements and believe that current cash, cash equivalents, future cash flows from operating activities and cash available under our Credit Facility will be sufficient to meet our anticipated cash needs, including working capital needs, capital expenditures and contractual obligations for at least 12 months from the issuance date of the consolidated financial statements included herein and the foreseeable future.</w:t>
      </w:r>
    </w:p>
    <w:p>
      <w:pPr>
        <w:spacing w:after="0" w:line="180"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our revenue growth rate, our working capital needs primarily for inventory build, our global footprint, the expansion of our marketing activities, the timing and extent of spending to support product development efforts, the introduction of new and enhanced products and the continued market consumption of our products, as well as any shareholder distribution either through equity buybacks or dividends. Our asset-light operating model has historically provided us with a low cost nimble, and scalable supply chain, which allows us to adapt to changes in the market or consumer preferences while also efficiently introducing new products across our platform. We may seek additional equity or debt financing in the future in order to acquire or invest in complementary businesses, products and/or new IT infrastructures. In the event that we require additional financing, we may not be able to raise such financing on terms acceptable to us or at all. If we are unable to raise additional capital or generate cash flows necessary to expand our operations and invest in continued product innovation, we may not be able to compete successfully, which would harm our business, operations and financial condition.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summarize our sources and uses of cash:</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60" w:type="dxa"/>
            <w:vAlign w:val="bottom"/>
          </w:tcPr>
          <w:p>
            <w:pPr>
              <w:spacing w:after="0"/>
              <w:rPr>
                <w:sz w:val="20"/>
                <w:szCs w:val="20"/>
                <w:color w:val="auto"/>
              </w:rPr>
            </w:pPr>
          </w:p>
        </w:tc>
        <w:tc>
          <w:tcPr>
            <w:tcW w:w="1680" w:type="dxa"/>
            <w:vAlign w:val="bottom"/>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60" w:type="dxa"/>
            <w:vAlign w:val="bottom"/>
          </w:tcPr>
          <w:p>
            <w:pPr>
              <w:spacing w:after="0"/>
              <w:rPr>
                <w:sz w:val="20"/>
                <w:szCs w:val="20"/>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10"/>
        </w:trPr>
        <w:tc>
          <w:tcPr>
            <w:tcW w:w="49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3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r>
      <w:tr>
        <w:trPr>
          <w:trHeight w:val="230"/>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47,174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(7,279)</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Effects of exchange rate on changes on cash and cash equivalents</w:t>
            </w: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4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715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n/m—represents percentage calculated not being meaningful</w:t>
      </w:r>
    </w:p>
    <w:p>
      <w:pPr>
        <w:spacing w:after="0" w:line="24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08" w:lineRule="exact"/>
        <w:rPr>
          <w:sz w:val="20"/>
          <w:szCs w:val="20"/>
          <w:color w:val="auto"/>
        </w:rPr>
      </w:pPr>
    </w:p>
    <w:p>
      <w:pPr>
        <w:ind w:right="240" w:firstLine="551"/>
        <w:spacing w:after="0" w:line="266" w:lineRule="auto"/>
        <w:rPr>
          <w:sz w:val="20"/>
          <w:szCs w:val="20"/>
          <w:color w:val="auto"/>
        </w:rPr>
      </w:pPr>
      <w:r>
        <w:rPr>
          <w:rFonts w:ascii="Times New Roman" w:cs="Times New Roman" w:eastAsia="Times New Roman" w:hAnsi="Times New Roman"/>
          <w:sz w:val="18"/>
          <w:szCs w:val="18"/>
          <w:color w:val="auto"/>
        </w:rPr>
        <w:t>Our main source of operating cash is payments received from our customers. Our primary use of cash in operating activities are for cost of goods sold and SG&amp;A expenses.</w:t>
      </w:r>
    </w:p>
    <w:p>
      <w:pPr>
        <w:spacing w:after="0" w:line="176" w:lineRule="exact"/>
        <w:rPr>
          <w:sz w:val="20"/>
          <w:szCs w:val="20"/>
          <w:color w:val="auto"/>
        </w:rPr>
      </w:pPr>
    </w:p>
    <w:p>
      <w:pPr>
        <w:ind w:right="240" w:firstLine="551"/>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2025, cash provided by operating activities increased $4.3 million as compared to the year ended December 31, 2024. The higher cash generation was driven by the increase in net income after adjusting for non-cash items and a minor improvement in working capital.</w:t>
      </w:r>
    </w:p>
    <w:p>
      <w:pPr>
        <w:spacing w:after="0" w:line="2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16" w:lineRule="exact"/>
        <w:rPr>
          <w:sz w:val="20"/>
          <w:szCs w:val="20"/>
          <w:color w:val="auto"/>
        </w:rPr>
      </w:pPr>
    </w:p>
    <w:p>
      <w:pPr>
        <w:ind w:right="840" w:firstLine="551"/>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as compared to the year ended December 31, 2024, cash used in investing activities increased $7.3 million. The increase was primarily due to leasehold improvements related to the new New York, London, and Singapore offices.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720" w:firstLine="486"/>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compared to the year ended December 31, 2024, net cash used by financing activities decreased $0.8 million, primarily driven by fewer share repurchases that occurred in 2025 compared to 2024. See Note 14, Stockholders' Equity, for further discussion on share repurchases.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2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had an immaterial amount of outstanding debt as of December 31, 2025 and December 31, 2024 related to vehicle loans.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08" w:lineRule="exact"/>
        <w:rPr>
          <w:sz w:val="20"/>
          <w:szCs w:val="20"/>
          <w:color w:val="auto"/>
        </w:rPr>
      </w:pPr>
    </w:p>
    <w:p>
      <w:pPr>
        <w:jc w:val="both"/>
        <w:ind w:right="260" w:firstLine="551"/>
        <w:spacing w:after="0" w:line="266" w:lineRule="auto"/>
        <w:rPr>
          <w:sz w:val="20"/>
          <w:szCs w:val="20"/>
          <w:color w:val="auto"/>
        </w:rPr>
      </w:pPr>
      <w:r>
        <w:rPr>
          <w:rFonts w:ascii="Times New Roman" w:cs="Times New Roman" w:eastAsia="Times New Roman" w:hAnsi="Times New Roman"/>
          <w:sz w:val="18"/>
          <w:szCs w:val="18"/>
          <w:color w:val="auto"/>
        </w:rPr>
        <w:t>In May 2020, the Company entered into the Credit Facility with Wells Fargo Bank, National Association consisting of a revolving line of credit, which currently provides for committed borrowings of $60 million. On February 14, 2025, the Credit Facility was amended, extending the maturity five years to February 13, 2030.</w:t>
      </w:r>
    </w:p>
    <w:p>
      <w:pPr>
        <w:spacing w:after="0" w:line="68" w:lineRule="exact"/>
        <w:rPr>
          <w:sz w:val="20"/>
          <w:szCs w:val="20"/>
          <w:color w:val="auto"/>
        </w:rPr>
      </w:pPr>
    </w:p>
    <w:p>
      <w:pPr>
        <w:ind w:right="40" w:firstLine="551"/>
        <w:spacing w:after="0" w:line="262" w:lineRule="auto"/>
        <w:rPr>
          <w:sz w:val="20"/>
          <w:szCs w:val="20"/>
          <w:color w:val="auto"/>
        </w:rPr>
      </w:pPr>
      <w:r>
        <w:rPr>
          <w:rFonts w:ascii="Times New Roman" w:cs="Times New Roman" w:eastAsia="Times New Roman" w:hAnsi="Times New Roman"/>
          <w:sz w:val="17"/>
          <w:szCs w:val="17"/>
          <w:color w:val="auto"/>
        </w:rPr>
        <w:t>Starting in December 2022, borrowings on the Credit Facility bear interest at rates based on either: 1) a fluctuating rate per annum determined to be the sum of Daily Simple Secured Overnight Financing Rate ("SOFR") plus a spread defined in the credit agreement (the "Spread"); or 2) a fixed rate per annum determined to be the sum of the Term SOFR plus the Spread. The Spread ranges from 1.00% to 1.75%, which is based on the Company’s leverage ratio (as defined in the credit agreement) for the immediately preceding fiscal quarter as defined in the credit agreement. In addition, through February 13, 2025, the Company was subject to an unused commitment fee ranging from 0.10% and 0.20% on the unused amount of the line of credit, with the rate based on the Company’s leverage ratio (as defined in the credit agreement). Starting February 14, 2025, the unused commitment fees ranged from 0.13% and 0.23% on the unused amount of the line of credit, with the rate being based on the Company’s leverage ratio (as defined in the credit agreement).</w:t>
      </w:r>
    </w:p>
    <w:p>
      <w:pPr>
        <w:spacing w:after="0" w:line="59" w:lineRule="exact"/>
        <w:rPr>
          <w:sz w:val="20"/>
          <w:szCs w:val="20"/>
          <w:color w:val="auto"/>
        </w:rPr>
      </w:pPr>
    </w:p>
    <w:p>
      <w:pPr>
        <w:ind w:right="100" w:firstLine="551"/>
        <w:spacing w:after="0" w:line="282" w:lineRule="auto"/>
        <w:rPr>
          <w:sz w:val="20"/>
          <w:szCs w:val="20"/>
          <w:color w:val="auto"/>
        </w:rPr>
      </w:pPr>
      <w:r>
        <w:rPr>
          <w:rFonts w:ascii="Times New Roman" w:cs="Times New Roman" w:eastAsia="Times New Roman" w:hAnsi="Times New Roman"/>
          <w:sz w:val="18"/>
          <w:szCs w:val="18"/>
          <w:color w:val="auto"/>
        </w:rPr>
        <w:t>There were no amounts drawn on the Credit Facility as of December 31, 2025 and December 31, 2024, respectively. As of December 31, 2025, we were compliant with all financial covenants.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Vehicle Loans</w:t>
      </w:r>
    </w:p>
    <w:p>
      <w:pPr>
        <w:spacing w:after="0" w:line="121" w:lineRule="exact"/>
        <w:rPr>
          <w:sz w:val="20"/>
          <w:szCs w:val="20"/>
          <w:color w:val="auto"/>
        </w:rPr>
      </w:pPr>
    </w:p>
    <w:p>
      <w:pPr>
        <w:ind w:right="280" w:firstLine="551"/>
        <w:spacing w:after="0" w:line="266" w:lineRule="auto"/>
        <w:rPr>
          <w:sz w:val="20"/>
          <w:szCs w:val="20"/>
          <w:color w:val="auto"/>
        </w:rPr>
      </w:pPr>
      <w:r>
        <w:rPr>
          <w:rFonts w:ascii="Times New Roman" w:cs="Times New Roman" w:eastAsia="Times New Roman" w:hAnsi="Times New Roman"/>
          <w:sz w:val="18"/>
          <w:szCs w:val="18"/>
          <w:color w:val="auto"/>
        </w:rPr>
        <w:t>We periodically enter into vehicle loans. Interest rate on these vehicle loans range from 4.56% to 5.68%. The outstanding balance on the vehicle loans as of December 31, 2025 was immaterial.</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For additional information, see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to our consolidated financial statements included elsewhere in this Annual Report on Form 10-K.</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w:t>
      </w:r>
    </w:p>
    <w:p>
      <w:pPr>
        <w:spacing w:after="0" w:line="216" w:lineRule="exact"/>
        <w:rPr>
          <w:sz w:val="20"/>
          <w:szCs w:val="20"/>
          <w:color w:val="auto"/>
        </w:rPr>
      </w:pPr>
    </w:p>
    <w:p>
      <w:pPr>
        <w:ind w:right="20" w:firstLine="551"/>
        <w:spacing w:after="0" w:line="258"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16" w:lineRule="exact"/>
        <w:rPr>
          <w:sz w:val="20"/>
          <w:szCs w:val="20"/>
          <w:color w:val="auto"/>
        </w:rPr>
      </w:pPr>
    </w:p>
    <w:p>
      <w:pPr>
        <w:jc w:val="both"/>
        <w:ind w:right="120" w:firstLine="648"/>
        <w:spacing w:after="0" w:line="258" w:lineRule="auto"/>
        <w:rPr>
          <w:sz w:val="20"/>
          <w:szCs w:val="20"/>
          <w:color w:val="auto"/>
        </w:rPr>
      </w:pPr>
      <w:r>
        <w:rPr>
          <w:rFonts w:ascii="Times New Roman" w:cs="Times New Roman" w:eastAsia="Times New Roman" w:hAnsi="Times New Roman"/>
          <w:sz w:val="18"/>
          <w:szCs w:val="18"/>
          <w:color w:val="auto"/>
        </w:rPr>
        <w:t>We have contractual obligations to repay indebtedness and required interest payments and unused commitment fees under our Credit Facility and vehicle loans. As of December 31, 2025, we had no outstanding balance on the Credit Facility. Any future outstanding balances on the Credit Facility will be required to be repaid by February 2030.</w:t>
      </w:r>
    </w:p>
    <w:p>
      <w:pPr>
        <w:spacing w:after="0" w:line="169" w:lineRule="exact"/>
        <w:rPr>
          <w:sz w:val="20"/>
          <w:szCs w:val="20"/>
          <w:color w:val="auto"/>
        </w:rPr>
      </w:pPr>
    </w:p>
    <w:p>
      <w:pPr>
        <w:ind w:right="820" w:firstLine="648"/>
        <w:spacing w:after="0" w:line="282" w:lineRule="auto"/>
        <w:rPr>
          <w:sz w:val="20"/>
          <w:szCs w:val="20"/>
          <w:color w:val="auto"/>
        </w:rPr>
      </w:pPr>
      <w:r>
        <w:rPr>
          <w:rFonts w:ascii="Times New Roman" w:cs="Times New Roman" w:eastAsia="Times New Roman" w:hAnsi="Times New Roman"/>
          <w:sz w:val="18"/>
          <w:szCs w:val="18"/>
          <w:color w:val="auto"/>
        </w:rPr>
        <w:t>We lease certain assets under noncancelable operating leases, which expire through 2034 relating to our office spaces. Future minimum commitments under these leases are 18.6 million as of December 31, 2025.</w:t>
      </w:r>
    </w:p>
    <w:p>
      <w:pPr>
        <w:spacing w:after="0" w:line="162" w:lineRule="exact"/>
        <w:rPr>
          <w:sz w:val="20"/>
          <w:szCs w:val="20"/>
          <w:color w:val="auto"/>
        </w:rPr>
      </w:pPr>
    </w:p>
    <w:p>
      <w:pPr>
        <w:ind w:firstLine="551"/>
        <w:spacing w:after="0" w:line="242" w:lineRule="auto"/>
        <w:rPr>
          <w:sz w:val="20"/>
          <w:szCs w:val="20"/>
          <w:color w:val="auto"/>
        </w:rPr>
      </w:pPr>
      <w:r>
        <w:rPr>
          <w:rFonts w:ascii="Times New Roman" w:cs="Times New Roman" w:eastAsia="Times New Roman" w:hAnsi="Times New Roman"/>
          <w:sz w:val="18"/>
          <w:szCs w:val="18"/>
          <w:color w:val="auto"/>
        </w:rPr>
        <w:t>As of December 31, 2025, we also have inventory purchase commitments, which include any raw material or packaging commitments with our suppliers to secure our needs for future orders, which are generally due to be paid within one year. We also have production purchase commitments from our manufacturers based on our production plans, forecasts and contracts, that might result in costs if we were to reduce our purchases significantly in 2026 or for some relationships, in future years. We have other contractual payments related to information technology service agreements, sponsorship and marketing agreements, and minimum contractual third-party warehouse commitments, which are not individually material.</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16" w:lineRule="exact"/>
        <w:rPr>
          <w:sz w:val="20"/>
          <w:szCs w:val="20"/>
          <w:color w:val="auto"/>
        </w:rPr>
      </w:pPr>
    </w:p>
    <w:p>
      <w:pPr>
        <w:ind w:right="40" w:firstLine="551"/>
        <w:spacing w:after="0" w:line="247"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0" w:lineRule="exact"/>
        <w:rPr>
          <w:sz w:val="20"/>
          <w:szCs w:val="20"/>
          <w:color w:val="auto"/>
        </w:rPr>
      </w:pPr>
    </w:p>
    <w:p>
      <w:pPr>
        <w:ind w:right="480" w:firstLine="551"/>
        <w:spacing w:after="0" w:line="258"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consolidated financial statements appearing within this Annual Report on Form 10-K, we believe that the following accounting policies are those most critical to the judgments and estimates used in the preparation of our consolidated financial statements.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right="80" w:firstLine="551"/>
        <w:spacing w:after="0" w:line="244"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Accounting Standards Codification ("ASC") Topic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("ASC 606"). ASC 606 defines a five-step model that requires entities exercise judgment when considering the terms of contract(s),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(1) identifying the contract or agreement with a customer, (2) identifying the performance obligations in the contract or agreement, (3) determining the transaction price, (4) allocating the transaction price to the separate performance obligations, and (5) recognizing revenue as each performance obligation is satisfied. Revenue is recognized when control of the promised good is transferred to the customer in an amount that reflects the consideration to which the Company is expected to be entitled to receive in exchange for those products. Each contract includes a single performance obligation to transfer control of the product to the customer. Our revenue is recognized net of allowances for returns, discounts, credits and any taxes collected from consumers.</w:t>
      </w:r>
    </w:p>
    <w:p>
      <w:pPr>
        <w:spacing w:after="0" w:line="180" w:lineRule="exact"/>
        <w:rPr>
          <w:sz w:val="20"/>
          <w:szCs w:val="20"/>
          <w:color w:val="auto"/>
        </w:rPr>
      </w:pPr>
    </w:p>
    <w:p>
      <w:pPr>
        <w:ind w:firstLine="551"/>
        <w:spacing w:after="0" w:line="247" w:lineRule="auto"/>
        <w:rPr>
          <w:sz w:val="20"/>
          <w:szCs w:val="20"/>
          <w:color w:val="auto"/>
        </w:rPr>
      </w:pPr>
      <w:r>
        <w:rPr>
          <w:rFonts w:ascii="Times New Roman" w:cs="Times New Roman" w:eastAsia="Times New Roman" w:hAnsi="Times New Roman"/>
          <w:sz w:val="18"/>
          <w:szCs w:val="18"/>
          <w:color w:val="auto"/>
        </w:rPr>
        <w:t xml:space="preserve">For our various products in the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and Other product categories, control is transferred upon customer receipt, at which point the Company recognizes the transaction price for the product as revenue. The transaction price recognized reflects the consideration the Company expects to receive in exchange for the sale of the product. The Company’s performance obligations are satisfied at that time. The Company does not have any significant contracts with customers requiring performance beyond delivery, and contracts with customers contain no incentives or discounts that would meet the criteria for a distinct good or service that could cause revenue to be allocated or adjusted over time. Shipping and handling activities are performed before the customer obtains control of the goods and therefore represent fulfillment costs, which are included in cost of goods sold, rather than revenue.</w:t>
      </w:r>
    </w:p>
    <w:p>
      <w:pPr>
        <w:spacing w:after="0" w:line="182" w:lineRule="exact"/>
        <w:rPr>
          <w:sz w:val="20"/>
          <w:szCs w:val="20"/>
          <w:color w:val="auto"/>
        </w:rPr>
      </w:pPr>
    </w:p>
    <w:p>
      <w:pPr>
        <w:ind w:right="40" w:firstLine="551"/>
        <w:spacing w:after="0" w:line="250" w:lineRule="auto"/>
        <w:rPr>
          <w:sz w:val="20"/>
          <w:szCs w:val="20"/>
          <w:color w:val="auto"/>
        </w:rPr>
      </w:pPr>
      <w:r>
        <w:rPr>
          <w:rFonts w:ascii="Times New Roman" w:cs="Times New Roman" w:eastAsia="Times New Roman" w:hAnsi="Times New Roman"/>
          <w:sz w:val="18"/>
          <w:szCs w:val="18"/>
          <w:color w:val="auto"/>
        </w:rPr>
        <w:t>Additionally, the Company 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is completed, which may be prior to any shipment. The resulting contract assets are recorded in Prepaid expenses and other current assets.</w:t>
      </w:r>
    </w:p>
    <w:p>
      <w:pPr>
        <w:spacing w:after="0" w:line="191" w:lineRule="exact"/>
        <w:rPr>
          <w:sz w:val="20"/>
          <w:szCs w:val="20"/>
          <w:color w:val="auto"/>
        </w:rPr>
      </w:pPr>
    </w:p>
    <w:p>
      <w:pPr>
        <w:ind w:right="140" w:firstLine="551"/>
        <w:spacing w:after="0" w:line="242" w:lineRule="auto"/>
        <w:rPr>
          <w:sz w:val="20"/>
          <w:szCs w:val="20"/>
          <w:color w:val="auto"/>
        </w:rPr>
      </w:pPr>
      <w:r>
        <w:rPr>
          <w:rFonts w:ascii="Times New Roman" w:cs="Times New Roman" w:eastAsia="Times New Roman" w:hAnsi="Times New Roman"/>
          <w:sz w:val="18"/>
          <w:szCs w:val="18"/>
          <w:color w:val="auto"/>
        </w:rPr>
        <w:t>The Company provides trade promotions and sales discounts to its customers and distributors. Since these sales promotions and sales discounts do not meet the criteria for a distinct good or service, they are primarily accounted for as a reduction of revenue and include payments to customers and distributors for performing activities on our behalf, such as payments for in-store displays, payments to gain distribution of new products, payments for shelf space and discounts to promote lower retail prices. These consolidated financial statements include accruals for these promotions and discounts. The accruals are made for invoices that have not yet been received as of year-end and are recorded as a reduction of sales, and are based on contract terms and our historical experience with similar programs and require management judgment with respect to estimating customer and consumer participation and performance levels.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6" w:lineRule="exact"/>
        <w:rPr>
          <w:sz w:val="20"/>
          <w:szCs w:val="20"/>
          <w:color w:val="auto"/>
        </w:rPr>
      </w:pPr>
    </w:p>
    <w:p>
      <w:pPr>
        <w:ind w:right="80" w:firstLine="551"/>
        <w:spacing w:after="0" w:line="247" w:lineRule="auto"/>
        <w:rPr>
          <w:sz w:val="20"/>
          <w:szCs w:val="20"/>
          <w:color w:val="auto"/>
        </w:rPr>
      </w:pPr>
      <w:r>
        <w:rPr>
          <w:rFonts w:ascii="Times New Roman" w:cs="Times New Roman" w:eastAsia="Times New Roman" w:hAnsi="Times New Roman"/>
          <w:sz w:val="18"/>
          <w:szCs w:val="18"/>
          <w:color w:val="auto"/>
        </w:rPr>
        <w:t xml:space="preserve">The Company accounts for income taxes under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an asset and liability approach to financial accounting and reporting for income taxes. Deferred income tax assets and liabilities are computed annually for differences between the consolidated financial statements and tax bases of assets and liabilities that will result in taxable or deductible amounts in the future. Such deferred income tax assets and liabilities computations are based on enacted tax laws and rates applicable to periods in which the differences are expected to affect taxable income. Valuation allowances are established when necessary to reduce deferred income tax assets to the amount</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expected to be realized. Interest and penalties related to unrecognized tax positions are included in income tax expense in the consolidated statement of operations and comprehensive income and accrued expenses in the consolidated balance sheets.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177" w:lineRule="exact"/>
        <w:rPr>
          <w:sz w:val="20"/>
          <w:szCs w:val="20"/>
          <w:color w:val="auto"/>
        </w:rPr>
      </w:pPr>
    </w:p>
    <w:p>
      <w:pPr>
        <w:jc w:val="both"/>
        <w:ind w:right="340" w:firstLine="551"/>
        <w:spacing w:after="0" w:line="258" w:lineRule="auto"/>
        <w:rPr>
          <w:sz w:val="20"/>
          <w:szCs w:val="20"/>
          <w:color w:val="auto"/>
        </w:rPr>
      </w:pPr>
      <w:r>
        <w:rPr>
          <w:rFonts w:ascii="Times New Roman" w:cs="Times New Roman" w:eastAsia="Times New Roman" w:hAnsi="Times New Roman"/>
          <w:sz w:val="18"/>
          <w:szCs w:val="18"/>
          <w:color w:val="auto"/>
        </w:rPr>
        <w:t>We must make assumptions and judgments to estimate the amount of valuation allowances to be recorded against our deferred tax assets, which take into account current tax laws and estimates of the amount of future taxable income, if any. Changes to any of the assumptions or judgments could cause our actual income tax obligations to differ from our estimates.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40" w:firstLine="551"/>
        <w:spacing w:after="0" w:line="266" w:lineRule="auto"/>
        <w:rPr>
          <w:sz w:val="20"/>
          <w:szCs w:val="20"/>
          <w:color w:val="auto"/>
        </w:rPr>
      </w:pPr>
      <w:r>
        <w:rPr>
          <w:rFonts w:ascii="Times New Roman" w:cs="Times New Roman" w:eastAsia="Times New Roman" w:hAnsi="Times New Roman"/>
          <w:sz w:val="18"/>
          <w:szCs w:val="18"/>
          <w:color w:val="auto"/>
        </w:rPr>
        <w:t>We account for stock-based compensation in accordance with ASC Topic 718, Compensation—Stock Compensation ("ASC 718") for stock options issued under the 2014 Stock Option and Restricted Stock Plan and the 2021 Stock Incentive Award Plan.</w:t>
      </w:r>
    </w:p>
    <w:p>
      <w:pPr>
        <w:spacing w:after="0" w:line="162" w:lineRule="exact"/>
        <w:rPr>
          <w:sz w:val="20"/>
          <w:szCs w:val="20"/>
          <w:color w:val="auto"/>
        </w:rPr>
      </w:pPr>
    </w:p>
    <w:p>
      <w:pPr>
        <w:ind w:right="280" w:firstLine="551"/>
        <w:spacing w:after="0" w:line="250" w:lineRule="auto"/>
        <w:rPr>
          <w:sz w:val="20"/>
          <w:szCs w:val="20"/>
          <w:color w:val="auto"/>
        </w:rPr>
      </w:pPr>
      <w:r>
        <w:rPr>
          <w:rFonts w:ascii="Times New Roman" w:cs="Times New Roman" w:eastAsia="Times New Roman" w:hAnsi="Times New Roman"/>
          <w:sz w:val="18"/>
          <w:szCs w:val="18"/>
          <w:color w:val="auto"/>
        </w:rPr>
        <w:t>We measure all awards based on their fair value on the date of the grant and recognize compensation expense for those awards over the requisite service period of each stock award grant, which is generally the vesting period of the respective award by using the accelerated attribution method. We apply an estimated forfeiture rate derived from historical employee termination behavior. If the actual forfeitures differ from those estimated by management, adjustment to compensation expense may be required in future periods. Stock awards are equity-classified, as they do not contain a cash settlement option or other features requiring them to be liability-classified.</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issue stock-based awards with service-based and performance-based and market-based vesting conditions. The accounting for</w:t>
      </w:r>
    </w:p>
    <w:p>
      <w:pPr>
        <w:spacing w:after="0" w:line="1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stock awards requires us to make significant judgments regarding the probability of achieving performance targets and the expected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that will ultimately vest. Certain performance share unit awards allow for the issuance of shares in excess of the target award amount</w:t>
      </w:r>
    </w:p>
    <w:p>
      <w:pPr>
        <w:spacing w:after="0" w:line="234" w:lineRule="auto"/>
        <w:rPr>
          <w:sz w:val="20"/>
          <w:szCs w:val="20"/>
          <w:color w:val="auto"/>
        </w:rPr>
      </w:pPr>
      <w:r>
        <w:rPr>
          <w:rFonts w:ascii="Times New Roman" w:cs="Times New Roman" w:eastAsia="Times New Roman" w:hAnsi="Times New Roman"/>
          <w:sz w:val="18"/>
          <w:szCs w:val="18"/>
          <w:color w:val="auto"/>
        </w:rPr>
        <w:t>when performance results exceed specified thresholds. We evaluate performance expectations each reporting period and update our estimates based on</w:t>
      </w:r>
    </w:p>
    <w:p>
      <w:pPr>
        <w:spacing w:after="0" w:line="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current forecasts and available information. Changes in these estimates may result in adjustments to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in future periods,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could be material to our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08" w:lineRule="exact"/>
        <w:rPr>
          <w:sz w:val="20"/>
          <w:szCs w:val="20"/>
          <w:color w:val="auto"/>
        </w:rPr>
      </w:pPr>
    </w:p>
    <w:p>
      <w:pPr>
        <w:ind w:right="140" w:firstLine="551"/>
        <w:spacing w:after="0" w:line="258" w:lineRule="auto"/>
        <w:rPr>
          <w:sz w:val="20"/>
          <w:szCs w:val="20"/>
          <w:color w:val="auto"/>
        </w:rPr>
      </w:pPr>
      <w:r>
        <w:rPr>
          <w:rFonts w:ascii="Times New Roman" w:cs="Times New Roman" w:eastAsia="Times New Roman" w:hAnsi="Times New Roman"/>
          <w:sz w:val="18"/>
          <w:szCs w:val="18"/>
          <w:color w:val="auto"/>
        </w:rPr>
        <w:t>Goodwill represents the purchase price paid in excess of the fair value of net tangible and intangible assets acquired in a business combination and is measured in accordance with the provisions of ASC Topic 350, Intangibles—Goodwill and Other (ASC 350"). Goodwill is not amortized; instead goodwill is tested for impairment on an annual basis on December 31, or more frequently if the Company believes indicators of impairment exist.</w:t>
      </w:r>
    </w:p>
    <w:p>
      <w:pPr>
        <w:spacing w:after="0" w:line="169" w:lineRule="exact"/>
        <w:rPr>
          <w:sz w:val="20"/>
          <w:szCs w:val="20"/>
          <w:color w:val="auto"/>
        </w:rPr>
      </w:pPr>
    </w:p>
    <w:p>
      <w:pPr>
        <w:ind w:right="40" w:firstLine="551"/>
        <w:spacing w:after="0" w:line="247" w:lineRule="auto"/>
        <w:rPr>
          <w:sz w:val="20"/>
          <w:szCs w:val="20"/>
          <w:color w:val="auto"/>
        </w:rPr>
      </w:pPr>
      <w:r>
        <w:rPr>
          <w:rFonts w:ascii="Times New Roman" w:cs="Times New Roman" w:eastAsia="Times New Roman" w:hAnsi="Times New Roman"/>
          <w:sz w:val="18"/>
          <w:szCs w:val="18"/>
          <w:color w:val="auto"/>
        </w:rPr>
        <w:t>We have determined that there are three reporting units for purposes of testing goodwill for impairment. The Company first assesses qualitative factors to determine whether it is more-likely-than-not that the fair value of a reporting unit is less than its carrying value. In performing the qualitative assessment, the Company reviews factors both specific to the reporting units and to the Company as a whole, such as financial performance, macroeconomic conditions, industry and market considerations, and the fair value of each reporting unit at the last valuation date. If the Company elects this option and believes, as a result of the qualitative assessment, that it is more likely than not that the carrying value of each of the reporting units exceeds their fair value, the quantitative impairment test is required; otherwise, no further testing is required.</w:t>
      </w:r>
    </w:p>
    <w:p>
      <w:pPr>
        <w:spacing w:after="0" w:line="180" w:lineRule="exact"/>
        <w:rPr>
          <w:sz w:val="20"/>
          <w:szCs w:val="20"/>
          <w:color w:val="auto"/>
        </w:rPr>
      </w:pPr>
    </w:p>
    <w:p>
      <w:pPr>
        <w:ind w:right="20" w:firstLine="551"/>
        <w:spacing w:after="0" w:line="243" w:lineRule="auto"/>
        <w:rPr>
          <w:sz w:val="20"/>
          <w:szCs w:val="20"/>
          <w:color w:val="auto"/>
        </w:rPr>
      </w:pPr>
      <w:r>
        <w:rPr>
          <w:rFonts w:ascii="Times New Roman" w:cs="Times New Roman" w:eastAsia="Times New Roman" w:hAnsi="Times New Roman"/>
          <w:sz w:val="18"/>
          <w:szCs w:val="18"/>
          <w:color w:val="auto"/>
        </w:rPr>
        <w:t>Alternatively, we may elect to bypass the qualitative assessment and perform the quantitative impairment test instead, or if we reasonably determine that it is more-likely-than-not that the fair value is less than the carrying value, we perform its annual, or interim, goodwill impairment test by comparing the fair value of each of the reporting units with their carrying amount. The fair value of each of the reporting units is estimated by blending the results from the income approach and the market multiples approach. These valuation approaches consider a number of factors that include, but are not limited to, expected future cash flows, growth rates, discount rates, and comparable multiples from publicly-traded companies in our industry, and require us to make certain assumptions and estimates regarding industry economic factors and future profitability of our business. It is our policy to conduct impairment testing based on our most current business plans, projected future revenues and cash flows, which reflect changes we anticipate in the economy and the industry. The cash flows are based on five-year financial forecasts developed internally by management and are discounted to a present value using discount rates that properly account for the risk and nature of the respective reporting unit’s cash flows and the rates of return market participants would require to invest their capital in our reporting unit. We will recognize an</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impairment for the amount by which the carrying amount exceeds a reporting unit’s fair value. For the years ended December 31, 2025 and 2024, there were no impairments recorded.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16" w:lineRule="exact"/>
        <w:rPr>
          <w:sz w:val="20"/>
          <w:szCs w:val="20"/>
          <w:color w:val="auto"/>
        </w:rPr>
      </w:pPr>
    </w:p>
    <w:p>
      <w:pPr>
        <w:ind w:right="20" w:firstLine="551"/>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consolidated financial statements elsewhere within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include interest rate sensitivities.</w:t>
      </w:r>
    </w:p>
    <w:p>
      <w:pPr>
        <w:spacing w:after="0" w:line="198" w:lineRule="exact"/>
        <w:rPr>
          <w:sz w:val="20"/>
          <w:szCs w:val="20"/>
          <w:color w:val="auto"/>
        </w:rPr>
      </w:pPr>
    </w:p>
    <w:p>
      <w:pPr>
        <w:ind w:right="60" w:firstLine="567"/>
        <w:spacing w:after="0" w:line="237" w:lineRule="auto"/>
        <w:rPr>
          <w:sz w:val="20"/>
          <w:szCs w:val="20"/>
          <w:color w:val="auto"/>
        </w:rPr>
      </w:pPr>
      <w:r>
        <w:rPr>
          <w:rFonts w:ascii="Times New Roman" w:cs="Times New Roman" w:eastAsia="Times New Roman" w:hAnsi="Times New Roman"/>
          <w:sz w:val="18"/>
          <w:szCs w:val="18"/>
          <w:color w:val="auto"/>
        </w:rPr>
        <w:t>As of December 31, 2025, the outstanding amounts related to our Revolving Facility incur interest fees at variable interest rates and are affected by changes in the general level of market interest rates. However, there was no outstanding balance on the Revolving Facility as of December 31,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02" w:lineRule="exact"/>
        <w:rPr>
          <w:sz w:val="20"/>
          <w:szCs w:val="20"/>
          <w:color w:val="auto"/>
        </w:rPr>
      </w:pPr>
    </w:p>
    <w:p>
      <w:pPr>
        <w:ind w:firstLine="567"/>
        <w:spacing w:after="0" w:line="229" w:lineRule="auto"/>
        <w:rPr>
          <w:sz w:val="20"/>
          <w:szCs w:val="20"/>
          <w:color w:val="auto"/>
        </w:rPr>
      </w:pPr>
      <w:r>
        <w:rPr>
          <w:rFonts w:ascii="Times New Roman" w:cs="Times New Roman" w:eastAsia="Times New Roman" w:hAnsi="Times New Roman"/>
          <w:sz w:val="17"/>
          <w:szCs w:val="17"/>
          <w:color w:val="auto"/>
        </w:rPr>
        <w:t>We transact business globally in multiple currencies and hence have foreign currency risks related to our net sales, cost of goods sold, and operating expenses. We use derivative financial instruments to reduce our net exposure to foreign currency fluctuations. Our objective in managing exposure to foreign currency fluctuations is to reduce the volatility caused by foreign exchange rate changes on the earnings, cash flows and financial position of our</w:t>
      </w:r>
    </w:p>
    <w:p>
      <w:pPr>
        <w:jc w:val="both"/>
        <w:ind w:right="160"/>
        <w:spacing w:after="0" w:line="220" w:lineRule="auto"/>
        <w:rPr>
          <w:sz w:val="20"/>
          <w:szCs w:val="20"/>
          <w:color w:val="auto"/>
        </w:rPr>
      </w:pPr>
      <w:r>
        <w:rPr>
          <w:rFonts w:ascii="Times New Roman" w:cs="Times New Roman" w:eastAsia="Times New Roman" w:hAnsi="Times New Roman"/>
          <w:sz w:val="17"/>
          <w:szCs w:val="17"/>
          <w:color w:val="auto"/>
        </w:rPr>
        <w:t>international operations. We generally target to hedge a majority of our forecasted yearly foreign currency exchange exposure through a 24-month rolling layered approach and leave a portion of our currency forecast floating at spot rate. Our currency forecast and hedge positions are reviewed quarterly. The gains and losses on the forward contracts associated with our balance sheet positions are recorded in “Other income (expense), net” in the consolidated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operations.</w:t>
      </w:r>
    </w:p>
    <w:p>
      <w:pPr>
        <w:spacing w:after="0" w:line="165" w:lineRule="exact"/>
        <w:rPr>
          <w:sz w:val="20"/>
          <w:szCs w:val="20"/>
          <w:color w:val="auto"/>
        </w:rPr>
      </w:pPr>
    </w:p>
    <w:p>
      <w:pPr>
        <w:ind w:right="240" w:firstLine="567"/>
        <w:spacing w:after="0" w:line="236" w:lineRule="auto"/>
        <w:rPr>
          <w:sz w:val="20"/>
          <w:szCs w:val="20"/>
          <w:color w:val="auto"/>
        </w:rPr>
      </w:pPr>
      <w:r>
        <w:rPr>
          <w:rFonts w:ascii="Times New Roman" w:cs="Times New Roman" w:eastAsia="Times New Roman" w:hAnsi="Times New Roman"/>
          <w:sz w:val="17"/>
          <w:szCs w:val="17"/>
          <w:color w:val="auto"/>
        </w:rPr>
        <w:t>The total notional values of our forward exchange contracts were $128.8 million and $107.4 million as of December 31, 2025 and December 31, 2024, respectively. The derivatives on the forward exchange contracts resulted in an unrealized loss of $4.7 million as of December 31, 2025, and we</w:t>
      </w:r>
    </w:p>
    <w:p>
      <w:pPr>
        <w:spacing w:after="0"/>
        <w:rPr>
          <w:sz w:val="20"/>
          <w:szCs w:val="20"/>
          <w:color w:val="auto"/>
        </w:rPr>
      </w:pPr>
      <w:r>
        <w:rPr>
          <w:rFonts w:ascii="Times New Roman" w:cs="Times New Roman" w:eastAsia="Times New Roman" w:hAnsi="Times New Roman"/>
          <w:sz w:val="18"/>
          <w:szCs w:val="18"/>
          <w:color w:val="auto"/>
        </w:rPr>
        <w:t>estimate that a 10% strengthening or weakening of the U.S. dollar would have resulted in an approximately $9.5 million gain or loss.</w:t>
      </w:r>
    </w:p>
    <w:p>
      <w:pPr>
        <w:spacing w:after="0" w:line="192" w:lineRule="exact"/>
        <w:rPr>
          <w:sz w:val="20"/>
          <w:szCs w:val="20"/>
          <w:color w:val="auto"/>
        </w:rPr>
      </w:pPr>
    </w:p>
    <w:p>
      <w:pPr>
        <w:ind w:right="80" w:firstLine="567"/>
        <w:spacing w:after="0" w:line="222" w:lineRule="auto"/>
        <w:rPr>
          <w:sz w:val="20"/>
          <w:szCs w:val="20"/>
          <w:color w:val="auto"/>
        </w:rPr>
      </w:pPr>
      <w:r>
        <w:rPr>
          <w:rFonts w:ascii="Times New Roman" w:cs="Times New Roman" w:eastAsia="Times New Roman" w:hAnsi="Times New Roman"/>
          <w:sz w:val="18"/>
          <w:szCs w:val="18"/>
          <w:color w:val="auto"/>
        </w:rPr>
        <w:t>Part of our cash and cash equivalents are denominated in foreign currencies. As of December 31, 2025, a 1% change in the value of the U.S. dollar compared to foreign currencies would have caused our cash and cash equivalents to decrease or increase by $0.2 million. As of December 31, 2024, a 1%</w:t>
      </w:r>
    </w:p>
    <w:p>
      <w:pPr>
        <w:spacing w:after="0" w:line="2" w:lineRule="exact"/>
        <w:rPr>
          <w:sz w:val="20"/>
          <w:szCs w:val="20"/>
          <w:color w:val="auto"/>
        </w:rPr>
      </w:pPr>
    </w:p>
    <w:p>
      <w:pPr>
        <w:ind w:right="740"/>
        <w:spacing w:after="0" w:line="226" w:lineRule="auto"/>
        <w:rPr>
          <w:sz w:val="20"/>
          <w:szCs w:val="20"/>
          <w:color w:val="auto"/>
        </w:rPr>
      </w:pPr>
      <w:r>
        <w:rPr>
          <w:rFonts w:ascii="Times New Roman" w:cs="Times New Roman" w:eastAsia="Times New Roman" w:hAnsi="Times New Roman"/>
          <w:sz w:val="18"/>
          <w:szCs w:val="18"/>
          <w:color w:val="auto"/>
        </w:rPr>
        <w:t>change in the value of the U.S. dollar compared to foreign currencies would have caused our cash and cash equivalents to decrease or increase by $0.1 million.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ind w:right="20" w:firstLine="567"/>
        <w:spacing w:after="0" w:line="235" w:lineRule="auto"/>
        <w:rPr>
          <w:sz w:val="20"/>
          <w:szCs w:val="20"/>
          <w:color w:val="auto"/>
        </w:rPr>
      </w:pPr>
      <w:r>
        <w:rPr>
          <w:rFonts w:ascii="Times New Roman" w:cs="Times New Roman" w:eastAsia="Times New Roman" w:hAnsi="Times New Roman"/>
          <w:sz w:val="18"/>
          <w:szCs w:val="18"/>
          <w:color w:val="auto"/>
        </w:rPr>
        <w:t>Inflation generally affects us by increasing our cost of transportation, labor and manufacturing costs. In recent years, we have seen fluctuating transportation costs caused by global supply chain disruptions or geopolitical instability and general inflation effects, which may cause pressure on our costs and margins. More specifically, we source a large amount of our finished goods from international countries, which exposes us to international supply chain inflation, particularly ocean freight. During the year ended December 31, 2025, general inflationary pressures continued to increase the other elements of our cost of goods and operating expenses. During 2025, tariffs were imposed on most imports into the United States, including coconut water, which created an increase in our cost of goods reported in 2025. Beginning in November 2025, we benefited from a U.S. executive action granting tariff exemptions applicable to coconut water products, which reduced our costs. If tariffs are implemented on goods from countries where we do business, or currently applicable exemptions expire or are rescinded, they may raise our cost of importation of coconut water and require us to adjust our pricing or</w:t>
      </w:r>
    </w:p>
    <w:p>
      <w:pPr>
        <w:spacing w:after="0" w:line="5"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18"/>
          <w:szCs w:val="18"/>
          <w:color w:val="auto"/>
        </w:rPr>
        <w:t>strategy. See Part I, Item 1A. “Risk Factors—</w:t>
      </w:r>
      <w:r>
        <w:rPr>
          <w:rFonts w:ascii="Times New Roman" w:cs="Times New Roman" w:eastAsia="Times New Roman" w:hAnsi="Times New Roman"/>
          <w:sz w:val="18"/>
          <w:szCs w:val="18"/>
          <w:i w:val="1"/>
          <w:iCs w:val="1"/>
          <w:color w:val="auto"/>
        </w:rPr>
        <w:t>Changes in U.S. trade policy, including the imposition of new and revised tariffs on our principal sourcing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countries, have increased our costs and created significant uncertainty, and could continue to materially and adversely affect our business, financial condition, results of operations, and cash flows</w:t>
      </w:r>
      <w:r>
        <w:rPr>
          <w:rFonts w:ascii="Times New Roman" w:cs="Times New Roman" w:eastAsia="Times New Roman" w:hAnsi="Times New Roman"/>
          <w:sz w:val="18"/>
          <w:szCs w:val="18"/>
          <w:color w:val="auto"/>
        </w:rPr>
        <w:t>.” for more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89" w:lineRule="exact"/>
        <w:rPr>
          <w:sz w:val="20"/>
          <w:szCs w:val="20"/>
          <w:color w:val="auto"/>
        </w:rPr>
      </w:pPr>
    </w:p>
    <w:p>
      <w:pPr>
        <w:ind w:right="140" w:firstLine="567"/>
        <w:spacing w:after="0" w:line="236" w:lineRule="auto"/>
        <w:rPr>
          <w:sz w:val="20"/>
          <w:szCs w:val="20"/>
          <w:color w:val="auto"/>
        </w:rPr>
      </w:pPr>
      <w:r>
        <w:rPr>
          <w:rFonts w:ascii="Times New Roman" w:cs="Times New Roman" w:eastAsia="Times New Roman" w:hAnsi="Times New Roman"/>
          <w:sz w:val="17"/>
          <w:szCs w:val="17"/>
          <w:color w:val="auto"/>
        </w:rPr>
        <w:t>We are exposed to concentration of credit risk from our major customers. As of December 31, 2025, sales to two customers represented approximately 44% of our consolidated net sales. We have not experienced credit issues with these customers. We maintain provisions for potential credit</w:t>
      </w:r>
    </w:p>
    <w:p>
      <w:pPr>
        <w:spacing w:after="0"/>
        <w:rPr>
          <w:sz w:val="20"/>
          <w:szCs w:val="20"/>
          <w:color w:val="auto"/>
        </w:rPr>
      </w:pPr>
      <w:r>
        <w:rPr>
          <w:rFonts w:ascii="Times New Roman" w:cs="Times New Roman" w:eastAsia="Times New Roman" w:hAnsi="Times New Roman"/>
          <w:sz w:val="18"/>
          <w:szCs w:val="18"/>
          <w:color w:val="auto"/>
        </w:rPr>
        <w:t>losses and evaluate the solvency of our customers on an ongoing</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basis to determine if additional allowances for doubtful accounts and customer credits need to be recorded. Significant economic disruptions or a slowdown in the economy could result in substantial additional charges.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report. An index of those financial statements is set forth below:</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NDEX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ONSOLIDATED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INANCIAL</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Audited Consolidated Financial Statements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3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6"/>
        </w:trPr>
        <w:tc>
          <w:tcPr>
            <w:tcW w:w="103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(PCAOB ID No. 34)</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20"/>
        </w:trPr>
        <w:tc>
          <w:tcPr>
            <w:tcW w:w="3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7"/>
        </w:trPr>
        <w:tc>
          <w:tcPr>
            <w:tcW w:w="4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5660" w:type="dxa"/>
            <w:vAlign w:val="bottom"/>
            <w:gridSpan w:val="4"/>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6"/>
        </w:trPr>
        <w:tc>
          <w:tcPr>
            <w:tcW w:w="9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&amp; Other Comprehensive Income (Loss) for the years ended December 31, 2025, 2024 and 2023</w:t>
            </w: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6"/>
        </w:trPr>
        <w:tc>
          <w:tcPr>
            <w:tcW w:w="76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2025, 2024 and 2023</w:t>
            </w:r>
          </w:p>
        </w:tc>
        <w:tc>
          <w:tcPr>
            <w:tcW w:w="2720" w:type="dxa"/>
            <w:vAlign w:val="bottom"/>
            <w:gridSpan w:val="2"/>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7"/>
        </w:trPr>
        <w:tc>
          <w:tcPr>
            <w:tcW w:w="69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2025, 2024 and 2023</w:t>
            </w:r>
          </w:p>
        </w:tc>
        <w:tc>
          <w:tcPr>
            <w:tcW w:w="3400" w:type="dxa"/>
            <w:vAlign w:val="bottom"/>
            <w:gridSpan w:val="3"/>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7"/>
        </w:trPr>
        <w:tc>
          <w:tcPr>
            <w:tcW w:w="3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160" w:type="dxa"/>
            <w:vAlign w:val="bottom"/>
            <w:gridSpan w:val="6"/>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The Vita Coco Company, Inc.</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43"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7"/>
          <w:szCs w:val="17"/>
          <w:color w:val="auto"/>
        </w:rPr>
        <w:t xml:space="preserve">We have audited the internal control over financial reporting of The Vita Coco Company, Inc. and subsidiaries (the “Company”)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 In our opinion, the Company maintained, in all material respects, effective internal control over financial reporting as of December</w:t>
      </w:r>
    </w:p>
    <w:p>
      <w:pPr>
        <w:spacing w:after="0"/>
        <w:rPr>
          <w:sz w:val="20"/>
          <w:szCs w:val="20"/>
          <w:color w:val="auto"/>
        </w:rPr>
      </w:pPr>
      <w:r>
        <w:rPr>
          <w:rFonts w:ascii="Times New Roman" w:cs="Times New Roman" w:eastAsia="Times New Roman" w:hAnsi="Times New Roman"/>
          <w:sz w:val="18"/>
          <w:szCs w:val="18"/>
          <w:color w:val="auto"/>
        </w:rPr>
        <w:t xml:space="preserve">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92"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(PCAOB), the consolidated financial statements as of and for the year ended December 31, 2025, of the Company and our report dated February 18, 2026, expressed an unqualified</w:t>
      </w:r>
    </w:p>
    <w:p>
      <w:pPr>
        <w:spacing w:after="0"/>
        <w:rPr>
          <w:sz w:val="20"/>
          <w:szCs w:val="20"/>
          <w:color w:val="auto"/>
        </w:rPr>
      </w:pPr>
      <w:r>
        <w:rPr>
          <w:rFonts w:ascii="Times New Roman" w:cs="Times New Roman" w:eastAsia="Times New Roman" w:hAnsi="Times New Roman"/>
          <w:sz w:val="18"/>
          <w:szCs w:val="18"/>
          <w:color w:val="auto"/>
        </w:rPr>
        <w:t>opinion on those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ind w:right="80"/>
        <w:spacing w:after="0" w:line="22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w:t>
      </w:r>
    </w:p>
    <w:p>
      <w:pPr>
        <w:spacing w:after="0" w:line="2" w:lineRule="exact"/>
        <w:rPr>
          <w:sz w:val="20"/>
          <w:szCs w:val="20"/>
          <w:color w:val="auto"/>
        </w:rPr>
      </w:pPr>
    </w:p>
    <w:p>
      <w:pPr>
        <w:ind w:right="300"/>
        <w:spacing w:after="0" w:line="218" w:lineRule="auto"/>
        <w:rPr>
          <w:sz w:val="20"/>
          <w:szCs w:val="20"/>
          <w:color w:val="auto"/>
        </w:rPr>
      </w:pPr>
      <w:r>
        <w:rPr>
          <w:rFonts w:ascii="Times New Roman" w:cs="Times New Roman" w:eastAsia="Times New Roman" w:hAnsi="Times New Roman"/>
          <w:sz w:val="18"/>
          <w:szCs w:val="18"/>
          <w:color w:val="auto"/>
        </w:rPr>
        <w:t>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w:t>
      </w:r>
    </w:p>
    <w:p>
      <w:pPr>
        <w:jc w:val="both"/>
        <w:ind w:right="20"/>
        <w:spacing w:after="0" w:line="220" w:lineRule="auto"/>
        <w:rPr>
          <w:sz w:val="20"/>
          <w:szCs w:val="20"/>
          <w:color w:val="auto"/>
        </w:rPr>
      </w:pPr>
      <w:r>
        <w:rPr>
          <w:rFonts w:ascii="Times New Roman" w:cs="Times New Roman" w:eastAsia="Times New Roman" w:hAnsi="Times New Roman"/>
          <w:sz w:val="17"/>
          <w:szCs w:val="17"/>
          <w:color w:val="auto"/>
        </w:rPr>
        <w:t>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w:t>
      </w:r>
    </w:p>
    <w:p>
      <w:pPr>
        <w:spacing w:after="0" w:line="2" w:lineRule="exact"/>
        <w:rPr>
          <w:sz w:val="20"/>
          <w:szCs w:val="20"/>
          <w:color w:val="auto"/>
        </w:rPr>
      </w:pPr>
    </w:p>
    <w:p>
      <w:pPr>
        <w:ind w:right="340"/>
        <w:spacing w:after="0" w:line="218" w:lineRule="auto"/>
        <w:rPr>
          <w:sz w:val="20"/>
          <w:szCs w:val="20"/>
          <w:color w:val="auto"/>
        </w:rPr>
      </w:pPr>
      <w:r>
        <w:rPr>
          <w:rFonts w:ascii="Times New Roman" w:cs="Times New Roman" w:eastAsia="Times New Roman" w:hAnsi="Times New Roman"/>
          <w:sz w:val="18"/>
          <w:szCs w:val="18"/>
          <w:color w:val="auto"/>
        </w:rPr>
        <w:t>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9"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The Vita Coco Company,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4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The Vita Coco Company, Inc. and subsidiaries (the "Company") as of December 31, 2025 and 2024, the related consolidated statements of operations, comprehensive income,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211"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18, 2026, expressed an unqualified opinion on the Company's internal control over financial reporting.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43"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Promotion Accruals — Refer to Note 2 to the financial statements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4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Company’s contracts with customers include variable consideration, including trade promotions. Variable consideration is treated as a reduction in revenue when the related revenue is recognized, and is recorded using the expected value method, with updates to estimates and related accruals of variable consideration occurring each period based on historical experience and changes in circumstances.</w:t>
      </w:r>
    </w:p>
    <w:p>
      <w:pPr>
        <w:spacing w:after="0" w:line="20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We identified the estimation of trade promotion accruals by management as a critical audit matter. These accruals are based on contract terms and the Company’s historical experience with similar programs and requires management judgment with respect to estimating customer and consumer participation and performance results. Consequently, auditing these assumptions require subjective auditor judgment.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trade promotion accruals included the following, among others:</w:t>
      </w:r>
    </w:p>
    <w:p>
      <w:pPr>
        <w:sectPr>
          <w:pgSz w:w="11900" w:h="16838" w:orient="portrait"/>
          <w:cols w:equalWidth="0" w:num="1">
            <w:col w:w="11220"/>
          </w:cols>
          <w:pgMar w:left="320" w:top="10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line="22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management’s controls over the estimation and calculation of the trade promotion accruals, including management’s controls over the review of the period-end accrual.</w:t>
      </w:r>
    </w:p>
    <w:p>
      <w:pPr>
        <w:spacing w:after="0" w:line="1" w:lineRule="exact"/>
        <w:rPr>
          <w:rFonts w:ascii="Times New Roman" w:cs="Times New Roman" w:eastAsia="Times New Roman" w:hAnsi="Times New Roman"/>
          <w:sz w:val="18"/>
          <w:szCs w:val="18"/>
          <w:color w:val="auto"/>
        </w:rPr>
      </w:pPr>
    </w:p>
    <w:p>
      <w:pPr>
        <w:ind w:left="660" w:right="120" w:hanging="328"/>
        <w:spacing w:after="0" w:line="215" w:lineRule="auto"/>
        <w:tabs>
          <w:tab w:leader="none" w:pos="65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selected a sample of individual customers included in management’s detail of the recorded trade promotion accruals, and evaluated inputs relevant to recorded amounts, including contractual pricing and rebate arrangements with customers, which were compared to source documents.</w:t>
      </w:r>
    </w:p>
    <w:p>
      <w:pPr>
        <w:ind w:left="660" w:right="100" w:hanging="328"/>
        <w:spacing w:after="0" w:line="233"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subsequent payments, inspected relevant source documents, determined if they pertained to trade promotions that should have been recorded as of year-end, and compared to recorded amounts.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AS OF DECEMBER 31, 2025 AND 2024</w:t>
      </w:r>
    </w:p>
    <w:p>
      <w:pPr>
        <w:ind w:left="4100"/>
        <w:spacing w:after="0"/>
        <w:rPr>
          <w:sz w:val="20"/>
          <w:szCs w:val="20"/>
          <w:color w:val="auto"/>
        </w:rPr>
      </w:pPr>
      <w:r>
        <w:rPr>
          <w:rFonts w:ascii="Times New Roman" w:cs="Times New Roman" w:eastAsia="Times New Roman" w:hAnsi="Times New Roman"/>
          <w:sz w:val="18"/>
          <w:szCs w:val="18"/>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8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196,873</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164,669</w:t>
            </w:r>
          </w:p>
        </w:tc>
      </w:tr>
      <w:tr>
        <w:trPr>
          <w:trHeight w:val="193"/>
        </w:trPr>
        <w:tc>
          <w:tcPr>
            <w:tcW w:w="81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 net of allowance of $2,660 at December 31, 2025, and $2,255 at December 31, 2024</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81,514</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63,450</w:t>
            </w: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Inventory</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111,468</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83,600</w:t>
            </w:r>
          </w:p>
        </w:tc>
      </w:tr>
      <w:tr>
        <w:trPr>
          <w:trHeight w:val="193"/>
        </w:trPr>
        <w:tc>
          <w:tcPr>
            <w:tcW w:w="81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Supplier advances, current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Derivative assets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w:t>
            </w:r>
          </w:p>
        </w:tc>
      </w:tr>
      <w:tr>
        <w:trPr>
          <w:trHeight w:val="193"/>
        </w:trPr>
        <w:tc>
          <w:tcPr>
            <w:tcW w:w="81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30,160</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27,236</w:t>
            </w:r>
          </w:p>
        </w:tc>
      </w:tr>
      <w:tr>
        <w:trPr>
          <w:trHeight w:val="23"/>
        </w:trPr>
        <w:tc>
          <w:tcPr>
            <w:tcW w:w="8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9"/>
        </w:trPr>
        <w:tc>
          <w:tcPr>
            <w:tcW w:w="81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current assets</w:t>
            </w: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421,440</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341,291</w:t>
            </w: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9,298</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2,351</w:t>
            </w: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7,791</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7,791</w:t>
            </w: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Supplier advances, long-term</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1,860</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2,254</w:t>
            </w: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Deferred tax assets, net</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6,463</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6,100</w:t>
            </w:r>
          </w:p>
        </w:tc>
      </w:tr>
      <w:tr>
        <w:trPr>
          <w:trHeight w:val="193"/>
        </w:trPr>
        <w:tc>
          <w:tcPr>
            <w:tcW w:w="81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Right-of-use assets, net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6"/>
        </w:trPr>
        <w:tc>
          <w:tcPr>
            <w:tcW w:w="8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 assets</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2,714</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2,209</w:t>
            </w:r>
          </w:p>
        </w:tc>
      </w:tr>
      <w:tr>
        <w:trPr>
          <w:trHeight w:val="186"/>
        </w:trPr>
        <w:tc>
          <w:tcPr>
            <w:tcW w:w="81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Total assets</w:t>
            </w:r>
          </w:p>
        </w:tc>
        <w:tc>
          <w:tcPr>
            <w:tcW w:w="920" w:type="dxa"/>
            <w:vAlign w:val="bottom"/>
            <w:tcBorders>
              <w:top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461,158</w:t>
            </w:r>
          </w:p>
        </w:tc>
        <w:tc>
          <w:tcPr>
            <w:tcW w:w="120" w:type="dxa"/>
            <w:vAlign w:val="bottom"/>
          </w:tcPr>
          <w:p>
            <w:pPr>
              <w:spacing w:after="0"/>
              <w:rPr>
                <w:sz w:val="16"/>
                <w:szCs w:val="16"/>
                <w:color w:val="auto"/>
              </w:rPr>
            </w:pPr>
          </w:p>
        </w:tc>
        <w:tc>
          <w:tcPr>
            <w:tcW w:w="480" w:type="dxa"/>
            <w:vAlign w:val="bottom"/>
            <w:tcBorders>
              <w:top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362,381</w:t>
            </w:r>
          </w:p>
        </w:tc>
      </w:tr>
      <w:tr>
        <w:trPr>
          <w:trHeight w:val="23"/>
        </w:trPr>
        <w:tc>
          <w:tcPr>
            <w:tcW w:w="8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63"/>
        </w:trPr>
        <w:tc>
          <w:tcPr>
            <w:tcW w:w="816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9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4"/>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25,464</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30,758</w:t>
            </w:r>
          </w:p>
        </w:tc>
      </w:tr>
      <w:tr>
        <w:trPr>
          <w:trHeight w:val="193"/>
        </w:trPr>
        <w:tc>
          <w:tcPr>
            <w:tcW w:w="81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89,458</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65,603</w:t>
            </w: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Notes payable, current</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93"/>
        </w:trPr>
        <w:tc>
          <w:tcPr>
            <w:tcW w:w="8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Derivative liabilities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6,895</w:t>
            </w:r>
          </w:p>
        </w:tc>
      </w:tr>
      <w:tr>
        <w:trPr>
          <w:trHeight w:val="23"/>
        </w:trPr>
        <w:tc>
          <w:tcPr>
            <w:tcW w:w="8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9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116,432</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103,266</w:t>
            </w: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payable, long-term</w:t>
            </w:r>
          </w:p>
        </w:tc>
        <w:tc>
          <w:tcPr>
            <w:tcW w:w="9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liability, long-term</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13,087</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r>
      <w:tr>
        <w:trPr>
          <w:trHeight w:val="23"/>
        </w:trPr>
        <w:tc>
          <w:tcPr>
            <w:tcW w:w="8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0"/>
        </w:trPr>
        <w:tc>
          <w:tcPr>
            <w:tcW w:w="81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liabilities</w:t>
            </w: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129,616</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103,564</w:t>
            </w:r>
          </w:p>
        </w:tc>
      </w:tr>
      <w:tr>
        <w:trPr>
          <w:trHeight w:val="17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Contingencies (See Note 11)</w:t>
            </w:r>
          </w:p>
        </w:tc>
        <w:tc>
          <w:tcPr>
            <w:tcW w:w="9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r>
      <w:tr>
        <w:trPr>
          <w:trHeight w:val="266"/>
        </w:trPr>
        <w:tc>
          <w:tcPr>
            <w:tcW w:w="8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166"/>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$0.01 par value; 500,000,000 shares authorized; 64,186,549 and 63,702,387 shares issued at December 31, 2025 and</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8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December 31, 2024, respectively; 57,082,173 and 56,961,941 shares outstanding at December 31, 2025 and December 31, 2024,</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8"/>
        </w:trPr>
        <w:tc>
          <w:tcPr>
            <w:tcW w:w="8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respectively.</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185,400</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174,077</w:t>
            </w: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228,014</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156,694</w:t>
            </w:r>
          </w:p>
        </w:tc>
      </w:tr>
      <w:tr>
        <w:trPr>
          <w:trHeight w:val="23"/>
        </w:trPr>
        <w:tc>
          <w:tcPr>
            <w:tcW w:w="8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96"/>
        </w:trPr>
        <w:tc>
          <w:tcPr>
            <w:tcW w:w="8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Accumulated other comprehensive gain (loss)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r>
      <w:tr>
        <w:trPr>
          <w:trHeight w:val="193"/>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stock, 7,104,376 shares at cost as of December 31, 2025, and 6,740,446 as of December 31, 2024.</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(83,000)</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(71,731)</w:t>
            </w:r>
          </w:p>
        </w:tc>
      </w:tr>
      <w:tr>
        <w:trPr>
          <w:trHeight w:val="23"/>
        </w:trPr>
        <w:tc>
          <w:tcPr>
            <w:tcW w:w="8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0"/>
        </w:trPr>
        <w:tc>
          <w:tcPr>
            <w:tcW w:w="81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331,542</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258,817</w:t>
            </w:r>
          </w:p>
        </w:tc>
      </w:tr>
      <w:tr>
        <w:trPr>
          <w:trHeight w:val="186"/>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920" w:type="dxa"/>
            <w:vAlign w:val="bottom"/>
            <w:tcBorders>
              <w:top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461,158</w:t>
            </w:r>
          </w:p>
        </w:tc>
        <w:tc>
          <w:tcPr>
            <w:tcW w:w="120" w:type="dxa"/>
            <w:vAlign w:val="bottom"/>
          </w:tcPr>
          <w:p>
            <w:pPr>
              <w:spacing w:after="0"/>
              <w:rPr>
                <w:sz w:val="16"/>
                <w:szCs w:val="16"/>
                <w:color w:val="auto"/>
              </w:rPr>
            </w:pPr>
          </w:p>
        </w:tc>
        <w:tc>
          <w:tcPr>
            <w:tcW w:w="480" w:type="dxa"/>
            <w:vAlign w:val="bottom"/>
            <w:tcBorders>
              <w:top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362,381</w:t>
            </w:r>
          </w:p>
        </w:tc>
      </w:tr>
      <w:tr>
        <w:trPr>
          <w:trHeight w:val="23"/>
        </w:trPr>
        <w:tc>
          <w:tcPr>
            <w:tcW w:w="8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&amp;</w:t>
      </w:r>
    </w:p>
    <w:p>
      <w:pPr>
        <w:spacing w:after="0" w:line="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p>
      <w:pPr>
        <w:spacing w:after="0" w:line="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609,780</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516,013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493,612</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387,185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317,230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312,883</w:t>
            </w:r>
          </w:p>
        </w:tc>
        <w:tc>
          <w:tcPr>
            <w:tcW w:w="0" w:type="dxa"/>
            <w:vAlign w:val="bottom"/>
          </w:tcPr>
          <w:p>
            <w:pPr>
              <w:spacing w:after="0"/>
              <w:rPr>
                <w:sz w:val="1"/>
                <w:szCs w:val="1"/>
                <w:color w:val="auto"/>
              </w:rPr>
            </w:pPr>
          </w:p>
        </w:tc>
      </w:tr>
      <w:tr>
        <w:trPr>
          <w:trHeight w:val="256"/>
        </w:trPr>
        <w:tc>
          <w:tcPr>
            <w:tcW w:w="66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222,595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198,783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180,729</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140,063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124,963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124,236</w:t>
            </w: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140,063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124,963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124,236</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56,493</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gain/(loss) on derivative instruments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50"/>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loss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 net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0" w:type="dxa"/>
            <w:vAlign w:val="bottom"/>
          </w:tcPr>
          <w:p>
            <w:pPr>
              <w:spacing w:after="0"/>
              <w:rPr>
                <w:sz w:val="1"/>
                <w:szCs w:val="1"/>
                <w:color w:val="auto"/>
              </w:rPr>
            </w:pPr>
          </w:p>
        </w:tc>
      </w:tr>
      <w:tr>
        <w:trPr>
          <w:trHeight w:val="250"/>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600" w:type="dxa"/>
            <w:vAlign w:val="bottom"/>
            <w:tcBorders>
              <w:top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10,439</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57,920</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71,320</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46,629</w:t>
            </w:r>
          </w:p>
        </w:tc>
        <w:tc>
          <w:tcPr>
            <w:tcW w:w="0" w:type="dxa"/>
            <w:vAlign w:val="bottom"/>
          </w:tcPr>
          <w:p>
            <w:pPr>
              <w:spacing w:after="0"/>
              <w:rPr>
                <w:sz w:val="1"/>
                <w:szCs w:val="1"/>
                <w:color w:val="auto"/>
              </w:rPr>
            </w:pPr>
          </w:p>
        </w:tc>
      </w:tr>
      <w:tr>
        <w:trPr>
          <w:trHeight w:val="277"/>
        </w:trPr>
        <w:tc>
          <w:tcPr>
            <w:tcW w:w="6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attributable to The Vita Coco Company, Inc.</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72,666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55,741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46,974</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Vita Coco Company, Inc. per common share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6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00" w:type="dxa"/>
            <w:vAlign w:val="bottom"/>
            <w:vMerge w:val="continue"/>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1"/>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56,913,810</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56,729,370</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56,427,890</w:t>
            </w:r>
          </w:p>
        </w:tc>
        <w:tc>
          <w:tcPr>
            <w:tcW w:w="0" w:type="dxa"/>
            <w:vAlign w:val="bottom"/>
          </w:tcPr>
          <w:p>
            <w:pPr>
              <w:spacing w:after="0"/>
              <w:rPr>
                <w:sz w:val="1"/>
                <w:szCs w:val="1"/>
                <w:color w:val="auto"/>
              </w:rPr>
            </w:pPr>
          </w:p>
        </w:tc>
      </w:tr>
      <w:tr>
        <w:trPr>
          <w:trHeight w:val="21"/>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66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59,967,691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59,286,562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58,747,338</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jc w:val="center"/>
        <w:spacing w:after="0"/>
        <w:rPr>
          <w:sz w:val="20"/>
          <w:szCs w:val="20"/>
          <w:color w:val="auto"/>
        </w:rPr>
      </w:pPr>
      <w:r>
        <w:rPr>
          <w:rFonts w:ascii="Times New Roman" w:cs="Times New Roman" w:eastAsia="Times New Roman" w:hAnsi="Times New Roman"/>
          <w:sz w:val="18"/>
          <w:szCs w:val="18"/>
          <w:color w:val="auto"/>
        </w:rPr>
        <w:t>(Amounts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55880</wp:posOffset>
            </wp:positionV>
            <wp:extent cx="4903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0347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5"/>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Common Stock</w:t>
            </w:r>
          </w:p>
        </w:tc>
        <w:tc>
          <w:tcPr>
            <w:tcW w:w="1400" w:type="dxa"/>
            <w:vAlign w:val="bottom"/>
            <w:gridSpan w:val="5"/>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Total Common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gridSpan w:val="5"/>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7"/>
              </w:rPr>
              <w:t>with Exit</w:t>
            </w:r>
          </w:p>
        </w:tc>
        <w:tc>
          <w:tcPr>
            <w:tcW w:w="1400" w:type="dxa"/>
            <w:vAlign w:val="bottom"/>
            <w:gridSpan w:val="5"/>
            <w:vMerge w:val="continue"/>
          </w:tcPr>
          <w:p>
            <w:pPr>
              <w:spacing w:after="0"/>
              <w:rPr>
                <w:sz w:val="9"/>
                <w:szCs w:val="9"/>
                <w:color w:val="auto"/>
              </w:rPr>
            </w:pPr>
          </w:p>
        </w:tc>
        <w:tc>
          <w:tcPr>
            <w:tcW w:w="7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80" w:type="dxa"/>
            <w:vAlign w:val="bottom"/>
          </w:tcPr>
          <w:p>
            <w:pPr>
              <w:spacing w:after="0"/>
              <w:rPr>
                <w:sz w:val="9"/>
                <w:szCs w:val="9"/>
                <w:color w:val="auto"/>
              </w:rPr>
            </w:pPr>
          </w:p>
        </w:tc>
        <w:tc>
          <w:tcPr>
            <w:tcW w:w="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rPr>
              <w:t>Retained</w:t>
            </w:r>
          </w:p>
        </w:tc>
        <w:tc>
          <w:tcPr>
            <w:tcW w:w="80" w:type="dxa"/>
            <w:vAlign w:val="bottom"/>
          </w:tcPr>
          <w:p>
            <w:pPr>
              <w:spacing w:after="0"/>
              <w:rPr>
                <w:sz w:val="9"/>
                <w:szCs w:val="9"/>
                <w:color w:val="auto"/>
              </w:rPr>
            </w:pPr>
          </w:p>
        </w:tc>
        <w:tc>
          <w:tcPr>
            <w:tcW w:w="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rPr>
              <w:t>Accumulated</w:t>
            </w: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500" w:type="dxa"/>
            <w:vAlign w:val="bottom"/>
          </w:tcPr>
          <w:p>
            <w:pPr>
              <w:spacing w:after="0"/>
              <w:rPr>
                <w:sz w:val="3"/>
                <w:szCs w:val="3"/>
                <w:color w:val="auto"/>
              </w:rPr>
            </w:pPr>
          </w:p>
        </w:tc>
        <w:tc>
          <w:tcPr>
            <w:tcW w:w="1340" w:type="dxa"/>
            <w:vAlign w:val="bottom"/>
            <w:gridSpan w:val="5"/>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42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Stock</w:t>
            </w: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1400" w:type="dxa"/>
            <w:vAlign w:val="bottom"/>
            <w:gridSpan w:val="5"/>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500" w:type="dxa"/>
            <w:vAlign w:val="bottom"/>
          </w:tcPr>
          <w:p>
            <w:pPr>
              <w:spacing w:after="0"/>
              <w:rPr>
                <w:sz w:val="8"/>
                <w:szCs w:val="8"/>
                <w:color w:val="auto"/>
              </w:rPr>
            </w:pPr>
          </w:p>
        </w:tc>
        <w:tc>
          <w:tcPr>
            <w:tcW w:w="1340" w:type="dxa"/>
            <w:vAlign w:val="bottom"/>
            <w:gridSpan w:val="5"/>
            <w:vMerge w:val="continue"/>
          </w:tcPr>
          <w:p>
            <w:pPr>
              <w:spacing w:after="0"/>
              <w:rPr>
                <w:sz w:val="8"/>
                <w:szCs w:val="8"/>
                <w:color w:val="auto"/>
              </w:rPr>
            </w:pPr>
          </w:p>
        </w:tc>
        <w:tc>
          <w:tcPr>
            <w:tcW w:w="1420" w:type="dxa"/>
            <w:vAlign w:val="bottom"/>
            <w:gridSpan w:val="5"/>
            <w:vMerge w:val="continue"/>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2"/>
          </w:tcPr>
          <w:p>
            <w:pPr>
              <w:jc w:val="center"/>
              <w:ind w:right="180"/>
              <w:spacing w:after="0" w:line="92" w:lineRule="exact"/>
              <w:rPr>
                <w:sz w:val="20"/>
                <w:szCs w:val="20"/>
                <w:color w:val="auto"/>
              </w:rPr>
            </w:pPr>
            <w:r>
              <w:rPr>
                <w:rFonts w:ascii="Times New Roman" w:cs="Times New Roman" w:eastAsia="Times New Roman" w:hAnsi="Times New Roman"/>
                <w:sz w:val="9"/>
                <w:szCs w:val="9"/>
                <w:b w:val="1"/>
                <w:bCs w:val="1"/>
                <w:color w:val="auto"/>
              </w:rPr>
              <w:t>Earnings</w:t>
            </w:r>
          </w:p>
        </w:tc>
        <w:tc>
          <w:tcPr>
            <w:tcW w:w="80" w:type="dxa"/>
            <w:vAlign w:val="bottom"/>
          </w:tcPr>
          <w:p>
            <w:pPr>
              <w:spacing w:after="0"/>
              <w:rPr>
                <w:sz w:val="8"/>
                <w:szCs w:val="8"/>
                <w:color w:val="auto"/>
              </w:rPr>
            </w:pPr>
          </w:p>
        </w:tc>
        <w:tc>
          <w:tcPr>
            <w:tcW w:w="740" w:type="dxa"/>
            <w:vAlign w:val="bottom"/>
            <w:gridSpan w:val="2"/>
          </w:tcPr>
          <w:p>
            <w:pPr>
              <w:jc w:val="center"/>
              <w:ind w:right="220"/>
              <w:spacing w:after="0" w:line="92" w:lineRule="exact"/>
              <w:rPr>
                <w:sz w:val="20"/>
                <w:szCs w:val="20"/>
                <w:color w:val="auto"/>
              </w:rPr>
            </w:pPr>
            <w:r>
              <w:rPr>
                <w:rFonts w:ascii="Times New Roman" w:cs="Times New Roman" w:eastAsia="Times New Roman" w:hAnsi="Times New Roman"/>
                <w:sz w:val="9"/>
                <w:szCs w:val="9"/>
                <w:b w:val="1"/>
                <w:bCs w:val="1"/>
                <w:color w:val="auto"/>
              </w:rPr>
              <w:t>Other</w:t>
            </w:r>
          </w:p>
        </w:tc>
        <w:tc>
          <w:tcPr>
            <w:tcW w:w="140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jc w:val="center"/>
              <w:ind w:right="87"/>
              <w:spacing w:after="0" w:line="92" w:lineRule="exact"/>
              <w:rPr>
                <w:sz w:val="20"/>
                <w:szCs w:val="20"/>
                <w:color w:val="auto"/>
              </w:rPr>
            </w:pPr>
            <w:r>
              <w:rPr>
                <w:rFonts w:ascii="Times New Roman" w:cs="Times New Roman" w:eastAsia="Times New Roman" w:hAnsi="Times New Roman"/>
                <w:sz w:val="9"/>
                <w:szCs w:val="9"/>
                <w:b w:val="1"/>
                <w:bCs w:val="1"/>
                <w:color w:val="auto"/>
                <w:w w:val="97"/>
              </w:rPr>
              <w:t>Total</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2"/>
            <w:vMerge w:val="restart"/>
          </w:tcPr>
          <w:p>
            <w:pPr>
              <w:jc w:val="center"/>
              <w:ind w:right="200"/>
              <w:spacing w:after="0" w:line="95" w:lineRule="exact"/>
              <w:rPr>
                <w:sz w:val="20"/>
                <w:szCs w:val="20"/>
                <w:color w:val="auto"/>
              </w:rPr>
            </w:pPr>
            <w:r>
              <w:rPr>
                <w:rFonts w:ascii="Times New Roman" w:cs="Times New Roman" w:eastAsia="Times New Roman" w:hAnsi="Times New Roman"/>
                <w:sz w:val="10"/>
                <w:szCs w:val="10"/>
                <w:b w:val="1"/>
                <w:bCs w:val="1"/>
                <w:color w:val="auto"/>
              </w:rPr>
              <w:t>Paid-In</w:t>
            </w:r>
          </w:p>
        </w:tc>
        <w:tc>
          <w:tcPr>
            <w:tcW w:w="80" w:type="dxa"/>
            <w:vAlign w:val="bottom"/>
          </w:tcPr>
          <w:p>
            <w:pPr>
              <w:spacing w:after="0"/>
              <w:rPr>
                <w:sz w:val="2"/>
                <w:szCs w:val="2"/>
                <w:color w:val="auto"/>
              </w:rPr>
            </w:pPr>
          </w:p>
        </w:tc>
        <w:tc>
          <w:tcPr>
            <w:tcW w:w="700" w:type="dxa"/>
            <w:vAlign w:val="bottom"/>
            <w:gridSpan w:val="2"/>
            <w:vMerge w:val="restart"/>
          </w:tcPr>
          <w:p>
            <w:pPr>
              <w:jc w:val="center"/>
              <w:ind w:right="180"/>
              <w:spacing w:after="0" w:line="95" w:lineRule="exact"/>
              <w:rPr>
                <w:sz w:val="20"/>
                <w:szCs w:val="20"/>
                <w:color w:val="auto"/>
              </w:rPr>
            </w:pPr>
            <w:r>
              <w:rPr>
                <w:rFonts w:ascii="Times New Roman" w:cs="Times New Roman" w:eastAsia="Times New Roman" w:hAnsi="Times New Roman"/>
                <w:sz w:val="9"/>
                <w:szCs w:val="9"/>
                <w:b w:val="1"/>
                <w:bCs w:val="1"/>
                <w:color w:val="auto"/>
                <w:w w:val="96"/>
              </w:rPr>
              <w:t>(Accumulated</w:t>
            </w:r>
          </w:p>
        </w:tc>
        <w:tc>
          <w:tcPr>
            <w:tcW w:w="820" w:type="dxa"/>
            <w:vAlign w:val="bottom"/>
            <w:gridSpan w:val="3"/>
            <w:vMerge w:val="restart"/>
          </w:tcPr>
          <w:p>
            <w:pPr>
              <w:jc w:val="center"/>
              <w:ind w:right="140"/>
              <w:spacing w:after="0" w:line="95" w:lineRule="exact"/>
              <w:rPr>
                <w:sz w:val="20"/>
                <w:szCs w:val="20"/>
                <w:color w:val="auto"/>
              </w:rPr>
            </w:pPr>
            <w:r>
              <w:rPr>
                <w:rFonts w:ascii="Times New Roman" w:cs="Times New Roman" w:eastAsia="Times New Roman" w:hAnsi="Times New Roman"/>
                <w:sz w:val="9"/>
                <w:szCs w:val="9"/>
                <w:b w:val="1"/>
                <w:bCs w:val="1"/>
                <w:color w:val="auto"/>
                <w:w w:val="99"/>
              </w:rPr>
              <w:t>Comprehensive</w:t>
            </w: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vMerge w:val="restart"/>
          </w:tcPr>
          <w:p>
            <w:pPr>
              <w:jc w:val="center"/>
              <w:ind w:right="87"/>
              <w:spacing w:after="0" w:line="95" w:lineRule="exact"/>
              <w:rPr>
                <w:sz w:val="20"/>
                <w:szCs w:val="20"/>
                <w:color w:val="auto"/>
              </w:rPr>
            </w:pPr>
            <w:r>
              <w:rPr>
                <w:rFonts w:ascii="Times New Roman" w:cs="Times New Roman" w:eastAsia="Times New Roman" w:hAnsi="Times New Roman"/>
                <w:sz w:val="9"/>
                <w:szCs w:val="9"/>
                <w:b w:val="1"/>
                <w:bCs w:val="1"/>
                <w:color w:val="auto"/>
                <w:w w:val="98"/>
              </w:rPr>
              <w:t>Stockholders'</w:t>
            </w:r>
          </w:p>
        </w:tc>
        <w:tc>
          <w:tcPr>
            <w:tcW w:w="0" w:type="dxa"/>
            <w:vAlign w:val="bottom"/>
          </w:tcPr>
          <w:p>
            <w:pPr>
              <w:spacing w:after="0"/>
              <w:rPr>
                <w:sz w:val="1"/>
                <w:szCs w:val="1"/>
                <w:color w:val="auto"/>
              </w:rPr>
            </w:pPr>
          </w:p>
        </w:tc>
      </w:tr>
      <w:tr>
        <w:trPr>
          <w:trHeight w:val="48"/>
        </w:trPr>
        <w:tc>
          <w:tcPr>
            <w:tcW w:w="2500" w:type="dxa"/>
            <w:vAlign w:val="bottom"/>
          </w:tcPr>
          <w:p>
            <w:pPr>
              <w:spacing w:after="0"/>
              <w:rPr>
                <w:sz w:val="4"/>
                <w:szCs w:val="4"/>
                <w:color w:val="auto"/>
              </w:rPr>
            </w:pPr>
          </w:p>
        </w:tc>
        <w:tc>
          <w:tcPr>
            <w:tcW w:w="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4"/>
                <w:szCs w:val="4"/>
                <w:color w:val="auto"/>
              </w:rPr>
            </w:pP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4"/>
                <w:szCs w:val="4"/>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4"/>
                <w:szCs w:val="4"/>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Pr>
          <w:p>
            <w:pPr>
              <w:spacing w:after="0"/>
              <w:rPr>
                <w:sz w:val="11"/>
                <w:szCs w:val="11"/>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rPr>
              <w:t>Deficit)</w:t>
            </w:r>
          </w:p>
        </w:tc>
        <w:tc>
          <w:tcPr>
            <w:tcW w:w="820" w:type="dxa"/>
            <w:vAlign w:val="bottom"/>
            <w:gridSpan w:val="3"/>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w w:val="98"/>
              </w:rPr>
              <w:t>Income / (Loss)</w:t>
            </w: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67"/>
              <w:spacing w:after="0"/>
              <w:rPr>
                <w:sz w:val="20"/>
                <w:szCs w:val="20"/>
                <w:color w:val="auto"/>
              </w:rPr>
            </w:pPr>
            <w:r>
              <w:rPr>
                <w:rFonts w:ascii="Times New Roman" w:cs="Times New Roman" w:eastAsia="Times New Roman" w:hAnsi="Times New Roman"/>
                <w:sz w:val="9"/>
                <w:szCs w:val="9"/>
                <w:b w:val="1"/>
                <w:bCs w:val="1"/>
                <w:color w:val="auto"/>
                <w:w w:val="99"/>
              </w:rPr>
              <w:t>Equity</w:t>
            </w:r>
          </w:p>
        </w:tc>
        <w:tc>
          <w:tcPr>
            <w:tcW w:w="0" w:type="dxa"/>
            <w:vAlign w:val="bottom"/>
          </w:tcPr>
          <w:p>
            <w:pPr>
              <w:spacing w:after="0"/>
              <w:rPr>
                <w:sz w:val="1"/>
                <w:szCs w:val="1"/>
                <w:color w:val="auto"/>
              </w:rPr>
            </w:pPr>
          </w:p>
        </w:tc>
      </w:tr>
      <w:tr>
        <w:trPr>
          <w:trHeight w:val="34"/>
        </w:trPr>
        <w:tc>
          <w:tcPr>
            <w:tcW w:w="250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2022</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54,112,145</w:t>
            </w:r>
          </w:p>
        </w:tc>
        <w:tc>
          <w:tcPr>
            <w:tcW w:w="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44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541</w:t>
            </w:r>
          </w:p>
        </w:tc>
        <w:tc>
          <w:tcPr>
            <w:tcW w:w="8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8,113,105</w:t>
            </w:r>
          </w:p>
        </w:tc>
        <w:tc>
          <w:tcPr>
            <w:tcW w:w="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81</w:t>
            </w:r>
          </w:p>
        </w:tc>
        <w:tc>
          <w:tcPr>
            <w:tcW w:w="8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62,225,250</w:t>
            </w:r>
          </w:p>
        </w:tc>
        <w:tc>
          <w:tcPr>
            <w:tcW w:w="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622</w:t>
            </w:r>
          </w:p>
        </w:tc>
        <w:tc>
          <w:tcPr>
            <w:tcW w:w="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145,210</w:t>
            </w:r>
          </w:p>
        </w:tc>
        <w:tc>
          <w:tcPr>
            <w:tcW w:w="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1"/>
                <w:szCs w:val="11"/>
                <w:color w:val="auto"/>
              </w:rPr>
              <w:t>55,183</w:t>
            </w:r>
          </w:p>
        </w:tc>
        <w:tc>
          <w:tcPr>
            <w:tcW w:w="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(994)</w:t>
            </w:r>
          </w:p>
        </w:tc>
        <w:tc>
          <w:tcPr>
            <w:tcW w:w="12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6,206,200</w:t>
            </w:r>
          </w:p>
        </w:tc>
        <w:tc>
          <w:tcPr>
            <w:tcW w:w="8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(58,928)</w:t>
            </w:r>
          </w:p>
        </w:tc>
        <w:tc>
          <w:tcPr>
            <w:tcW w:w="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141,093</w:t>
            </w:r>
          </w:p>
        </w:tc>
        <w:tc>
          <w:tcPr>
            <w:tcW w:w="0" w:type="dxa"/>
            <w:vAlign w:val="bottom"/>
          </w:tcPr>
          <w:p>
            <w:pPr>
              <w:spacing w:after="0"/>
              <w:rPr>
                <w:sz w:val="1"/>
                <w:szCs w:val="1"/>
                <w:color w:val="auto"/>
              </w:rPr>
            </w:pPr>
          </w:p>
        </w:tc>
      </w:tr>
      <w:tr>
        <w:trPr>
          <w:trHeight w:val="153"/>
        </w:trPr>
        <w:tc>
          <w:tcPr>
            <w:tcW w:w="2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1"/>
                <w:szCs w:val="11"/>
                <w:color w:val="auto"/>
              </w:rPr>
              <w:t>46,629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46,629</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Cumulative-effect adjustment related to the adoption of</w:t>
            </w: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5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accounting guidance for credit losses</w:t>
            </w:r>
          </w:p>
        </w:tc>
        <w:tc>
          <w:tcPr>
            <w:tcW w:w="7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(1,070)</w:t>
            </w: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(1,070)</w:t>
            </w:r>
          </w:p>
        </w:tc>
        <w:tc>
          <w:tcPr>
            <w:tcW w:w="0" w:type="dxa"/>
            <w:vAlign w:val="bottom"/>
          </w:tcPr>
          <w:p>
            <w:pPr>
              <w:spacing w:after="0"/>
              <w:rPr>
                <w:sz w:val="1"/>
                <w:szCs w:val="1"/>
                <w:color w:val="auto"/>
              </w:rPr>
            </w:pPr>
          </w:p>
        </w:tc>
      </w:tr>
      <w:tr>
        <w:trPr>
          <w:trHeight w:val="153"/>
        </w:trPr>
        <w:tc>
          <w:tcPr>
            <w:tcW w:w="2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 of treasury stock</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(773)</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7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9,128</w:t>
            </w:r>
          </w:p>
        </w:tc>
        <w:tc>
          <w:tcPr>
            <w:tcW w:w="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9,128</w:t>
            </w:r>
          </w:p>
        </w:tc>
        <w:tc>
          <w:tcPr>
            <w:tcW w:w="0" w:type="dxa"/>
            <w:vAlign w:val="bottom"/>
          </w:tcPr>
          <w:p>
            <w:pPr>
              <w:spacing w:after="0"/>
              <w:rPr>
                <w:sz w:val="1"/>
                <w:szCs w:val="1"/>
                <w:color w:val="auto"/>
              </w:rPr>
            </w:pPr>
          </w:p>
        </w:tc>
      </w:tr>
      <w:tr>
        <w:trPr>
          <w:trHeight w:val="153"/>
        </w:trPr>
        <w:tc>
          <w:tcPr>
            <w:tcW w:w="2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Exercise of stock awards</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910,203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910,203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7,076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7,085</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7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345</w:t>
            </w:r>
          </w:p>
        </w:tc>
        <w:tc>
          <w:tcPr>
            <w:tcW w:w="12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345</w:t>
            </w:r>
          </w:p>
        </w:tc>
        <w:tc>
          <w:tcPr>
            <w:tcW w:w="0" w:type="dxa"/>
            <w:vAlign w:val="bottom"/>
          </w:tcPr>
          <w:p>
            <w:pPr>
              <w:spacing w:after="0"/>
              <w:rPr>
                <w:sz w:val="1"/>
                <w:szCs w:val="1"/>
                <w:color w:val="auto"/>
              </w:rPr>
            </w:pPr>
          </w:p>
        </w:tc>
      </w:tr>
      <w:tr>
        <w:trPr>
          <w:trHeight w:val="153"/>
        </w:trPr>
        <w:tc>
          <w:tcPr>
            <w:tcW w:w="25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2023</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55,022,348</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550</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8,113,105</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63,135,453</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631</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161,414</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100,742</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(649)</w:t>
            </w: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6,236,200</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(59,701)</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202,437</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500" w:type="dxa"/>
            <w:vAlign w:val="bottom"/>
            <w:tcBorders>
              <w:bottom w:val="single" w:sz="8" w:color="CFF0FC"/>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500" w:type="dxa"/>
            <w:vAlign w:val="bottom"/>
            <w:tcBorders>
              <w:bottom w:val="single" w:sz="8" w:color="CFF0FC"/>
            </w:tcBorders>
            <w:shd w:val="clear" w:color="auto" w:fill="CFF0FC"/>
          </w:tcPr>
          <w:p>
            <w:pPr>
              <w:ind w:left="20"/>
              <w:spacing w:after="0" w:line="121" w:lineRule="exact"/>
              <w:rPr>
                <w:sz w:val="20"/>
                <w:szCs w:val="20"/>
                <w:color w:val="auto"/>
              </w:rPr>
            </w:pPr>
            <w:r>
              <w:rPr>
                <w:rFonts w:ascii="Times New Roman" w:cs="Times New Roman" w:eastAsia="Times New Roman" w:hAnsi="Times New Roman"/>
                <w:sz w:val="11"/>
                <w:szCs w:val="11"/>
                <w:color w:val="auto"/>
              </w:rPr>
              <w:t>Net income</w:t>
            </w:r>
          </w:p>
        </w:tc>
        <w:tc>
          <w:tcPr>
            <w:tcW w:w="7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1"/>
                <w:szCs w:val="11"/>
                <w:color w:val="auto"/>
              </w:rPr>
              <w:t>55,952</w:t>
            </w:r>
          </w:p>
        </w:tc>
        <w:tc>
          <w:tcPr>
            <w:tcW w:w="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55,952</w:t>
            </w:r>
          </w:p>
        </w:tc>
        <w:tc>
          <w:tcPr>
            <w:tcW w:w="0" w:type="dxa"/>
            <w:vAlign w:val="bottom"/>
          </w:tcPr>
          <w:p>
            <w:pPr>
              <w:spacing w:after="0"/>
              <w:rPr>
                <w:sz w:val="1"/>
                <w:szCs w:val="1"/>
                <w:color w:val="auto"/>
              </w:rPr>
            </w:pPr>
          </w:p>
        </w:tc>
      </w:tr>
      <w:tr>
        <w:trPr>
          <w:trHeight w:val="153"/>
        </w:trPr>
        <w:tc>
          <w:tcPr>
            <w:tcW w:w="2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 of treasury stock</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504,246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(12,030)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(12,030)</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7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8,922</w:t>
            </w:r>
          </w:p>
        </w:tc>
        <w:tc>
          <w:tcPr>
            <w:tcW w:w="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8,922</w:t>
            </w:r>
          </w:p>
        </w:tc>
        <w:tc>
          <w:tcPr>
            <w:tcW w:w="0" w:type="dxa"/>
            <w:vAlign w:val="bottom"/>
          </w:tcPr>
          <w:p>
            <w:pPr>
              <w:spacing w:after="0"/>
              <w:rPr>
                <w:sz w:val="1"/>
                <w:szCs w:val="1"/>
                <w:color w:val="auto"/>
              </w:rPr>
            </w:pPr>
          </w:p>
        </w:tc>
      </w:tr>
      <w:tr>
        <w:trPr>
          <w:trHeight w:val="153"/>
        </w:trPr>
        <w:tc>
          <w:tcPr>
            <w:tcW w:w="2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Exercise of stock awards</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566,934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566,934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3,741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3,747</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7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12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0" w:type="dxa"/>
            <w:vAlign w:val="bottom"/>
          </w:tcPr>
          <w:p>
            <w:pPr>
              <w:spacing w:after="0"/>
              <w:rPr>
                <w:sz w:val="1"/>
                <w:szCs w:val="1"/>
                <w:color w:val="auto"/>
              </w:rPr>
            </w:pPr>
          </w:p>
        </w:tc>
      </w:tr>
      <w:tr>
        <w:trPr>
          <w:trHeight w:val="153"/>
        </w:trPr>
        <w:tc>
          <w:tcPr>
            <w:tcW w:w="25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55,589,282</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556</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8,113,105</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63,702,387</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637</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174,077</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156,694</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(860)</w:t>
            </w: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6,740,446</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(71,731)</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258,817</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500" w:type="dxa"/>
            <w:vAlign w:val="bottom"/>
            <w:tcBorders>
              <w:bottom w:val="single" w:sz="8" w:color="CFF0FC"/>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500" w:type="dxa"/>
            <w:vAlign w:val="bottom"/>
            <w:tcBorders>
              <w:bottom w:val="single" w:sz="8" w:color="CFF0FC"/>
            </w:tcBorders>
            <w:shd w:val="clear" w:color="auto" w:fill="CFF0FC"/>
          </w:tcPr>
          <w:p>
            <w:pPr>
              <w:ind w:left="20"/>
              <w:spacing w:after="0" w:line="121" w:lineRule="exact"/>
              <w:rPr>
                <w:sz w:val="20"/>
                <w:szCs w:val="20"/>
                <w:color w:val="auto"/>
              </w:rPr>
            </w:pPr>
            <w:r>
              <w:rPr>
                <w:rFonts w:ascii="Times New Roman" w:cs="Times New Roman" w:eastAsia="Times New Roman" w:hAnsi="Times New Roman"/>
                <w:sz w:val="11"/>
                <w:szCs w:val="11"/>
                <w:color w:val="auto"/>
              </w:rPr>
              <w:t>Net income</w:t>
            </w:r>
          </w:p>
        </w:tc>
        <w:tc>
          <w:tcPr>
            <w:tcW w:w="7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1"/>
                <w:szCs w:val="11"/>
                <w:color w:val="auto"/>
              </w:rPr>
              <w:t>71,320</w:t>
            </w:r>
          </w:p>
        </w:tc>
        <w:tc>
          <w:tcPr>
            <w:tcW w:w="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71,320</w:t>
            </w:r>
          </w:p>
        </w:tc>
        <w:tc>
          <w:tcPr>
            <w:tcW w:w="0" w:type="dxa"/>
            <w:vAlign w:val="bottom"/>
          </w:tcPr>
          <w:p>
            <w:pPr>
              <w:spacing w:after="0"/>
              <w:rPr>
                <w:sz w:val="1"/>
                <w:szCs w:val="1"/>
                <w:color w:val="auto"/>
              </w:rPr>
            </w:pPr>
          </w:p>
        </w:tc>
      </w:tr>
      <w:tr>
        <w:trPr>
          <w:trHeight w:val="153"/>
        </w:trPr>
        <w:tc>
          <w:tcPr>
            <w:tcW w:w="2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 of treasury stock</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363,930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(11,269)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(11,269)</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7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10,843</w:t>
            </w:r>
          </w:p>
        </w:tc>
        <w:tc>
          <w:tcPr>
            <w:tcW w:w="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10,843</w:t>
            </w:r>
          </w:p>
        </w:tc>
        <w:tc>
          <w:tcPr>
            <w:tcW w:w="0" w:type="dxa"/>
            <w:vAlign w:val="bottom"/>
          </w:tcPr>
          <w:p>
            <w:pPr>
              <w:spacing w:after="0"/>
              <w:rPr>
                <w:sz w:val="1"/>
                <w:szCs w:val="1"/>
                <w:color w:val="auto"/>
              </w:rPr>
            </w:pPr>
          </w:p>
        </w:tc>
      </w:tr>
      <w:tr>
        <w:trPr>
          <w:trHeight w:val="153"/>
        </w:trPr>
        <w:tc>
          <w:tcPr>
            <w:tcW w:w="2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Exercise of stock awards</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484,162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484,162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485</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7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5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FF0FC"/>
            </w:tcBorders>
            <w:shd w:val="clear" w:color="auto" w:fill="CFF0FC"/>
          </w:tcPr>
          <w:p>
            <w:pPr>
              <w:spacing w:after="0"/>
              <w:rPr>
                <w:sz w:val="13"/>
                <w:szCs w:val="13"/>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1,346</w:t>
            </w:r>
          </w:p>
        </w:tc>
        <w:tc>
          <w:tcPr>
            <w:tcW w:w="120" w:type="dxa"/>
            <w:vAlign w:val="bottom"/>
            <w:tcBorders>
              <w:bottom w:val="single" w:sz="8" w:color="CFF0FC"/>
            </w:tcBorders>
            <w:shd w:val="clear" w:color="auto" w:fill="CFF0FC"/>
          </w:tcPr>
          <w:p>
            <w:pPr>
              <w:spacing w:after="0"/>
              <w:rPr>
                <w:sz w:val="13"/>
                <w:szCs w:val="13"/>
                <w:color w:val="auto"/>
              </w:rPr>
            </w:pPr>
          </w:p>
        </w:tc>
        <w:tc>
          <w:tcPr>
            <w:tcW w:w="7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FF0FC"/>
            </w:tcBorders>
            <w:shd w:val="clear" w:color="auto" w:fill="CFF0FC"/>
          </w:tcPr>
          <w:p>
            <w:pPr>
              <w:spacing w:after="0"/>
              <w:rPr>
                <w:sz w:val="13"/>
                <w:szCs w:val="13"/>
                <w:color w:val="auto"/>
              </w:rPr>
            </w:pPr>
          </w:p>
        </w:tc>
        <w:tc>
          <w:tcPr>
            <w:tcW w:w="740" w:type="dxa"/>
            <w:vAlign w:val="bottom"/>
            <w:tcBorders>
              <w:bottom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1,346</w:t>
            </w:r>
          </w:p>
        </w:tc>
        <w:tc>
          <w:tcPr>
            <w:tcW w:w="0" w:type="dxa"/>
            <w:vAlign w:val="bottom"/>
          </w:tcPr>
          <w:p>
            <w:pPr>
              <w:spacing w:after="0"/>
              <w:rPr>
                <w:sz w:val="1"/>
                <w:szCs w:val="1"/>
                <w:color w:val="auto"/>
              </w:rPr>
            </w:pPr>
          </w:p>
        </w:tc>
      </w:tr>
      <w:tr>
        <w:trPr>
          <w:trHeight w:val="154"/>
        </w:trPr>
        <w:tc>
          <w:tcPr>
            <w:tcW w:w="25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2025</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56,073,444</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561</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8,113,105</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w:t>
            </w:r>
          </w:p>
        </w:tc>
        <w:tc>
          <w:tcPr>
            <w:tcW w:w="8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64,186,549</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642</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185,400</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228,014</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486</w:t>
            </w: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7,104,376</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(83,000)</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rPr>
              <w:t>331,542</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jc w:val="center"/>
        <w:ind w:right="-139"/>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6"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4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26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2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71,320</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55,952</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46,629</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9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26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660</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26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9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3"/>
        </w:trPr>
        <w:tc>
          <w:tcPr>
            <w:tcW w:w="626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Loss on disposal of equipment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tcBorders>
              <w:bottom w:val="single" w:sz="8" w:color="CFF0FC"/>
            </w:tcBorders>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9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1,603</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193"/>
        </w:trPr>
        <w:tc>
          <w:tcPr>
            <w:tcW w:w="626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Unrealized (gain)/loss on derivative instruments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8,176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872</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tcBorders>
              <w:bottom w:val="single" w:sz="8" w:color="CFF0FC"/>
            </w:tcBorders>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10,843</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8,922</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4"/>
                <w:szCs w:val="14"/>
                <w:color w:val="auto"/>
              </w:rPr>
              <w:t>9,128</w:t>
            </w:r>
          </w:p>
        </w:tc>
        <w:tc>
          <w:tcPr>
            <w:tcW w:w="0" w:type="dxa"/>
            <w:vAlign w:val="bottom"/>
          </w:tcPr>
          <w:p>
            <w:pPr>
              <w:spacing w:after="0"/>
              <w:rPr>
                <w:sz w:val="1"/>
                <w:szCs w:val="1"/>
                <w:color w:val="auto"/>
              </w:rPr>
            </w:pPr>
          </w:p>
        </w:tc>
      </w:tr>
      <w:tr>
        <w:trPr>
          <w:trHeight w:val="193"/>
        </w:trPr>
        <w:tc>
          <w:tcPr>
            <w:tcW w:w="626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Impairment loss on assets held for sale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363</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tcBorders>
              <w:bottom w:val="single" w:sz="8" w:color="CFF0FC"/>
            </w:tcBorders>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rPr>
              <w:t>Impairment loss on Runa assets</w:t>
            </w:r>
          </w:p>
        </w:tc>
        <w:tc>
          <w:tcPr>
            <w:tcW w:w="9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626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Noncash lease expense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1,288</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tcBorders>
              <w:bottom w:val="single" w:sz="8" w:color="CFF0FC"/>
            </w:tcBorders>
            <w:shd w:val="clear" w:color="auto" w:fill="CFF0FC"/>
          </w:tcPr>
          <w:p>
            <w:pPr>
              <w:ind w:left="700"/>
              <w:spacing w:after="0"/>
              <w:rPr>
                <w:sz w:val="20"/>
                <w:szCs w:val="20"/>
                <w:color w:val="auto"/>
              </w:rPr>
            </w:pPr>
            <w:r>
              <w:rPr>
                <w:rFonts w:ascii="Times New Roman" w:cs="Times New Roman" w:eastAsia="Times New Roman" w:hAnsi="Times New Roman"/>
                <w:sz w:val="14"/>
                <w:szCs w:val="14"/>
                <w:color w:val="auto"/>
              </w:rPr>
              <w:t>Deferred tax expense</w:t>
            </w:r>
          </w:p>
        </w:tc>
        <w:tc>
          <w:tcPr>
            <w:tcW w:w="9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(2,382)</w:t>
            </w:r>
          </w:p>
        </w:tc>
        <w:tc>
          <w:tcPr>
            <w:tcW w:w="0" w:type="dxa"/>
            <w:vAlign w:val="bottom"/>
          </w:tcPr>
          <w:p>
            <w:pPr>
              <w:spacing w:after="0"/>
              <w:rPr>
                <w:sz w:val="1"/>
                <w:szCs w:val="1"/>
                <w:color w:val="auto"/>
              </w:rPr>
            </w:pPr>
          </w:p>
        </w:tc>
      </w:tr>
      <w:tr>
        <w:trPr>
          <w:trHeight w:val="193"/>
        </w:trPr>
        <w:tc>
          <w:tcPr>
            <w:tcW w:w="626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Accounts receivable</w:t>
            </w:r>
          </w:p>
        </w:tc>
        <w:tc>
          <w:tcPr>
            <w:tcW w:w="9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(18,568)</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(14,171)</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(7,088)</w:t>
            </w:r>
          </w:p>
        </w:tc>
        <w:tc>
          <w:tcPr>
            <w:tcW w:w="0" w:type="dxa"/>
            <w:vAlign w:val="bottom"/>
          </w:tcPr>
          <w:p>
            <w:pPr>
              <w:spacing w:after="0"/>
              <w:rPr>
                <w:sz w:val="1"/>
                <w:szCs w:val="1"/>
                <w:color w:val="auto"/>
              </w:rPr>
            </w:pPr>
          </w:p>
        </w:tc>
      </w:tr>
      <w:tr>
        <w:trPr>
          <w:trHeight w:val="193"/>
        </w:trPr>
        <w:tc>
          <w:tcPr>
            <w:tcW w:w="62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Inventory</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(27,324)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(32,984)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33,688</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Prepaid expenses, net supplier advances, and other assets</w:t>
            </w:r>
          </w:p>
        </w:tc>
        <w:tc>
          <w:tcPr>
            <w:tcW w:w="9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(2,691)</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0" w:type="dxa"/>
            <w:vAlign w:val="bottom"/>
          </w:tcPr>
          <w:p>
            <w:pPr>
              <w:spacing w:after="0"/>
              <w:rPr>
                <w:sz w:val="1"/>
                <w:szCs w:val="1"/>
                <w:color w:val="auto"/>
              </w:rPr>
            </w:pPr>
          </w:p>
        </w:tc>
      </w:tr>
      <w:tr>
        <w:trPr>
          <w:trHeight w:val="193"/>
        </w:trPr>
        <w:tc>
          <w:tcPr>
            <w:tcW w:w="626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15,669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24,340</w:t>
            </w:r>
          </w:p>
        </w:tc>
        <w:tc>
          <w:tcPr>
            <w:tcW w:w="0" w:type="dxa"/>
            <w:vAlign w:val="bottom"/>
          </w:tcPr>
          <w:p>
            <w:pPr>
              <w:spacing w:after="0"/>
              <w:rPr>
                <w:sz w:val="1"/>
                <w:szCs w:val="1"/>
                <w:color w:val="auto"/>
              </w:rPr>
            </w:pPr>
          </w:p>
        </w:tc>
      </w:tr>
      <w:tr>
        <w:trPr>
          <w:trHeight w:val="23"/>
        </w:trPr>
        <w:tc>
          <w:tcPr>
            <w:tcW w:w="626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9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47,174</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42,899</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4"/>
                <w:szCs w:val="14"/>
                <w:color w:val="auto"/>
              </w:rPr>
              <w:t>107,155</w:t>
            </w:r>
          </w:p>
        </w:tc>
        <w:tc>
          <w:tcPr>
            <w:tcW w:w="0" w:type="dxa"/>
            <w:vAlign w:val="bottom"/>
          </w:tcPr>
          <w:p>
            <w:pPr>
              <w:spacing w:after="0"/>
              <w:rPr>
                <w:sz w:val="1"/>
                <w:szCs w:val="1"/>
                <w:color w:val="auto"/>
              </w:rPr>
            </w:pPr>
          </w:p>
        </w:tc>
      </w:tr>
      <w:tr>
        <w:trPr>
          <w:trHeight w:val="173"/>
        </w:trPr>
        <w:tc>
          <w:tcPr>
            <w:tcW w:w="6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Cash paid for property and equipment</w:t>
            </w:r>
          </w:p>
        </w:tc>
        <w:tc>
          <w:tcPr>
            <w:tcW w:w="9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(8,149)</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0" w:type="dxa"/>
            <w:vAlign w:val="bottom"/>
          </w:tcPr>
          <w:p>
            <w:pPr>
              <w:spacing w:after="0"/>
              <w:rPr>
                <w:sz w:val="1"/>
                <w:szCs w:val="1"/>
                <w:color w:val="auto"/>
              </w:rPr>
            </w:pPr>
          </w:p>
        </w:tc>
      </w:tr>
      <w:tr>
        <w:trPr>
          <w:trHeight w:val="193"/>
        </w:trPr>
        <w:tc>
          <w:tcPr>
            <w:tcW w:w="6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Equity method investment in joint venture</w:t>
            </w:r>
          </w:p>
        </w:tc>
        <w:tc>
          <w:tcPr>
            <w:tcW w:w="9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6260" w:type="dxa"/>
            <w:vAlign w:val="bottom"/>
          </w:tcPr>
          <w:p>
            <w:pPr>
              <w:ind w:left="40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(8,253)</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0" w:type="dxa"/>
            <w:vAlign w:val="bottom"/>
          </w:tcPr>
          <w:p>
            <w:pPr>
              <w:spacing w:after="0"/>
              <w:rPr>
                <w:sz w:val="1"/>
                <w:szCs w:val="1"/>
                <w:color w:val="auto"/>
              </w:rPr>
            </w:pPr>
          </w:p>
        </w:tc>
      </w:tr>
      <w:tr>
        <w:trPr>
          <w:trHeight w:val="23"/>
        </w:trPr>
        <w:tc>
          <w:tcPr>
            <w:tcW w:w="626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2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exercise of stock awards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3,747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7,086</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Cash paid on notes payable</w:t>
            </w:r>
          </w:p>
        </w:tc>
        <w:tc>
          <w:tcPr>
            <w:tcW w:w="92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3"/>
        </w:trPr>
        <w:tc>
          <w:tcPr>
            <w:tcW w:w="62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paid to acquire treasury stock</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0" w:type="dxa"/>
            <w:vAlign w:val="bottom"/>
          </w:tcPr>
          <w:p>
            <w:pPr>
              <w:spacing w:after="0"/>
              <w:rPr>
                <w:sz w:val="1"/>
                <w:szCs w:val="1"/>
                <w:color w:val="auto"/>
              </w:rPr>
            </w:pPr>
          </w:p>
        </w:tc>
      </w:tr>
      <w:tr>
        <w:trPr>
          <w:trHeight w:val="23"/>
        </w:trPr>
        <w:tc>
          <w:tcPr>
            <w:tcW w:w="626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9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(7,534)</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(8,296)</w:t>
            </w: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4"/>
                <w:szCs w:val="14"/>
                <w:color w:val="auto"/>
              </w:rPr>
              <w:t>6,290</w:t>
            </w:r>
          </w:p>
        </w:tc>
        <w:tc>
          <w:tcPr>
            <w:tcW w:w="0" w:type="dxa"/>
            <w:vAlign w:val="bottom"/>
          </w:tcPr>
          <w:p>
            <w:pPr>
              <w:spacing w:after="0"/>
              <w:rPr>
                <w:sz w:val="1"/>
                <w:szCs w:val="1"/>
                <w:color w:val="auto"/>
              </w:rPr>
            </w:pPr>
          </w:p>
        </w:tc>
      </w:tr>
      <w:tr>
        <w:trPr>
          <w:trHeight w:val="186"/>
        </w:trPr>
        <w:tc>
          <w:tcPr>
            <w:tcW w:w="6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Effects of exchange rate changes on cash and cash equivalents</w:t>
            </w:r>
          </w:p>
        </w:tc>
        <w:tc>
          <w:tcPr>
            <w:tcW w:w="9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r>
        <w:trPr>
          <w:trHeight w:val="23"/>
        </w:trPr>
        <w:tc>
          <w:tcPr>
            <w:tcW w:w="626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92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32,221</w:t>
            </w:r>
          </w:p>
        </w:tc>
        <w:tc>
          <w:tcPr>
            <w:tcW w:w="12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33,066</w:t>
            </w:r>
          </w:p>
        </w:tc>
        <w:tc>
          <w:tcPr>
            <w:tcW w:w="10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shd w:val="clear" w:color="auto" w:fill="CFF0FC"/>
          </w:tcPr>
          <w:p>
            <w:pPr>
              <w:jc w:val="right"/>
              <w:ind w:right="7"/>
              <w:spacing w:after="0"/>
              <w:rPr>
                <w:sz w:val="20"/>
                <w:szCs w:val="20"/>
                <w:color w:val="auto"/>
              </w:rPr>
            </w:pPr>
            <w:r>
              <w:rPr>
                <w:rFonts w:ascii="Times New Roman" w:cs="Times New Roman" w:eastAsia="Times New Roman" w:hAnsi="Times New Roman"/>
                <w:sz w:val="14"/>
                <w:szCs w:val="14"/>
                <w:color w:val="auto"/>
              </w:rPr>
              <w:t>113,238</w:t>
            </w:r>
          </w:p>
        </w:tc>
        <w:tc>
          <w:tcPr>
            <w:tcW w:w="0" w:type="dxa"/>
            <w:vAlign w:val="bottom"/>
          </w:tcPr>
          <w:p>
            <w:pPr>
              <w:spacing w:after="0"/>
              <w:rPr>
                <w:sz w:val="1"/>
                <w:szCs w:val="1"/>
                <w:color w:val="auto"/>
              </w:rPr>
            </w:pPr>
          </w:p>
        </w:tc>
      </w:tr>
      <w:tr>
        <w:trPr>
          <w:trHeight w:val="193"/>
        </w:trPr>
        <w:tc>
          <w:tcPr>
            <w:tcW w:w="6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the period</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165,933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132,867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19,629</w:t>
            </w:r>
          </w:p>
        </w:tc>
        <w:tc>
          <w:tcPr>
            <w:tcW w:w="0" w:type="dxa"/>
            <w:vAlign w:val="bottom"/>
          </w:tcPr>
          <w:p>
            <w:pPr>
              <w:spacing w:after="0"/>
              <w:rPr>
                <w:sz w:val="1"/>
                <w:szCs w:val="1"/>
                <w:color w:val="auto"/>
              </w:rPr>
            </w:pPr>
          </w:p>
        </w:tc>
      </w:tr>
      <w:tr>
        <w:trPr>
          <w:trHeight w:val="23"/>
        </w:trPr>
        <w:tc>
          <w:tcPr>
            <w:tcW w:w="626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6260" w:type="dxa"/>
            <w:vAlign w:val="bottom"/>
            <w:tcBorders>
              <w:bottom w:val="single" w:sz="8" w:color="CFF0FC"/>
            </w:tcBorders>
            <w:shd w:val="clear" w:color="auto" w:fill="CFF0FC"/>
          </w:tcPr>
          <w:p>
            <w:pPr>
              <w:ind w:left="20"/>
              <w:spacing w:after="0" w:line="210" w:lineRule="exact"/>
              <w:rPr>
                <w:sz w:val="20"/>
                <w:szCs w:val="20"/>
                <w:color w:val="auto"/>
              </w:rPr>
            </w:pPr>
            <w:r>
              <w:rPr>
                <w:rFonts w:ascii="Times New Roman" w:cs="Times New Roman" w:eastAsia="Times New Roman" w:hAnsi="Times New Roman"/>
                <w:sz w:val="14"/>
                <w:szCs w:val="14"/>
                <w:color w:val="auto"/>
              </w:rPr>
              <w:t xml:space="preserve">Cash, cash equivalents and restricted cash at end of the period </w:t>
            </w:r>
            <w:r>
              <w:rPr>
                <w:rFonts w:ascii="Times New Roman" w:cs="Times New Roman" w:eastAsia="Times New Roman" w:hAnsi="Times New Roman"/>
                <w:sz w:val="23"/>
                <w:szCs w:val="23"/>
                <w:color w:val="auto"/>
                <w:vertAlign w:val="superscript"/>
              </w:rPr>
              <w:t>(1)</w:t>
            </w:r>
          </w:p>
        </w:tc>
        <w:tc>
          <w:tcPr>
            <w:tcW w:w="920" w:type="dxa"/>
            <w:vAlign w:val="bottom"/>
            <w:tcBorders>
              <w:bottom w:val="single" w:sz="8" w:color="auto"/>
            </w:tcBorders>
            <w:shd w:val="clear" w:color="auto" w:fill="CFF0FC"/>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198,154</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165,933</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7"/>
              <w:spacing w:after="0"/>
              <w:rPr>
                <w:sz w:val="20"/>
                <w:szCs w:val="20"/>
                <w:color w:val="auto"/>
              </w:rPr>
            </w:pPr>
            <w:r>
              <w:rPr>
                <w:rFonts w:ascii="Times New Roman" w:cs="Times New Roman" w:eastAsia="Times New Roman" w:hAnsi="Times New Roman"/>
                <w:sz w:val="14"/>
                <w:szCs w:val="14"/>
                <w:color w:val="auto"/>
              </w:rPr>
              <w:t>132,867</w:t>
            </w:r>
          </w:p>
        </w:tc>
        <w:tc>
          <w:tcPr>
            <w:tcW w:w="0" w:type="dxa"/>
            <w:vAlign w:val="bottom"/>
          </w:tcPr>
          <w:p>
            <w:pPr>
              <w:spacing w:after="0"/>
              <w:rPr>
                <w:sz w:val="1"/>
                <w:szCs w:val="1"/>
                <w:color w:val="auto"/>
              </w:rPr>
            </w:pPr>
          </w:p>
        </w:tc>
      </w:tr>
      <w:tr>
        <w:trPr>
          <w:trHeight w:val="20"/>
        </w:trPr>
        <w:tc>
          <w:tcPr>
            <w:tcW w:w="626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6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920" w:type="dxa"/>
            <w:vAlign w:val="bottom"/>
            <w:shd w:val="clear" w:color="auto" w:fill="CFF0FC"/>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3"/>
        </w:trPr>
        <w:tc>
          <w:tcPr>
            <w:tcW w:w="626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240" w:hanging="151"/>
        <w:spacing w:after="0"/>
        <w:tabs>
          <w:tab w:leader="none" w:pos="24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$1,281, $1,264 and $330 of restricted cash as of December 31, 2025</w:t>
      </w:r>
      <w:r>
        <w:rPr>
          <w:rFonts w:ascii="Arial" w:cs="Arial" w:eastAsia="Arial" w:hAnsi="Arial"/>
          <w:sz w:val="21"/>
          <w:szCs w:val="21"/>
          <w:color w:val="auto"/>
        </w:rPr>
        <w:t>,</w:t>
      </w:r>
      <w:r>
        <w:rPr>
          <w:rFonts w:ascii="Times New Roman" w:cs="Times New Roman" w:eastAsia="Times New Roman" w:hAnsi="Times New Roman"/>
          <w:sz w:val="14"/>
          <w:szCs w:val="14"/>
          <w:color w:val="auto"/>
        </w:rPr>
        <w:t xml:space="preserve"> 2024, and 2023 respectively, that were included in other current assets.</w:t>
      </w: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 AND BASIS OF PRESENTATION</w:t>
      </w:r>
    </w:p>
    <w:p>
      <w:pPr>
        <w:spacing w:after="0" w:line="108"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 xml:space="preserve">The Vita Coco Company, Inc. and subsidiaries (the “Company”) develops, markets, and distributes various coconut water products under the brand name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and for retailers' own brands ("Private Label"), predominantly in the United States ("U.S."). Other products include coconut milk, coconut oil, and protein infused fitness drinks (under the brand name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was incorporated in Delaware as All Market Inc. on January 17, 2007. On September 9, 2021, the Company changed its name to The Vita Coco Company, Inc. In 2018, the Company purchased certain assets and liabilities of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which was marketed and distributed primarily in the U.S. until the Company ceased selling the brand in December 2023 and impaired all remaining assets in September 2025. The Company completed an initial public offering (the "IPO") of common stock in October 2021.</w:t>
      </w:r>
    </w:p>
    <w:p>
      <w:pPr>
        <w:spacing w:after="0" w:line="180"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Company is a public benefit corporation under Section 362 of the Delaware General Corporation Law. As a public benefit corporation, the Company's Board is required by the Delaware General Corporation Law to manage or direct its business and affairs in a manner that balances the pecuniary interests of its stockholders, the best interests of those materially affected by its conduct and the specific public benefits identified in its certificate of incorporation.</w:t>
      </w:r>
    </w:p>
    <w:p>
      <w:pPr>
        <w:spacing w:after="0" w:line="180"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 Company has ten wholly-owned subsidiaries including four wholly-owned Asian subsidiaries established between fiscal 2012 and 2015, four North American subsidiaries established between 2012 and 2018, as well as All Market Europe, Ltd. (“AME”) in the United Kingdom ("U.K.") established during 2009, and one subsidiary in Germany established during 2024. Through one of its subsidiaries, the Company has a 60% joint venture interest in a company, Coco Ventures Limited, which provides for the development, marketing, distribution and branding of coconut water-based products under the Vita Coco brand in China. See Note 22, Joint Venture, for further details.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08" w:lineRule="exact"/>
        <w:rPr>
          <w:sz w:val="20"/>
          <w:szCs w:val="20"/>
          <w:color w:val="auto"/>
        </w:rPr>
      </w:pPr>
    </w:p>
    <w:p>
      <w:pPr>
        <w:ind w:right="40" w:firstLine="551"/>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are presented in accordance with accounting principles generally accepted in the United States of America (“U.S. GAAP”).</w:t>
      </w:r>
    </w:p>
    <w:p>
      <w:pPr>
        <w:spacing w:after="0" w:line="148"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Certain reclassifications have been made to previously reported consolidated financial statements to conform to the presentation as of and for the year ended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08" w:lineRule="exact"/>
        <w:rPr>
          <w:sz w:val="20"/>
          <w:szCs w:val="20"/>
          <w:color w:val="auto"/>
        </w:rPr>
      </w:pPr>
    </w:p>
    <w:p>
      <w:pPr>
        <w:ind w:right="180" w:firstLine="551"/>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all the accounts of the wholly owned subsidiaries. All intercompany accounts and transactions have been eliminated in consolidation.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Global Events Causing Macroeconomic Uncertainty</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Uncertainty in the macroeconomic environment resulting from current geopolitical and economic instability (including the effects of current wars and other international conflicts) and the high interest rates, foreign exchange rates, tariffs, and other import related fees, and inflationary cost environment may affect the Company's global supply chain. It is not currently possible to ascertain the overall impact of these macroeconomic uncertainties on the Company’s business, results of operations, financial condition or liquidity. Future events and effects related to these macroeconomic uncertainties cannot be determined with precision and actual results could significantly differ from estimates or forecasts.</w:t>
      </w:r>
    </w:p>
    <w:p>
      <w:pPr>
        <w:spacing w:after="0" w:line="287" w:lineRule="exact"/>
        <w:rPr>
          <w:sz w:val="20"/>
          <w:szCs w:val="20"/>
          <w:color w:val="auto"/>
        </w:rPr>
      </w:pPr>
    </w:p>
    <w:p>
      <w:pPr>
        <w:ind w:right="6360" w:firstLine="8"/>
        <w:spacing w:after="0" w:line="370" w:lineRule="auto"/>
        <w:tabs>
          <w:tab w:leader="none" w:pos="1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Use of Estimates</w:t>
      </w:r>
    </w:p>
    <w:p>
      <w:pPr>
        <w:ind w:firstLine="551"/>
        <w:spacing w:after="0" w:line="250" w:lineRule="auto"/>
        <w:rPr>
          <w:sz w:val="20"/>
          <w:szCs w:val="20"/>
          <w:color w:val="auto"/>
        </w:rPr>
      </w:pPr>
      <w:r>
        <w:rPr>
          <w:rFonts w:ascii="Times New Roman" w:cs="Times New Roman" w:eastAsia="Times New Roman" w:hAnsi="Times New Roman"/>
          <w:sz w:val="18"/>
          <w:szCs w:val="18"/>
          <w:color w:val="auto"/>
        </w:rPr>
        <w:t>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Management considers many factors in selecting appropriate financial accounting policies and controls in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19"/>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developing the estimates and assumptions that are used in the preparation of these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may yield a range of reasonable estimates of the ultimate future outcomes, and management must select an amount that falls within that range of reasonable estimates. The most significant estimates in the consolidated financial statements relate to the determination of the value of trade promotions, share-based compensation, estimating the net realizable value of inventories, the determination of the current expected credit losses, assessing the realizability of deferred income taxes, assessing long-lived assets for impairment, and assessing goodwill for impairment. Actual results could differ from those estimates.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08" w:lineRule="exact"/>
        <w:rPr>
          <w:sz w:val="20"/>
          <w:szCs w:val="20"/>
          <w:color w:val="auto"/>
        </w:rPr>
      </w:pPr>
    </w:p>
    <w:p>
      <w:pPr>
        <w:ind w:right="40" w:firstLine="551"/>
        <w:spacing w:after="0" w:line="245" w:lineRule="auto"/>
        <w:rPr>
          <w:sz w:val="20"/>
          <w:szCs w:val="20"/>
          <w:color w:val="auto"/>
        </w:rPr>
      </w:pPr>
      <w:r>
        <w:rPr>
          <w:rFonts w:ascii="Times New Roman" w:cs="Times New Roman" w:eastAsia="Times New Roman" w:hAnsi="Times New Roman"/>
          <w:sz w:val="18"/>
          <w:szCs w:val="18"/>
          <w:color w:val="auto"/>
        </w:rPr>
        <w:t>The Company recognizes revenue in accordance with ASC 606. ASC 606 defines a five-step model that requires entities exercise judgment when considering the terms of contract(s), which include (1) identifying the contract or agreement with a customer, (2) identifying the performance obligations in the contract or agreement, (3) determining the transaction price, (4) allocating the transaction price to the separate performance obligations, and (5) recognizing revenue as each performance obligation is satisfied. Revenue is recognized when control of the promised good is transferred to the customer in an amount that reflects the consideration to which the Company is expected to be entitled to receive in exchange for those products. Each contract includes a single performance obligation to transfer control of the product to the customer. The Company's revenue is recognized net of allowances for returns, discounts, credits and any taxes collected from consumers.</w:t>
      </w:r>
    </w:p>
    <w:p>
      <w:pPr>
        <w:spacing w:after="0" w:line="179" w:lineRule="exact"/>
        <w:rPr>
          <w:sz w:val="20"/>
          <w:szCs w:val="20"/>
          <w:color w:val="auto"/>
        </w:rPr>
      </w:pPr>
    </w:p>
    <w:p>
      <w:pPr>
        <w:ind w:firstLine="551"/>
        <w:spacing w:after="0" w:line="245" w:lineRule="auto"/>
        <w:rPr>
          <w:sz w:val="20"/>
          <w:szCs w:val="20"/>
          <w:color w:val="auto"/>
        </w:rPr>
      </w:pPr>
      <w:r>
        <w:rPr>
          <w:rFonts w:ascii="Times New Roman" w:cs="Times New Roman" w:eastAsia="Times New Roman" w:hAnsi="Times New Roman"/>
          <w:sz w:val="18"/>
          <w:szCs w:val="18"/>
          <w:color w:val="auto"/>
        </w:rPr>
        <w:t xml:space="preserve">For the Company’s various products in the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Water and Other product categories (refer to Note 3,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control is transferred upon customer receipt, at which point the Company recognizes the transaction price for the product as revenue. The transaction price recognized reflects the consideration the Company expects to receive in exchange for the sale of the product. The Company’s performance obligations are satisfied at that time. The Company does not have any significant contracts with customers requiring performance beyond delivery, and contracts with customers contain no incentives or discounts that would meet the criteria for a distinct good or service that could cause revenue to be allocated or adjusted over time. Shipping and handling activities are performed before the customer obtains control of the goods and therefore represent fulfillment costs, which are included in cost of goods sold, rather than revenue.</w:t>
      </w:r>
    </w:p>
    <w:p>
      <w:pPr>
        <w:spacing w:after="0" w:line="197" w:lineRule="exact"/>
        <w:rPr>
          <w:sz w:val="20"/>
          <w:szCs w:val="20"/>
          <w:color w:val="auto"/>
        </w:rPr>
      </w:pPr>
    </w:p>
    <w:p>
      <w:pPr>
        <w:ind w:right="40" w:firstLine="551"/>
        <w:spacing w:after="0" w:line="250" w:lineRule="auto"/>
        <w:rPr>
          <w:sz w:val="20"/>
          <w:szCs w:val="20"/>
          <w:color w:val="auto"/>
        </w:rPr>
      </w:pPr>
      <w:r>
        <w:rPr>
          <w:rFonts w:ascii="Times New Roman" w:cs="Times New Roman" w:eastAsia="Times New Roman" w:hAnsi="Times New Roman"/>
          <w:sz w:val="18"/>
          <w:szCs w:val="18"/>
          <w:color w:val="auto"/>
        </w:rPr>
        <w:t>Additionally, the Company 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is completed, which may be prior to any shipment. The resulting contract assets are recorded in prepaid expenses and other current assets.</w:t>
      </w:r>
    </w:p>
    <w:p>
      <w:pPr>
        <w:spacing w:after="0" w:line="177" w:lineRule="exact"/>
        <w:rPr>
          <w:sz w:val="20"/>
          <w:szCs w:val="20"/>
          <w:color w:val="auto"/>
        </w:rPr>
      </w:pPr>
    </w:p>
    <w:p>
      <w:pPr>
        <w:ind w:right="20" w:firstLine="551"/>
        <w:spacing w:after="0" w:line="245" w:lineRule="auto"/>
        <w:rPr>
          <w:sz w:val="20"/>
          <w:szCs w:val="20"/>
          <w:color w:val="auto"/>
        </w:rPr>
      </w:pPr>
      <w:r>
        <w:rPr>
          <w:rFonts w:ascii="Times New Roman" w:cs="Times New Roman" w:eastAsia="Times New Roman" w:hAnsi="Times New Roman"/>
          <w:sz w:val="18"/>
          <w:szCs w:val="18"/>
          <w:color w:val="auto"/>
        </w:rPr>
        <w:t>The Company provides trade promotions and sales discounts to its customers and distributors. Since these sales promotions and sales discounts do not meet the criteria for a distinct good or service, they are primarily accounted for as a reduction of revenue and include payments to customers and distributors for performing activities on its behalf, such as payments for in-store displays, payments to gain distribution of new products, payments for shelf space and discounts to promote lower retail prices. These consolidated financial statements include accruals for these promotions and discounts. The accruals are made for invoices that have not yet been received as of year-end and are recorded as a reduction of sales, and are based on contract terms and the Company's historical experience with similar programs and require management judgment with respect to estimating customer and consumer participation and performance levels.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08" w:lineRule="exact"/>
        <w:rPr>
          <w:sz w:val="20"/>
          <w:szCs w:val="20"/>
          <w:color w:val="auto"/>
        </w:rPr>
      </w:pPr>
    </w:p>
    <w:p>
      <w:pPr>
        <w:ind w:right="380" w:firstLine="551"/>
        <w:spacing w:after="0" w:line="282" w:lineRule="auto"/>
        <w:rPr>
          <w:sz w:val="20"/>
          <w:szCs w:val="20"/>
          <w:color w:val="auto"/>
        </w:rPr>
      </w:pPr>
      <w:r>
        <w:rPr>
          <w:rFonts w:ascii="Times New Roman" w:cs="Times New Roman" w:eastAsia="Times New Roman" w:hAnsi="Times New Roman"/>
          <w:sz w:val="18"/>
          <w:szCs w:val="18"/>
          <w:color w:val="auto"/>
        </w:rPr>
        <w:t>Costs of goods sold includes the costs of the products sold to customers, inbound and outbound shipping and handling costs, freight and duties, shipping and packaging supplies, and warehouse fulfillment costs incurred in operating and staffing warehouses.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19"/>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right="160" w:firstLine="551"/>
        <w:spacing w:after="0" w:line="258" w:lineRule="auto"/>
        <w:rPr>
          <w:sz w:val="20"/>
          <w:szCs w:val="20"/>
          <w:color w:val="auto"/>
        </w:rPr>
      </w:pPr>
      <w:r>
        <w:rPr>
          <w:rFonts w:ascii="Times New Roman" w:cs="Times New Roman" w:eastAsia="Times New Roman" w:hAnsi="Times New Roman"/>
          <w:sz w:val="18"/>
          <w:szCs w:val="18"/>
          <w:color w:val="auto"/>
        </w:rPr>
        <w:t>Shipping and handling costs related to the sale of inventory represent outbound distribution costs, and are included in cost of goods sold in the consolidated statement of operations. Shipping and handling costs were $17,424, $13,100 and $13,261 for the years ended December 31, 2025, 2024, and 2023, respectively.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Promotional Expenses</w:t>
      </w:r>
    </w:p>
    <w:p>
      <w:pPr>
        <w:spacing w:after="0" w:line="108" w:lineRule="exact"/>
        <w:rPr>
          <w:sz w:val="20"/>
          <w:szCs w:val="20"/>
          <w:color w:val="auto"/>
        </w:rPr>
      </w:pPr>
    </w:p>
    <w:p>
      <w:pPr>
        <w:ind w:right="20" w:firstLine="551"/>
        <w:spacing w:after="0" w:line="250" w:lineRule="auto"/>
        <w:rPr>
          <w:sz w:val="20"/>
          <w:szCs w:val="20"/>
          <w:color w:val="auto"/>
        </w:rPr>
      </w:pPr>
      <w:r>
        <w:rPr>
          <w:rFonts w:ascii="Times New Roman" w:cs="Times New Roman" w:eastAsia="Times New Roman" w:hAnsi="Times New Roman"/>
          <w:sz w:val="18"/>
          <w:szCs w:val="18"/>
          <w:color w:val="auto"/>
        </w:rPr>
        <w:t>Marketing and promotional expenses, including advertising expenses, consist of investments to grow our business and retain customers, including costs related to influencers, trade shows, product samples, advertising campaigns on social media and various other digital platforms, point of sale displays, and various event sponsorships. Marketing and promotional expenses are recorded in selling, general and administrative expenses in the period they are incurred and were $35,264, $31,343, and $35,460 for the years ended December 31, 2025, 2024, and 2023, respectively.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Research and development costs are charged to expense in the period incurred and are recorded in selling, general and administrative expenses.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were $399, $398, and $418 for the years ended December 31, 2025, 2024, and 2023,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08" w:lineRule="exact"/>
        <w:rPr>
          <w:sz w:val="20"/>
          <w:szCs w:val="20"/>
          <w:color w:val="auto"/>
        </w:rPr>
      </w:pPr>
    </w:p>
    <w:p>
      <w:pPr>
        <w:ind w:right="20" w:firstLine="486"/>
        <w:spacing w:after="0" w:line="219" w:lineRule="exact"/>
        <w:rPr>
          <w:sz w:val="20"/>
          <w:szCs w:val="20"/>
          <w:color w:val="auto"/>
        </w:rPr>
      </w:pPr>
      <w:r>
        <w:rPr>
          <w:rFonts w:ascii="Times New Roman" w:cs="Times New Roman" w:eastAsia="Times New Roman" w:hAnsi="Times New Roman"/>
          <w:sz w:val="18"/>
          <w:szCs w:val="18"/>
          <w:color w:val="auto"/>
        </w:rPr>
        <w:t>The Company leases certain office space and machinery and equipment, which are classified as operating leases. These leases expire at various dates through 2034. The Company's lease agreements do not contain any material restrictive covenants. Right of use ("ROU") assets and corresponding lease liabilities are recognized at the commencement date based on the present value of future lease payments over the expected lease term and are included within ROU assets, net, in accrued expenses, and other long-term liabilities in its Consolidated Balance Sheets. Lease terms include options to extend or terminate the lease when it is reasonably certain that such options will be exercised. Operating lease expense is recognized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lease term. The Company does not have any finance leases.</w:t>
      </w:r>
    </w:p>
    <w:p>
      <w:pPr>
        <w:spacing w:after="0" w:line="54" w:lineRule="exact"/>
        <w:rPr>
          <w:sz w:val="20"/>
          <w:szCs w:val="20"/>
          <w:color w:val="auto"/>
        </w:rPr>
      </w:pPr>
    </w:p>
    <w:p>
      <w:pPr>
        <w:ind w:right="140" w:firstLine="486"/>
        <w:spacing w:after="0" w:line="259" w:lineRule="exact"/>
        <w:rPr>
          <w:sz w:val="20"/>
          <w:szCs w:val="20"/>
          <w:color w:val="auto"/>
        </w:rPr>
      </w:pPr>
      <w:r>
        <w:rPr>
          <w:rFonts w:ascii="Times New Roman" w:cs="Times New Roman" w:eastAsia="Times New Roman" w:hAnsi="Times New Roman"/>
          <w:sz w:val="18"/>
          <w:szCs w:val="18"/>
          <w:color w:val="auto"/>
        </w:rPr>
        <w:t>The Company has also elected the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lease exemption and therefore does not recognize ROU assets or lease liabilities for leases with terms of 12 months or less. Payments for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leases are recognized as expense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lease term.</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160" w:firstLine="551"/>
        <w:spacing w:after="0" w:line="266"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718 for awards issued under the 2014 Stock Option and Restricted Stock Plan and the 2021 Stock Incentive Award Plan.</w:t>
      </w:r>
    </w:p>
    <w:p>
      <w:pPr>
        <w:spacing w:after="0" w:line="176" w:lineRule="exact"/>
        <w:rPr>
          <w:sz w:val="20"/>
          <w:szCs w:val="20"/>
          <w:color w:val="auto"/>
        </w:rPr>
      </w:pPr>
    </w:p>
    <w:p>
      <w:pPr>
        <w:ind w:right="20" w:firstLine="551"/>
        <w:spacing w:after="0" w:line="246" w:lineRule="auto"/>
        <w:rPr>
          <w:sz w:val="20"/>
          <w:szCs w:val="20"/>
          <w:color w:val="auto"/>
        </w:rPr>
      </w:pPr>
      <w:r>
        <w:rPr>
          <w:rFonts w:ascii="Times New Roman" w:cs="Times New Roman" w:eastAsia="Times New Roman" w:hAnsi="Times New Roman"/>
          <w:sz w:val="18"/>
          <w:szCs w:val="18"/>
          <w:color w:val="auto"/>
        </w:rPr>
        <w:t>The Company measures all awards based on their fair value on the date of the grant and recognizes compensation expense for those awards over the requisite service period of each stock award grant, which is generally the vesting period of the respective award by using the accelerated attribution method. The Company applies an estimated forfeiture rate derived from historical employee termination behavior. If the actual forfeitures differ from those estimated by management, adjustment to compensation expense may be required in future periods. Stock awards are equity-classified, as they do not contain a cash settlement option or other features requiring them to be liability-classified.</w:t>
      </w:r>
    </w:p>
    <w:p>
      <w:pPr>
        <w:spacing w:after="0" w:line="181" w:lineRule="exact"/>
        <w:rPr>
          <w:sz w:val="20"/>
          <w:szCs w:val="20"/>
          <w:color w:val="auto"/>
        </w:rPr>
      </w:pPr>
    </w:p>
    <w:p>
      <w:pPr>
        <w:ind w:firstLine="551"/>
        <w:spacing w:after="0" w:line="212" w:lineRule="exact"/>
        <w:rPr>
          <w:sz w:val="20"/>
          <w:szCs w:val="20"/>
          <w:color w:val="auto"/>
        </w:rPr>
      </w:pPr>
      <w:r>
        <w:rPr>
          <w:rFonts w:ascii="Times New Roman" w:cs="Times New Roman" w:eastAsia="Times New Roman" w:hAnsi="Times New Roman"/>
          <w:sz w:val="18"/>
          <w:szCs w:val="18"/>
          <w:color w:val="auto"/>
        </w:rPr>
        <w:t>The Company issues stock-based awards with service-based and performance-based and market-based vesting conditions. The Company recognizes expense for performance-based awards when it becomes probable that such awards will be earned over a requisite service period. The actual number of shares ultimately earned may range from zero up to a contractual maximum and may exceed the target number of shares granted if performance results exceed the applicable performance targets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Compensation expense for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is recognized over the requisite service period based on the Company’s assessment of whether the performance conditions are probable of achievement and the estimated number of shares expected to vest.</w:t>
      </w:r>
    </w:p>
    <w:p>
      <w:pPr>
        <w:spacing w:after="0" w:line="199" w:lineRule="exact"/>
        <w:rPr>
          <w:sz w:val="20"/>
          <w:szCs w:val="20"/>
          <w:color w:val="auto"/>
        </w:rPr>
      </w:pPr>
    </w:p>
    <w:p>
      <w:pPr>
        <w:ind w:right="220" w:firstLine="551"/>
        <w:spacing w:after="0" w:line="250" w:lineRule="auto"/>
        <w:rPr>
          <w:sz w:val="20"/>
          <w:szCs w:val="20"/>
          <w:color w:val="auto"/>
        </w:rPr>
      </w:pPr>
      <w:r>
        <w:rPr>
          <w:rFonts w:ascii="Times New Roman" w:cs="Times New Roman" w:eastAsia="Times New Roman" w:hAnsi="Times New Roman"/>
          <w:sz w:val="18"/>
          <w:szCs w:val="18"/>
          <w:color w:val="auto"/>
        </w:rPr>
        <w:t>The Company uses the Black-Scholes option-pricing model to determine the fair value of stock awards with service-based vesting conditions and performance-based vesting conditions. For stock awards with performance-based and market-based vesting conditions, the Company uses the Barrier option valuation model to determine the fair value.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39"/>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firstLine="551"/>
        <w:spacing w:after="0" w:line="246" w:lineRule="auto"/>
        <w:rPr>
          <w:sz w:val="20"/>
          <w:szCs w:val="20"/>
          <w:color w:val="auto"/>
        </w:rPr>
      </w:pPr>
      <w:r>
        <w:rPr>
          <w:rFonts w:ascii="Times New Roman" w:cs="Times New Roman" w:eastAsia="Times New Roman" w:hAnsi="Times New Roman"/>
          <w:sz w:val="18"/>
          <w:szCs w:val="18"/>
          <w:color w:val="auto"/>
        </w:rPr>
        <w:t>The Company has classified most of its stock-based compensation expense in its consolidated statements of operations in selling, general, and administrative expenses, reflecting the same manner in which the award recipient’s payroll costs are classified or in which the award recipient’s service payments are classified. There are restricted stock units ("RSUs") previously granted to entities affiliated with a major customer, which was recognized as a stock-based sales incentive based on guidance in ASC 606 and reflected as a reduction in the transaction price revenue. See Note 14, Stockholders' Equity for further information.</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8" w:lineRule="exact"/>
        <w:rPr>
          <w:sz w:val="20"/>
          <w:szCs w:val="20"/>
          <w:color w:val="auto"/>
        </w:rPr>
      </w:pPr>
    </w:p>
    <w:p>
      <w:pPr>
        <w:ind w:right="20" w:firstLine="551"/>
        <w:spacing w:after="0" w:line="244" w:lineRule="auto"/>
        <w:rPr>
          <w:sz w:val="20"/>
          <w:szCs w:val="20"/>
          <w:color w:val="auto"/>
        </w:rPr>
      </w:pPr>
      <w:r>
        <w:rPr>
          <w:rFonts w:ascii="Times New Roman" w:cs="Times New Roman" w:eastAsia="Times New Roman" w:hAnsi="Times New Roman"/>
          <w:sz w:val="18"/>
          <w:szCs w:val="18"/>
          <w:color w:val="auto"/>
        </w:rPr>
        <w:t>The Company accounts for income taxes under ASC Topic 740, Income Taxes ("ASC 740"), which requires an asset and liability approach to financial accounting and reporting for income taxes. Deferred income tax assets and liabilities are computed annually for differences between the consolidated financial statements and tax bases of assets and liabilities that will result in taxable or deductible amounts in the future. Such deferred income tax assets and liabilities computations are based on enacted tax laws and rates applicable to periods in which the differences are expected to affect taxable income. Valuation allowances are established when necessary to reduce deferred income tax assets to the amount that is more likely than not to be realized. Interest and penalties related to unrecognized tax positions are included in income tax expense in the consolidated statement of operations and comprehensive income and accrued expenses in the consolidated balance sheets.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Common Share</w:t>
      </w:r>
    </w:p>
    <w:p>
      <w:pPr>
        <w:spacing w:after="0" w:line="106" w:lineRule="exact"/>
        <w:rPr>
          <w:sz w:val="20"/>
          <w:szCs w:val="20"/>
          <w:color w:val="auto"/>
        </w:rPr>
      </w:pPr>
    </w:p>
    <w:p>
      <w:pPr>
        <w:ind w:right="60" w:firstLine="551"/>
        <w:spacing w:after="0" w:line="251" w:lineRule="auto"/>
        <w:rPr>
          <w:sz w:val="20"/>
          <w:szCs w:val="20"/>
          <w:color w:val="auto"/>
        </w:rPr>
      </w:pPr>
      <w:r>
        <w:rPr>
          <w:rFonts w:ascii="Times New Roman" w:cs="Times New Roman" w:eastAsia="Times New Roman" w:hAnsi="Times New Roman"/>
          <w:sz w:val="18"/>
          <w:szCs w:val="18"/>
          <w:color w:val="auto"/>
        </w:rPr>
        <w:t xml:space="preserve">In accordance with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260"), net income per common share, on a basic and diluted basis, is presented for all periods, calculated using the treasury stock method. Basic net income per share is computed by dividing net income by the weighted average number of common shares and service warrants outstanding during each period. Diluted net income per share is computed by dividing net income by the weighted average number of common and dilutive common equivalent shares outstanding. The calculation of common equivalent shares assumes the exercise of dilutive in-the-money stock options, net of assumed treasury share repurchases at average market prices, as applicable.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and cash equivalents include cash on hand and money market instruments with maturities of three months or less.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08" w:lineRule="exact"/>
        <w:rPr>
          <w:sz w:val="20"/>
          <w:szCs w:val="20"/>
          <w:color w:val="auto"/>
        </w:rPr>
      </w:pPr>
    </w:p>
    <w:p>
      <w:pPr>
        <w:ind w:right="20" w:firstLine="551"/>
        <w:spacing w:after="0" w:line="258" w:lineRule="auto"/>
        <w:rPr>
          <w:sz w:val="20"/>
          <w:szCs w:val="20"/>
          <w:color w:val="auto"/>
        </w:rPr>
      </w:pPr>
      <w:r>
        <w:rPr>
          <w:rFonts w:ascii="Times New Roman" w:cs="Times New Roman" w:eastAsia="Times New Roman" w:hAnsi="Times New Roman"/>
          <w:sz w:val="18"/>
          <w:szCs w:val="18"/>
          <w:color w:val="auto"/>
        </w:rPr>
        <w:t>Accounts receivable are reported net of an allowance for credit losses. In determining such an allowance, the Company considers historical losses and existing economic conditions, as well as the credit quality of each customer. Accounts receivable are charged off when the Company deems amounts to be uncollectible.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08" w:lineRule="exact"/>
        <w:rPr>
          <w:sz w:val="20"/>
          <w:szCs w:val="20"/>
          <w:color w:val="auto"/>
        </w:rPr>
      </w:pPr>
    </w:p>
    <w:p>
      <w:pPr>
        <w:ind w:right="160" w:firstLine="551"/>
        <w:spacing w:after="0" w:line="250" w:lineRule="auto"/>
        <w:rPr>
          <w:sz w:val="20"/>
          <w:szCs w:val="20"/>
          <w:color w:val="auto"/>
        </w:rPr>
      </w:pPr>
      <w:r>
        <w:rPr>
          <w:rFonts w:ascii="Times New Roman" w:cs="Times New Roman" w:eastAsia="Times New Roman" w:hAnsi="Times New Roman"/>
          <w:sz w:val="18"/>
          <w:szCs w:val="18"/>
          <w:color w:val="auto"/>
        </w:rPr>
        <w:t>Inventory represents raw materials, finished goods, packaging, and inbound shipping and handling and is reported at the lower of cost or net realizable value being determined using the first-in, first-out method. Net realizable value is the estimated selling price in the ordinary course of business, less reasonably predictable costs of completion, disposal and transportation. The Company reserves for finished goods that are close to the date of expiration.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08" w:lineRule="exact"/>
        <w:rPr>
          <w:sz w:val="20"/>
          <w:szCs w:val="20"/>
          <w:color w:val="auto"/>
        </w:rPr>
      </w:pPr>
    </w:p>
    <w:p>
      <w:pPr>
        <w:ind w:right="240" w:firstLine="551"/>
        <w:spacing w:after="0" w:line="250" w:lineRule="auto"/>
        <w:rPr>
          <w:sz w:val="20"/>
          <w:szCs w:val="20"/>
          <w:color w:val="auto"/>
        </w:rPr>
      </w:pPr>
      <w:r>
        <w:rPr>
          <w:rFonts w:ascii="Times New Roman" w:cs="Times New Roman" w:eastAsia="Times New Roman" w:hAnsi="Times New Roman"/>
          <w:sz w:val="18"/>
          <w:szCs w:val="18"/>
          <w:color w:val="auto"/>
        </w:rPr>
        <w:t>Property and equipment are stated at cost and are depreciated over the estimated useful lives of the related assets or in the case of leasehold improvements, the lease term if shorter, using the straight-line method of depreciation. Repairs and maintenance are charged to expense as incurred. The estimated useful lives of the Company’s property and equipment are as follows:</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39"/>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820" w:hanging="245"/>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and computer software and hardware – 3-7 years</w:t>
      </w:r>
    </w:p>
    <w:p>
      <w:pPr>
        <w:spacing w:after="0" w:line="103"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Leasehold improvements – The lesser of the life of the asset or the term of the lease</w:t>
      </w:r>
    </w:p>
    <w:p>
      <w:pPr>
        <w:spacing w:after="0" w:line="117"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Vehicles – 5 years</w:t>
      </w:r>
    </w:p>
    <w:p>
      <w:pPr>
        <w:spacing w:after="0" w:line="103"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Furniture and fixtures – 3-5 years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right="140" w:firstLine="551"/>
        <w:spacing w:after="0" w:line="250" w:lineRule="auto"/>
        <w:rPr>
          <w:sz w:val="20"/>
          <w:szCs w:val="20"/>
          <w:color w:val="auto"/>
        </w:rPr>
      </w:pPr>
      <w:r>
        <w:rPr>
          <w:rFonts w:ascii="Times New Roman" w:cs="Times New Roman" w:eastAsia="Times New Roman" w:hAnsi="Times New Roman"/>
          <w:sz w:val="18"/>
          <w:szCs w:val="18"/>
          <w:color w:val="auto"/>
        </w:rPr>
        <w:t>Intangible assets consisted primarily of acquired trade names and distributor relationships. The Company determines the appropriate useful life of the intangible assets by performing an analysis of expected cash flows of the acquired assets. Intangible assets are amortized over their estimated useful lives of ten years, using the straight-line method, which approximates the pattern in which the economic benefits are consumed.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08" w:lineRule="exact"/>
        <w:rPr>
          <w:sz w:val="20"/>
          <w:szCs w:val="20"/>
          <w:color w:val="auto"/>
        </w:rPr>
      </w:pPr>
    </w:p>
    <w:p>
      <w:pPr>
        <w:ind w:right="100" w:firstLine="551"/>
        <w:spacing w:after="0" w:line="244" w:lineRule="auto"/>
        <w:rPr>
          <w:sz w:val="20"/>
          <w:szCs w:val="20"/>
          <w:color w:val="auto"/>
        </w:rPr>
      </w:pPr>
      <w:r>
        <w:rPr>
          <w:rFonts w:ascii="Times New Roman" w:cs="Times New Roman" w:eastAsia="Times New Roman" w:hAnsi="Times New Roman"/>
          <w:sz w:val="18"/>
          <w:szCs w:val="18"/>
          <w:color w:val="auto"/>
        </w:rPr>
        <w:t>The Company evaluates the recoverability of its long-lived assets, principally intangibles and property and equipment, by comparing asset group’s carrying value to the expected undiscounted future cash flows to be generated from such assets when events or circumstances indicate that an impairment may have occurred. If the estimated undiscounted future cash flows are less than the carrying amount, an impairment loss is recorded based upon the difference between the carrying amount and the fair value of the asset. The Company’s long-lived assets are reviewed for impairment whenever events or changes in circumstances indicate that the carrying amount may not be recoverable, or a triggering event. When a triggering event is identified, a test of recoverability is performed by estimating the undiscounted future cash flows associated with such assets and comparing them to the carrying value of the asset. When the recoverability test fails, the Company measures the impairment loss based on the fair value of the assets compared to the carrying amount of the asset. The fair value of the trade names is determined through an income approach using the relief from royalty method. The fair value of the distributor relationships is determined through an income approach using the excess earnings method.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08" w:lineRule="exact"/>
        <w:rPr>
          <w:sz w:val="20"/>
          <w:szCs w:val="20"/>
          <w:color w:val="auto"/>
        </w:rPr>
      </w:pPr>
    </w:p>
    <w:p>
      <w:pPr>
        <w:ind w:right="140" w:firstLine="551"/>
        <w:spacing w:after="0" w:line="258" w:lineRule="auto"/>
        <w:rPr>
          <w:sz w:val="20"/>
          <w:szCs w:val="20"/>
          <w:color w:val="auto"/>
        </w:rPr>
      </w:pPr>
      <w:r>
        <w:rPr>
          <w:rFonts w:ascii="Times New Roman" w:cs="Times New Roman" w:eastAsia="Times New Roman" w:hAnsi="Times New Roman"/>
          <w:sz w:val="18"/>
          <w:szCs w:val="18"/>
          <w:color w:val="auto"/>
        </w:rPr>
        <w:t xml:space="preserve">Goodwill represents the purchase price paid in excess of the fair value of net identifiable tangible and intangible assets acquired in a business combination and is measured in accordance with the provisions of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("ASC 350"). Goodwill is not amortized; instead goodwill is tested for impairment on an annual basis on December 31, or more frequently if the Company believes indicators of impairment exist.</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determined that there are three reporting units for purposes of testing goodwill for impairment: (i) the Americas reporting unit,</w:t>
      </w:r>
    </w:p>
    <w:p>
      <w:pPr>
        <w:spacing w:after="0" w:line="27" w:lineRule="exact"/>
        <w:rPr>
          <w:sz w:val="20"/>
          <w:szCs w:val="20"/>
          <w:color w:val="auto"/>
        </w:rPr>
      </w:pPr>
    </w:p>
    <w:p>
      <w:pPr>
        <w:ind w:right="160" w:firstLine="8"/>
        <w:spacing w:after="0"/>
        <w:tabs>
          <w:tab w:leader="none" w:pos="2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 reporting unit, and (iii) the Asia reporting unit. All of the Company’s goodwill is allocated to the Americas reporting unit. The Company first assesses qualitative factors to determine whether it is more-likely-than-not that the fair value of a reporting unit is less than its carrying value. In performing the qualitative assessment, the Company reviews factors both specific to the reporting units and to the Company as a whole, such as financial performance, macroeconomic conditions, industry and market considerations, and the fair value of each reporting unit at the last valuation date. If the Company elects this option and believes, as a result of the qualitative assessment, that it is more likely than not that the carrying value of each of the reporting units exceeds their fair value, the quantitative impairment test is required; otherwise, no further testing is required.</w:t>
      </w:r>
    </w:p>
    <w:p>
      <w:pPr>
        <w:spacing w:after="0" w:line="198" w:lineRule="exact"/>
        <w:rPr>
          <w:sz w:val="20"/>
          <w:szCs w:val="20"/>
          <w:color w:val="auto"/>
        </w:rPr>
      </w:pPr>
    </w:p>
    <w:p>
      <w:pPr>
        <w:ind w:firstLine="551"/>
        <w:spacing w:after="0" w:line="242" w:lineRule="auto"/>
        <w:rPr>
          <w:sz w:val="20"/>
          <w:szCs w:val="20"/>
          <w:color w:val="auto"/>
        </w:rPr>
      </w:pPr>
      <w:r>
        <w:rPr>
          <w:rFonts w:ascii="Times New Roman" w:cs="Times New Roman" w:eastAsia="Times New Roman" w:hAnsi="Times New Roman"/>
          <w:sz w:val="18"/>
          <w:szCs w:val="18"/>
          <w:color w:val="auto"/>
        </w:rPr>
        <w:t>Alternatively, the Company may elect to bypass the qualitative assessment and perform the quantitative impairment test instead, or if the Company reasonably determines that it is more-likely-than-not that the fair value is less than the carrying value, the Company performs its annual, or interim, goodwill impairment test by comparing the fair value of each of the reporting units with their carrying amount. The fair value of each of the reporting units is estimated by blending the results from the income approach and the market multiples approach. These valuation approaches consider a number of factors that include, but are not limited to, expected future cash flows, growth rates, discount rates, and comparable multiples from publicly-traded companies in the Company’s industry, and require to make certain assumptions and estimates regarding industry economic factors and future profitability of the Company’s business. It is the Company’s policy to conduct impairment testing based on its most current business plans, projected future revenues and cash flows, which reflect changes anticipated in the economy and the industry. The cash flows are based on five-year financial forecasts developed internally by management and are discounted to a present value using discount rates that properly</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account for the risk and nature of the respective reporting unit’s cash flows and the rates of return market participants would require to invest their capital in the Company’s reporting unit. The Company will recognize an impairment for the amount by which the carrying amount exceeds a reporting unit’s fair value. For the years ended December 31, 2025, 2024, and 2023, there were no impairments recorded.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Advances</w:t>
      </w:r>
    </w:p>
    <w:p>
      <w:pPr>
        <w:spacing w:after="0" w:line="106" w:lineRule="exact"/>
        <w:rPr>
          <w:sz w:val="20"/>
          <w:szCs w:val="20"/>
          <w:color w:val="auto"/>
        </w:rPr>
      </w:pPr>
    </w:p>
    <w:p>
      <w:pPr>
        <w:ind w:right="200" w:firstLine="551"/>
        <w:spacing w:after="0" w:line="251" w:lineRule="auto"/>
        <w:rPr>
          <w:sz w:val="20"/>
          <w:szCs w:val="20"/>
          <w:color w:val="auto"/>
        </w:rPr>
      </w:pPr>
      <w:r>
        <w:rPr>
          <w:rFonts w:ascii="Times New Roman" w:cs="Times New Roman" w:eastAsia="Times New Roman" w:hAnsi="Times New Roman"/>
          <w:sz w:val="18"/>
          <w:szCs w:val="18"/>
          <w:color w:val="auto"/>
        </w:rPr>
        <w:t>The Company issues advances to certain manufacturers with interest at rates between 5% and 7% with terms extending to February 2028</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These advances are assessed for collectability and an allowance for credit losses is recognized when it is probable that the Company will be unable to collect all amounts due according to the contractual terms. The Company recorded an allowance of $1,007 and $1,557 as of December 31, 2025 and December 31, 2024,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08" w:lineRule="exact"/>
        <w:rPr>
          <w:sz w:val="20"/>
          <w:szCs w:val="20"/>
          <w:color w:val="auto"/>
        </w:rPr>
      </w:pPr>
    </w:p>
    <w:p>
      <w:pPr>
        <w:ind w:right="180" w:firstLine="551"/>
        <w:spacing w:after="0" w:line="246" w:lineRule="auto"/>
        <w:rPr>
          <w:sz w:val="20"/>
          <w:szCs w:val="20"/>
          <w:color w:val="auto"/>
        </w:rPr>
      </w:pPr>
      <w:r>
        <w:rPr>
          <w:rFonts w:ascii="Times New Roman" w:cs="Times New Roman" w:eastAsia="Times New Roman" w:hAnsi="Times New Roman"/>
          <w:sz w:val="18"/>
          <w:szCs w:val="18"/>
          <w:color w:val="auto"/>
        </w:rPr>
        <w:t>The Company’s reporting currency is the U.S. dollar. The Company maintains the financial statements of each entity within the group in its local currency, which is also the entity’s functional currency. Gains and losses on transactions denominated in currencies other than the functional currency are included in determining net income for the period. All assets and liabilities denominated in a foreign currency are translated into U.S. dollars at the exchange rate on the balance sheet date. Revenue and expenses are translated at the average exchange rate applicable during the period. Translation gains and losses are included as a component of accumulated other comprehensive income in stockholders’ equity.</w:t>
      </w:r>
    </w:p>
    <w:p>
      <w:pPr>
        <w:spacing w:after="0" w:line="195" w:lineRule="exact"/>
        <w:rPr>
          <w:sz w:val="20"/>
          <w:szCs w:val="20"/>
          <w:color w:val="auto"/>
        </w:rPr>
      </w:pPr>
    </w:p>
    <w:p>
      <w:pPr>
        <w:ind w:right="40" w:firstLine="551"/>
        <w:spacing w:after="0" w:line="266" w:lineRule="auto"/>
        <w:rPr>
          <w:sz w:val="20"/>
          <w:szCs w:val="20"/>
          <w:color w:val="auto"/>
        </w:rPr>
      </w:pPr>
      <w:r>
        <w:rPr>
          <w:rFonts w:ascii="Times New Roman" w:cs="Times New Roman" w:eastAsia="Times New Roman" w:hAnsi="Times New Roman"/>
          <w:sz w:val="18"/>
          <w:szCs w:val="18"/>
          <w:color w:val="auto"/>
        </w:rPr>
        <w:t>Transaction gains and losses that arise from exchange rate fluctuations on transactions denominated in a currency other than the functional currency are included as a component of other income (expense) in the accompanying consolidated statements of operations when incurred.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21" w:lineRule="exact"/>
        <w:rPr>
          <w:sz w:val="20"/>
          <w:szCs w:val="20"/>
          <w:color w:val="auto"/>
        </w:rPr>
      </w:pPr>
    </w:p>
    <w:p>
      <w:pPr>
        <w:ind w:right="100" w:firstLine="551"/>
        <w:spacing w:after="0" w:line="250" w:lineRule="auto"/>
        <w:rPr>
          <w:sz w:val="20"/>
          <w:szCs w:val="20"/>
          <w:color w:val="auto"/>
        </w:rPr>
      </w:pPr>
      <w:r>
        <w:rPr>
          <w:rFonts w:ascii="Times New Roman" w:cs="Times New Roman" w:eastAsia="Times New Roman" w:hAnsi="Times New Roman"/>
          <w:sz w:val="18"/>
          <w:szCs w:val="18"/>
          <w:color w:val="auto"/>
        </w:rPr>
        <w:t>The Company periodically enters into forward foreign currency exchange contracts to hedge its foreign currency exposure. The fair value of these contracts is recorded in the consolidated balance sheets with a corresponding adjustment to the consolidated statements of operations for the change in fair value of the derivative instruments, as the contracts have not been designated as a hedge instrument. Refer to Note 12, Derivative Instruments, for more information.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08" w:lineRule="exact"/>
        <w:rPr>
          <w:sz w:val="20"/>
          <w:szCs w:val="20"/>
          <w:color w:val="auto"/>
        </w:rPr>
      </w:pPr>
    </w:p>
    <w:p>
      <w:pPr>
        <w:jc w:val="both"/>
        <w:ind w:right="240" w:firstLine="551"/>
        <w:spacing w:after="0" w:line="258" w:lineRule="auto"/>
        <w:rPr>
          <w:sz w:val="20"/>
          <w:szCs w:val="20"/>
          <w:color w:val="auto"/>
        </w:rPr>
      </w:pPr>
      <w:r>
        <w:rPr>
          <w:rFonts w:ascii="Times New Roman" w:cs="Times New Roman" w:eastAsia="Times New Roman" w:hAnsi="Times New Roman"/>
          <w:sz w:val="18"/>
          <w:szCs w:val="18"/>
          <w:color w:val="auto"/>
        </w:rPr>
        <w:t>The Company operates as two operating and reportable segments: (i) Americas segment, which is comprised of the Company’s operations in the Americas region, primarily in the U.S. and Canada, and (ii) International segment, which is comprised of the Company’s operations primarily in Europe, Middle East, Africa and the Asia Pacific regions.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right="220" w:firstLine="551"/>
        <w:spacing w:after="0" w:line="250" w:lineRule="auto"/>
        <w:rPr>
          <w:sz w:val="20"/>
          <w:szCs w:val="20"/>
          <w:color w:val="auto"/>
        </w:rPr>
      </w:pPr>
      <w:r>
        <w:rPr>
          <w:rFonts w:ascii="Times New Roman" w:cs="Times New Roman" w:eastAsia="Times New Roman" w:hAnsi="Times New Roman"/>
          <w:sz w:val="18"/>
          <w:szCs w:val="18"/>
          <w:color w:val="auto"/>
        </w:rPr>
        <w:t>The Company’s cash and accounts receivable are subject to concentrations of credit risk. The Company’s cash balances are primarily on deposit with banks in the U.S. which are guaranteed by the Federal Deposit Insurance Corporation ("FDIC") up to $250. At times, such cash may be in excess of the FDIC insurance limit. To minimize the risk, the Company’s policy is to maintain cash balances with high quality financial institutions and any excess cash above a certain minimum balance could be invested in overnight money market treasury deposits in widely diversified accounts.</w:t>
      </w:r>
    </w:p>
    <w:p>
      <w:pPr>
        <w:spacing w:after="0" w:line="69" w:lineRule="exact"/>
        <w:rPr>
          <w:sz w:val="20"/>
          <w:szCs w:val="20"/>
          <w:color w:val="auto"/>
        </w:rPr>
      </w:pPr>
    </w:p>
    <w:p>
      <w:pPr>
        <w:ind w:right="40" w:firstLine="551"/>
        <w:spacing w:after="0" w:line="244" w:lineRule="auto"/>
        <w:rPr>
          <w:sz w:val="20"/>
          <w:szCs w:val="20"/>
          <w:color w:val="auto"/>
        </w:rPr>
      </w:pPr>
      <w:r>
        <w:rPr>
          <w:rFonts w:ascii="Times New Roman" w:cs="Times New Roman" w:eastAsia="Times New Roman" w:hAnsi="Times New Roman"/>
          <w:sz w:val="18"/>
          <w:szCs w:val="18"/>
          <w:color w:val="auto"/>
        </w:rPr>
        <w:t>Substantially, all of the Company’s customers are either wholesalers or retailers of beverages. A material default in payment, a material reduction in purchase from these or any large customers, or the loss of a large customer or customer groups could have a material adverse impact on the Company’s financial condition, results of operations, and liquidity. The Company is exposed to concentration of credit risk from its major customers for which two customers represented 44%, 48%, and 53% of total net sales during the years ended December 31, 2025, 2024, and 2023, respectively. In addition, the two customers also accounted for 39% and 30% of total accounts receivable as of December 31, 2025 and 2024, respectively. The Company has not experienced credit issues with these customers.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7" w:lineRule="exact"/>
        <w:rPr>
          <w:sz w:val="20"/>
          <w:szCs w:val="20"/>
          <w:color w:val="auto"/>
        </w:rPr>
      </w:pPr>
    </w:p>
    <w:p>
      <w:pPr>
        <w:ind w:right="220" w:firstLine="648"/>
        <w:spacing w:after="0" w:line="277" w:lineRule="auto"/>
        <w:rPr>
          <w:sz w:val="20"/>
          <w:szCs w:val="20"/>
          <w:color w:val="auto"/>
        </w:rPr>
      </w:pPr>
      <w:r>
        <w:rPr>
          <w:rFonts w:ascii="Times New Roman" w:cs="Times New Roman" w:eastAsia="Times New Roman" w:hAnsi="Times New Roman"/>
          <w:sz w:val="17"/>
          <w:szCs w:val="17"/>
          <w:color w:val="auto"/>
        </w:rPr>
        <w:t xml:space="preserve">In December 2023, the FASB issued </w:t>
      </w:r>
      <w:r>
        <w:rPr>
          <w:rFonts w:ascii="Times New Roman" w:cs="Times New Roman" w:eastAsia="Times New Roman" w:hAnsi="Times New Roman"/>
          <w:sz w:val="17"/>
          <w:szCs w:val="17"/>
          <w:i w:val="1"/>
          <w:iCs w:val="1"/>
          <w:color w:val="auto"/>
        </w:rPr>
        <w:t>ASU 2023-09</w:t>
      </w:r>
      <w:r>
        <w:rPr>
          <w:rFonts w:ascii="Times New Roman" w:cs="Times New Roman" w:eastAsia="Times New Roman" w:hAnsi="Times New Roman"/>
          <w:sz w:val="17"/>
          <w:szCs w:val="17"/>
          <w:color w:val="auto"/>
        </w:rPr>
        <w:t>, Income Taxes (Topic 740): Improvements to Income Tax Disclosures, which requires public entities to provide disclosure of specific categories in the rate reconciliation, detail out reconciling items that are equal to or greater than 5% of income from continuing operations before income tax expense multiplied by the applicable statutory income tax rate, and break out income taxes by jurisdiction. ASU 2023-09 is effective for fiscal years beginning after December 15, 2024, with early adoption permitted. The Company adopted the guidance on a retrospective basis for the year ended December 31, 2025. The adoption did not have a material effect on its consolidated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06" w:lineRule="exact"/>
        <w:rPr>
          <w:sz w:val="20"/>
          <w:szCs w:val="20"/>
          <w:color w:val="auto"/>
        </w:rPr>
      </w:pPr>
    </w:p>
    <w:p>
      <w:pPr>
        <w:ind w:right="240" w:firstLine="648"/>
        <w:spacing w:after="0" w:line="255"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ASU 2023-07 was effective for fiscal years beginning after December 15, 2023, and for interim periods within fiscal years beginning after December 15, 2024, with early adoption permitted. The Company adopted the standard for the year ended December 31, 2024. The adoption of the standard did not have a material impact on the Company’s consolidated statements of operations and disclosures.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Expected Credit Losses</w:t>
      </w:r>
    </w:p>
    <w:p>
      <w:pPr>
        <w:spacing w:after="0" w:line="11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Measurement of Credit Losses on Financial Instruments ("ASU 2016-13"). The new accounting standard introduced the current expected credit losses methodology ("CECL") for estimating allowances for credit losses. The measurement of expected credit losses under the CECL methodology is applicable to financial assets measured at amortized costs, including loans and trade receivables. ASU 2016-13 was effective for the Company, as an EGC, for annual and interim reporting periods beginning after December 15, 2022. The Company adopted the standard on January 1, 2023 using the modified retrospective method for all financial assets in scope.</w:t>
      </w:r>
    </w:p>
    <w:p>
      <w:pPr>
        <w:spacing w:after="0" w:line="7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As a part of the adoption, the Company selected to apply roll-rate method to estimate current expected credit losses for its accounts receivable population and weighted average remaining maturity ("WARM") method for supplier advances.</w:t>
      </w:r>
    </w:p>
    <w:p>
      <w:pPr>
        <w:spacing w:after="0" w:line="189"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The difference of $1,070 between the incurred credit loss estimate and current expected credit loss estimate was recorded as cumulative effect adjustment to the Company’s opening retained earnings and reflected on the consolidated balance sheet as of January 1, 2023 as a result of the </w:t>
      </w:r>
      <w:r>
        <w:rPr>
          <w:rFonts w:ascii="Times New Roman" w:cs="Times New Roman" w:eastAsia="Times New Roman" w:hAnsi="Times New Roman"/>
          <w:sz w:val="18"/>
          <w:szCs w:val="18"/>
          <w:i w:val="1"/>
          <w:iCs w:val="1"/>
          <w:color w:val="auto"/>
        </w:rPr>
        <w:t>ASC 326</w:t>
      </w:r>
      <w:r>
        <w:rPr>
          <w:rFonts w:ascii="Times New Roman" w:cs="Times New Roman" w:eastAsia="Times New Roman" w:hAnsi="Times New Roman"/>
          <w:sz w:val="18"/>
          <w:szCs w:val="18"/>
          <w:color w:val="auto"/>
        </w:rPr>
        <w:t xml:space="preserve"> adoption. The adoption of the standard did not have a material impact on the Company’s consolidated statements of operations, or consolidated statements of cash flows. The following table illustrates the impact of </w:t>
      </w:r>
      <w:r>
        <w:rPr>
          <w:rFonts w:ascii="Times New Roman" w:cs="Times New Roman" w:eastAsia="Times New Roman" w:hAnsi="Times New Roman"/>
          <w:sz w:val="18"/>
          <w:szCs w:val="18"/>
          <w:i w:val="1"/>
          <w:iCs w:val="1"/>
          <w:color w:val="auto"/>
        </w:rPr>
        <w:t>ASC 326</w:t>
      </w:r>
      <w:r>
        <w:rPr>
          <w:rFonts w:ascii="Times New Roman" w:cs="Times New Roman" w:eastAsia="Times New Roman" w:hAnsi="Times New Roman"/>
          <w:sz w:val="18"/>
          <w:szCs w:val="18"/>
          <w:color w:val="auto"/>
        </w:rPr>
        <w: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January 1, 2023</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As reported under</w:t>
            </w:r>
          </w:p>
        </w:tc>
        <w:tc>
          <w:tcPr>
            <w:tcW w:w="15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Pre-ASC 326 adoption</w:t>
            </w:r>
          </w:p>
        </w:tc>
        <w:tc>
          <w:tcPr>
            <w:tcW w:w="120" w:type="dxa"/>
            <w:vAlign w:val="bottom"/>
          </w:tcPr>
          <w:p>
            <w:pPr>
              <w:spacing w:after="0"/>
              <w:rPr>
                <w:sz w:val="11"/>
                <w:szCs w:val="11"/>
                <w:color w:val="auto"/>
              </w:rPr>
            </w:pPr>
          </w:p>
        </w:tc>
        <w:tc>
          <w:tcPr>
            <w:tcW w:w="1360" w:type="dxa"/>
            <w:vAlign w:val="bottom"/>
          </w:tcPr>
          <w:p>
            <w:pPr>
              <w:jc w:val="right"/>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Impact of ASC 326</w:t>
            </w:r>
          </w:p>
        </w:tc>
        <w:tc>
          <w:tcPr>
            <w:tcW w:w="0" w:type="dxa"/>
            <w:vAlign w:val="bottom"/>
          </w:tcPr>
          <w:p>
            <w:pPr>
              <w:spacing w:after="0"/>
              <w:rPr>
                <w:sz w:val="1"/>
                <w:szCs w:val="1"/>
                <w:color w:val="auto"/>
              </w:rPr>
            </w:pPr>
          </w:p>
        </w:tc>
      </w:tr>
      <w:tr>
        <w:trPr>
          <w:trHeight w:val="195"/>
        </w:trPr>
        <w:tc>
          <w:tcPr>
            <w:tcW w:w="66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ASC 326</w:t>
            </w:r>
          </w:p>
        </w:tc>
        <w:tc>
          <w:tcPr>
            <w:tcW w:w="158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adoption</w:t>
            </w:r>
          </w:p>
        </w:tc>
        <w:tc>
          <w:tcPr>
            <w:tcW w:w="0" w:type="dxa"/>
            <w:vAlign w:val="bottom"/>
          </w:tcPr>
          <w:p>
            <w:pPr>
              <w:spacing w:after="0"/>
              <w:rPr>
                <w:sz w:val="1"/>
                <w:szCs w:val="1"/>
                <w:color w:val="auto"/>
              </w:rPr>
            </w:pPr>
          </w:p>
        </w:tc>
      </w:tr>
      <w:tr>
        <w:trPr>
          <w:trHeight w:val="22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accounts receivables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supplier advances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55"/>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67" w:lineRule="exact"/>
        <w:rPr>
          <w:sz w:val="20"/>
          <w:szCs w:val="20"/>
          <w:color w:val="auto"/>
        </w:rPr>
      </w:pPr>
    </w:p>
    <w:p>
      <w:pPr>
        <w:ind w:right="340" w:firstLine="648"/>
        <w:spacing w:after="0" w:line="231" w:lineRule="exact"/>
        <w:rPr>
          <w:sz w:val="20"/>
          <w:szCs w:val="20"/>
          <w:color w:val="auto"/>
        </w:rPr>
      </w:pPr>
      <w:r>
        <w:rPr>
          <w:rFonts w:ascii="Times New Roman" w:cs="Times New Roman" w:eastAsia="Times New Roman" w:hAnsi="Times New Roman"/>
          <w:sz w:val="18"/>
          <w:szCs w:val="18"/>
          <w:color w:val="auto"/>
        </w:rPr>
        <w:t>In December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 Interim Reporting (Topic 270): Narrow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Scope Improvements. The amendments clarify the applicability, content, and disclosure requirements for interim financial statements prepared in accordance with U.S. generally accepted accounting principles (GAAP). The objective of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 is to improve the clarity and navigability of Topic 270 by consolidating existing interim reporting guidance, specifying required disclosures,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right="120"/>
        <w:spacing w:after="0" w:line="222" w:lineRule="exact"/>
        <w:rPr>
          <w:sz w:val="20"/>
          <w:szCs w:val="20"/>
          <w:color w:val="auto"/>
        </w:rPr>
      </w:pPr>
      <w:r>
        <w:rPr>
          <w:rFonts w:ascii="Times New Roman" w:cs="Times New Roman" w:eastAsia="Times New Roman" w:hAnsi="Times New Roman"/>
          <w:sz w:val="18"/>
          <w:szCs w:val="18"/>
          <w:color w:val="auto"/>
        </w:rPr>
        <w:t>and establishing a principle that entities disclose events and changes occurring after the most recent annual reporting period that have a material impact on the entity.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 is effective for interim periods within annual periods beginning after December 15, 2027, with early adoption permitted. The Company is evaluating the impact on the Company’s interim reporting and disclosures.</w:t>
      </w:r>
    </w:p>
    <w:p>
      <w:pPr>
        <w:spacing w:after="0" w:line="50" w:lineRule="exact"/>
        <w:rPr>
          <w:sz w:val="20"/>
          <w:szCs w:val="20"/>
          <w:color w:val="auto"/>
        </w:rPr>
      </w:pPr>
    </w:p>
    <w:p>
      <w:pPr>
        <w:ind w:right="100" w:firstLine="648"/>
        <w:spacing w:after="0" w:line="228" w:lineRule="exact"/>
        <w:rPr>
          <w:sz w:val="20"/>
          <w:szCs w:val="20"/>
          <w:color w:val="auto"/>
        </w:rPr>
      </w:pPr>
      <w:r>
        <w:rPr>
          <w:rFonts w:ascii="Times New Roman" w:cs="Times New Roman" w:eastAsia="Times New Roman" w:hAnsi="Times New Roman"/>
          <w:sz w:val="18"/>
          <w:szCs w:val="18"/>
          <w:color w:val="auto"/>
        </w:rPr>
        <w:t>In September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06, Intangibles—Goodwill and Other—Internal-Use Software (Subtopic 350-40): Targeted Improvements to the Accounting for Internal-Use Software ("ASU 2025-06"). ASU 2025-06 removes the existing project stage model and introduces new capitalization criteria based on management authorization and the probability of project completion. It also clarifies the treatment of software development uncertainty and incorporates guidance on website development costs. ASU 2025-06 is effective for annual periods beginning after December 15, 2027, with early adoption permitted. The Company is currently evaluating the impact of ASU 2025-06 on its consolidated financial statements.</w:t>
      </w:r>
    </w:p>
    <w:p>
      <w:pPr>
        <w:spacing w:after="0" w:line="185" w:lineRule="exact"/>
        <w:rPr>
          <w:sz w:val="20"/>
          <w:szCs w:val="20"/>
          <w:color w:val="auto"/>
        </w:rPr>
      </w:pPr>
    </w:p>
    <w:p>
      <w:pPr>
        <w:ind w:firstLine="648"/>
        <w:spacing w:after="0" w:line="217" w:lineRule="exact"/>
        <w:rPr>
          <w:sz w:val="20"/>
          <w:szCs w:val="20"/>
          <w:color w:val="auto"/>
        </w:rPr>
      </w:pPr>
      <w:r>
        <w:rPr>
          <w:rFonts w:ascii="Times New Roman" w:cs="Times New Roman" w:eastAsia="Times New Roman" w:hAnsi="Times New Roman"/>
          <w:sz w:val="18"/>
          <w:szCs w:val="18"/>
          <w:color w:val="auto"/>
        </w:rPr>
        <w:t>In July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Financial Instruments—Credit Losses (“Topic 326”): Measurement of Credit Losses for Accounts Receivable and Contract Assets (“ASU 2025-05”). ASU 2025-05 introduces a practical expedient that allows entities to estimate expected credit losses for current trade receivables and contract assets (within the scope of ASC 606) based on the assumption that current economic conditions will persist over the asset’s remaining life. The expedient applies only to receivables and contract assets that are expected to be collected within one year (or the operating cycle, if longer) and is intended to reduce complexity in applying the credit loss model under Topic 326. The standard is effective for the Company for fiscal years beginning after December 15, 2025, including interim periods within those fiscal years. Early adoption is permitted. The amendments must be applied prospectively. The Company is currently evaluating the impact of ASU 2025-05 on its consolidated financial statements and related disclosures.</w:t>
      </w:r>
    </w:p>
    <w:p>
      <w:pPr>
        <w:spacing w:after="0" w:line="76"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w:t>
      </w:r>
      <w:r>
        <w:rPr>
          <w:rFonts w:ascii="Times New Roman" w:cs="Times New Roman" w:eastAsia="Times New Roman" w:hAnsi="Times New Roman"/>
          <w:sz w:val="18"/>
          <w:szCs w:val="18"/>
          <w:i w:val="1"/>
          <w:iCs w:val="1"/>
          <w:color w:val="auto"/>
        </w:rPr>
        <w:t>ASU 2024-03</w:t>
      </w:r>
      <w:r>
        <w:rPr>
          <w:rFonts w:ascii="Times New Roman" w:cs="Times New Roman" w:eastAsia="Times New Roman" w:hAnsi="Times New Roman"/>
          <w:sz w:val="18"/>
          <w:szCs w:val="18"/>
          <w:color w:val="auto"/>
        </w:rPr>
        <w:t xml:space="preserve">, Income Statement—Reporting Comprehensive Income—Expense Disaggregation Disclosures (Subtopic 220-40): Disaggregation of Income Statement Expenses, which requires expenses in the consolidated statement of operations to be disaggregated into functional categories and separate significant individual expense items that are material to the understanding of the financial statements. </w:t>
      </w:r>
      <w:r>
        <w:rPr>
          <w:rFonts w:ascii="Times New Roman" w:cs="Times New Roman" w:eastAsia="Times New Roman" w:hAnsi="Times New Roman"/>
          <w:sz w:val="18"/>
          <w:szCs w:val="18"/>
          <w:i w:val="1"/>
          <w:iCs w:val="1"/>
          <w:color w:val="auto"/>
        </w:rPr>
        <w:t>ASU 2024-03</w:t>
      </w:r>
      <w:r>
        <w:rPr>
          <w:rFonts w:ascii="Times New Roman" w:cs="Times New Roman" w:eastAsia="Times New Roman" w:hAnsi="Times New Roman"/>
          <w:sz w:val="18"/>
          <w:szCs w:val="18"/>
          <w:color w:val="auto"/>
        </w:rPr>
        <w:t xml:space="preserve"> is effective for fiscal years beginning after December 15, 2026. The Company is currently evaluating the impact of adopting </w:t>
      </w:r>
      <w:r>
        <w:rPr>
          <w:rFonts w:ascii="Times New Roman" w:cs="Times New Roman" w:eastAsia="Times New Roman" w:hAnsi="Times New Roman"/>
          <w:sz w:val="18"/>
          <w:szCs w:val="18"/>
          <w:i w:val="1"/>
          <w:iCs w:val="1"/>
          <w:color w:val="auto"/>
        </w:rPr>
        <w:t>ASU 2024-03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Revenues are accounted for in accordance with ASC 606. The Company disaggregates revenue into the following product categories:</w:t>
      </w:r>
    </w:p>
    <w:p>
      <w:pPr>
        <w:spacing w:after="0" w:line="100" w:lineRule="exact"/>
        <w:rPr>
          <w:sz w:val="20"/>
          <w:szCs w:val="20"/>
          <w:color w:val="auto"/>
        </w:rPr>
      </w:pPr>
    </w:p>
    <w:p>
      <w:pPr>
        <w:ind w:left="820" w:right="20" w:hanging="245"/>
        <w:spacing w:after="0" w:line="247" w:lineRule="auto"/>
        <w:tabs>
          <w:tab w:leader="none" w:pos="8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Vita Coco Coconut Water </w:t>
      </w:r>
      <w:r>
        <w:rPr>
          <w:rFonts w:ascii="Times New Roman" w:cs="Times New Roman" w:eastAsia="Times New Roman" w:hAnsi="Times New Roman"/>
          <w:sz w:val="18"/>
          <w:szCs w:val="18"/>
          <w:color w:val="auto"/>
        </w:rPr>
        <w:t>– This product category consists of all branded coconut water product offerings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labels, where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majority ingredient is coconut water. The Company determined that the sale of the products represents a distinct performance obligation as customers can benefit from purchasing the products on their own or together with other resources that are readily available to the customers. For these products, control is transferred upon customer receipt, at which point the Company recognizes the transaction price for the product as revenue.</w:t>
      </w:r>
    </w:p>
    <w:p>
      <w:pPr>
        <w:spacing w:after="0" w:line="82" w:lineRule="exact"/>
        <w:rPr>
          <w:rFonts w:ascii="Times New Roman" w:cs="Times New Roman" w:eastAsia="Times New Roman" w:hAnsi="Times New Roman"/>
          <w:sz w:val="18"/>
          <w:szCs w:val="18"/>
          <w:color w:val="auto"/>
        </w:rPr>
      </w:pPr>
    </w:p>
    <w:p>
      <w:pPr>
        <w:ind w:left="820" w:right="180" w:hanging="245"/>
        <w:spacing w:after="0" w:line="247" w:lineRule="auto"/>
        <w:tabs>
          <w:tab w:leader="none" w:pos="8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Private Label </w:t>
      </w:r>
      <w:r>
        <w:rPr>
          <w:rFonts w:ascii="Times New Roman" w:cs="Times New Roman" w:eastAsia="Times New Roman" w:hAnsi="Times New Roman"/>
          <w:sz w:val="18"/>
          <w:szCs w:val="18"/>
          <w:color w:val="auto"/>
        </w:rPr>
        <w:t>– This product category consists of all Private Label product offerings, which includes coconut water and coconut oil.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occurs, which may be prior to any shipment.</w:t>
      </w:r>
    </w:p>
    <w:p>
      <w:pPr>
        <w:spacing w:after="0" w:line="68" w:lineRule="exact"/>
        <w:rPr>
          <w:rFonts w:ascii="Times New Roman" w:cs="Times New Roman" w:eastAsia="Times New Roman" w:hAnsi="Times New Roman"/>
          <w:sz w:val="18"/>
          <w:szCs w:val="18"/>
          <w:color w:val="auto"/>
        </w:rPr>
      </w:pPr>
    </w:p>
    <w:p>
      <w:pPr>
        <w:ind w:left="820" w:right="20" w:hanging="245"/>
        <w:spacing w:after="0" w:line="252" w:lineRule="auto"/>
        <w:tabs>
          <w:tab w:leader="none" w:pos="8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 </w:t>
      </w:r>
      <w:r>
        <w:rPr>
          <w:rFonts w:ascii="Times New Roman" w:cs="Times New Roman" w:eastAsia="Times New Roman" w:hAnsi="Times New Roman"/>
          <w:sz w:val="18"/>
          <w:szCs w:val="18"/>
          <w:color w:val="auto"/>
        </w:rPr>
        <w:t>This product category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extensions beyond coconut water, such as coconut milk products,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Treats;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Ever &amp; Ever</w:t>
      </w:r>
      <w:r>
        <w:rPr>
          <w:rFonts w:ascii="Times New Roman" w:cs="Times New Roman" w:eastAsia="Times New Roman" w:hAnsi="Times New Roman"/>
          <w:sz w:val="18"/>
          <w:szCs w:val="18"/>
          <w:color w:val="auto"/>
        </w:rPr>
        <w:t xml:space="preserve">; Runa (until the Company ceased selling in December 2023); </w:t>
      </w:r>
      <w:r>
        <w:rPr>
          <w:rFonts w:ascii="Times New Roman" w:cs="Times New Roman" w:eastAsia="Times New Roman" w:hAnsi="Times New Roman"/>
          <w:sz w:val="18"/>
          <w:szCs w:val="18"/>
          <w:i w:val="1"/>
          <w:iCs w:val="1"/>
          <w:color w:val="auto"/>
        </w:rPr>
        <w:t>Vita Coco</w:t>
      </w:r>
      <w:r>
        <w:rPr>
          <w:rFonts w:ascii="Times New Roman" w:cs="Times New Roman" w:eastAsia="Times New Roman" w:hAnsi="Times New Roman"/>
          <w:sz w:val="18"/>
          <w:szCs w:val="18"/>
          <w:color w:val="auto"/>
        </w:rPr>
        <w:t xml:space="preserve"> coconut oil sold internationally; and other revenue transactions (e.g., bulk product sales). For these products, control is transferred upon customer receipt, at which point the Company recognizes the transaction price for the product as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right="20" w:firstLine="551"/>
        <w:spacing w:after="0" w:line="266" w:lineRule="auto"/>
        <w:rPr>
          <w:sz w:val="20"/>
          <w:szCs w:val="20"/>
          <w:color w:val="auto"/>
        </w:rPr>
      </w:pPr>
      <w:r>
        <w:rPr>
          <w:rFonts w:ascii="Times New Roman" w:cs="Times New Roman" w:eastAsia="Times New Roman" w:hAnsi="Times New Roman"/>
          <w:sz w:val="18"/>
          <w:szCs w:val="18"/>
          <w:color w:val="auto"/>
        </w:rPr>
        <w:t>The Company excludes from revenues all taxes assessed by a governmental authority that are imposed on the sale of its products and collected from customers.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disaggregates net revenue by product type and reportable segment: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6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6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20" w:type="dxa"/>
            <w:vAlign w:val="bottom"/>
          </w:tcPr>
          <w:p>
            <w:pPr>
              <w:spacing w:after="0"/>
              <w:rPr>
                <w:sz w:val="16"/>
                <w:szCs w:val="16"/>
                <w:color w:val="auto"/>
              </w:rPr>
            </w:pPr>
          </w:p>
        </w:tc>
        <w:tc>
          <w:tcPr>
            <w:tcW w:w="12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3"/>
        </w:trPr>
        <w:tc>
          <w:tcPr>
            <w:tcW w:w="656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Vita Coco Coconut Water</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424,319</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71,943</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496,262</w:t>
            </w: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88,682</w:t>
            </w:r>
          </w:p>
        </w:tc>
      </w:tr>
      <w:tr>
        <w:trPr>
          <w:trHeight w:val="263"/>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21,723</w:t>
            </w:r>
          </w:p>
        </w:tc>
        <w:tc>
          <w:tcPr>
            <w:tcW w:w="100" w:type="dxa"/>
            <w:vAlign w:val="bottom"/>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120" w:type="dxa"/>
            <w:vAlign w:val="bottom"/>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24,836</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508,773</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101,007</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609,780</w:t>
            </w:r>
          </w:p>
        </w:tc>
      </w:tr>
      <w:tr>
        <w:trPr>
          <w:trHeight w:val="27"/>
        </w:trPr>
        <w:tc>
          <w:tcPr>
            <w:tcW w:w="6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551"/>
        </w:trPr>
        <w:tc>
          <w:tcPr>
            <w:tcW w:w="6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
        </w:trPr>
        <w:tc>
          <w:tcPr>
            <w:tcW w:w="6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6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20" w:type="dxa"/>
            <w:vAlign w:val="bottom"/>
          </w:tcPr>
          <w:p>
            <w:pPr>
              <w:spacing w:after="0"/>
              <w:rPr>
                <w:sz w:val="16"/>
                <w:szCs w:val="16"/>
                <w:color w:val="auto"/>
              </w:rPr>
            </w:pPr>
          </w:p>
        </w:tc>
        <w:tc>
          <w:tcPr>
            <w:tcW w:w="12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3"/>
        </w:trPr>
        <w:tc>
          <w:tcPr>
            <w:tcW w:w="656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Vita Coco Coconut Water</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343,288</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50,318</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393,606</w:t>
            </w: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109,224</w:t>
            </w:r>
          </w:p>
        </w:tc>
      </w:tr>
      <w:tr>
        <w:trPr>
          <w:trHeight w:val="263"/>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100" w:type="dxa"/>
            <w:vAlign w:val="bottom"/>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120" w:type="dxa"/>
            <w:vAlign w:val="bottom"/>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13,183</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442,343</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73,670</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516,013</w:t>
            </w:r>
          </w:p>
        </w:tc>
      </w:tr>
      <w:tr>
        <w:trPr>
          <w:trHeight w:val="27"/>
        </w:trPr>
        <w:tc>
          <w:tcPr>
            <w:tcW w:w="6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4"/>
        </w:trPr>
        <w:tc>
          <w:tcPr>
            <w:tcW w:w="6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
        </w:trPr>
        <w:tc>
          <w:tcPr>
            <w:tcW w:w="6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6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4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20" w:type="dxa"/>
            <w:vAlign w:val="bottom"/>
          </w:tcPr>
          <w:p>
            <w:pPr>
              <w:spacing w:after="0"/>
              <w:rPr>
                <w:sz w:val="16"/>
                <w:szCs w:val="16"/>
                <w:color w:val="auto"/>
              </w:rPr>
            </w:pPr>
          </w:p>
        </w:tc>
        <w:tc>
          <w:tcPr>
            <w:tcW w:w="12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3"/>
        </w:trPr>
        <w:tc>
          <w:tcPr>
            <w:tcW w:w="6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Vita Coco Coconut Water</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317,221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359,050</w:t>
            </w: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Label</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121,879</w:t>
            </w:r>
          </w:p>
        </w:tc>
      </w:tr>
      <w:tr>
        <w:trPr>
          <w:trHeight w:val="26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9,858</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12,683</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430,245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63,367</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493,612</w:t>
            </w:r>
          </w:p>
        </w:tc>
      </w:tr>
      <w:tr>
        <w:trPr>
          <w:trHeight w:val="27"/>
        </w:trPr>
        <w:tc>
          <w:tcPr>
            <w:tcW w:w="6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 NET</w:t>
      </w:r>
    </w:p>
    <w:p>
      <w:pPr>
        <w:spacing w:after="0" w:line="108" w:lineRule="exact"/>
        <w:rPr>
          <w:sz w:val="20"/>
          <w:szCs w:val="20"/>
          <w:color w:val="auto"/>
        </w:rPr>
      </w:pPr>
    </w:p>
    <w:p>
      <w:pPr>
        <w:ind w:right="480" w:firstLine="551"/>
        <w:spacing w:after="0" w:line="282" w:lineRule="auto"/>
        <w:rPr>
          <w:sz w:val="20"/>
          <w:szCs w:val="20"/>
          <w:color w:val="auto"/>
        </w:rPr>
      </w:pPr>
      <w:r>
        <w:rPr>
          <w:rFonts w:ascii="Times New Roman" w:cs="Times New Roman" w:eastAsia="Times New Roman" w:hAnsi="Times New Roman"/>
          <w:sz w:val="18"/>
          <w:szCs w:val="18"/>
          <w:color w:val="auto"/>
        </w:rPr>
        <w:t>Accounts receivable, net was $81,514 and $63,450 as of December 31, 2025 and 2024, respectively. The Company recorded an allowance for current expected credit losses of $2,660 and $2,255 as of December 31, 2025 and 2024, respectively.</w:t>
      </w:r>
    </w:p>
    <w:p>
      <w:pPr>
        <w:spacing w:after="0" w:line="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Changes in the allowance for current expected credit losses for the periods presented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center"/>
              <w:ind w:left="310"/>
              <w:spacing w:after="0"/>
              <w:rPr>
                <w:sz w:val="20"/>
                <w:szCs w:val="20"/>
                <w:color w:val="auto"/>
              </w:rPr>
            </w:pPr>
            <w:r>
              <w:rPr>
                <w:rFonts w:ascii="Times New Roman" w:cs="Times New Roman" w:eastAsia="Times New Roman" w:hAnsi="Times New Roman"/>
                <w:sz w:val="18"/>
                <w:szCs w:val="18"/>
                <w:color w:val="auto"/>
                <w:w w:val="98"/>
              </w:rPr>
              <w:t>2,486</w:t>
            </w:r>
          </w:p>
        </w:tc>
      </w:tr>
      <w:tr>
        <w:trPr>
          <w:trHeight w:val="250"/>
        </w:trPr>
        <w:tc>
          <w:tcPr>
            <w:tcW w:w="9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period provision for expected credit losses</w:t>
            </w:r>
          </w:p>
        </w:tc>
        <w:tc>
          <w:tcPr>
            <w:tcW w:w="520" w:type="dxa"/>
            <w:vAlign w:val="bottom"/>
          </w:tcPr>
          <w:p>
            <w:pPr>
              <w:spacing w:after="0"/>
              <w:rPr>
                <w:sz w:val="21"/>
                <w:szCs w:val="21"/>
                <w:color w:val="auto"/>
              </w:rPr>
            </w:pPr>
          </w:p>
        </w:tc>
        <w:tc>
          <w:tcPr>
            <w:tcW w:w="9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2,966</w:t>
            </w:r>
          </w:p>
        </w:tc>
      </w:tr>
      <w:tr>
        <w:trPr>
          <w:trHeight w:val="263"/>
        </w:trPr>
        <w:tc>
          <w:tcPr>
            <w:tcW w:w="97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Account write-offs and other deductions, net of recoveries</w:t>
            </w:r>
          </w:p>
        </w:tc>
        <w:tc>
          <w:tcPr>
            <w:tcW w:w="52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center"/>
              <w:ind w:left="290"/>
              <w:spacing w:after="0"/>
              <w:rPr>
                <w:sz w:val="20"/>
                <w:szCs w:val="20"/>
                <w:color w:val="auto"/>
              </w:rPr>
            </w:pPr>
            <w:r>
              <w:rPr>
                <w:rFonts w:ascii="Times New Roman" w:cs="Times New Roman" w:eastAsia="Times New Roman" w:hAnsi="Times New Roman"/>
                <w:sz w:val="18"/>
                <w:szCs w:val="18"/>
                <w:color w:val="auto"/>
              </w:rPr>
              <w:t>(3,197)</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2,255</w:t>
            </w:r>
          </w:p>
        </w:tc>
      </w:tr>
      <w:tr>
        <w:trPr>
          <w:trHeight w:val="263"/>
        </w:trPr>
        <w:tc>
          <w:tcPr>
            <w:tcW w:w="97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Current period provision for expected credit losses</w:t>
            </w:r>
          </w:p>
        </w:tc>
        <w:tc>
          <w:tcPr>
            <w:tcW w:w="520" w:type="dxa"/>
            <w:vAlign w:val="bottom"/>
            <w:shd w:val="clear" w:color="auto" w:fill="CFF0FC"/>
          </w:tcPr>
          <w:p>
            <w:pPr>
              <w:spacing w:after="0"/>
              <w:rPr>
                <w:sz w:val="22"/>
                <w:szCs w:val="22"/>
                <w:color w:val="auto"/>
              </w:rPr>
            </w:pPr>
          </w:p>
        </w:tc>
        <w:tc>
          <w:tcPr>
            <w:tcW w:w="960" w:type="dxa"/>
            <w:vAlign w:val="bottom"/>
            <w:shd w:val="clear" w:color="auto" w:fill="CFF0FC"/>
          </w:tcPr>
          <w:p>
            <w:pPr>
              <w:jc w:val="center"/>
              <w:ind w:left="310"/>
              <w:spacing w:after="0"/>
              <w:rPr>
                <w:sz w:val="20"/>
                <w:szCs w:val="20"/>
                <w:color w:val="auto"/>
              </w:rPr>
            </w:pPr>
            <w:r>
              <w:rPr>
                <w:rFonts w:ascii="Times New Roman" w:cs="Times New Roman" w:eastAsia="Times New Roman" w:hAnsi="Times New Roman"/>
                <w:sz w:val="18"/>
                <w:szCs w:val="18"/>
                <w:color w:val="auto"/>
                <w:w w:val="98"/>
              </w:rPr>
              <w:t>4,662</w:t>
            </w:r>
          </w:p>
        </w:tc>
      </w:tr>
      <w:tr>
        <w:trPr>
          <w:trHeight w:val="250"/>
        </w:trPr>
        <w:tc>
          <w:tcPr>
            <w:tcW w:w="9760" w:type="dxa"/>
            <w:vAlign w:val="bottom"/>
            <w:tcBorders>
              <w:bottom w:val="single" w:sz="8" w:color="CFF0FC"/>
            </w:tcBorders>
          </w:tcPr>
          <w:p>
            <w:pPr>
              <w:ind w:left="340"/>
              <w:spacing w:after="0"/>
              <w:rPr>
                <w:sz w:val="20"/>
                <w:szCs w:val="20"/>
                <w:color w:val="auto"/>
              </w:rPr>
            </w:pPr>
            <w:r>
              <w:rPr>
                <w:rFonts w:ascii="Times New Roman" w:cs="Times New Roman" w:eastAsia="Times New Roman" w:hAnsi="Times New Roman"/>
                <w:sz w:val="18"/>
                <w:szCs w:val="18"/>
                <w:color w:val="auto"/>
              </w:rPr>
              <w:t>Account write-offs and other deductions, net of recoveries</w:t>
            </w: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(4,257)</w:t>
            </w:r>
          </w:p>
        </w:tc>
      </w:tr>
      <w:tr>
        <w:trPr>
          <w:trHeight w:val="275"/>
        </w:trPr>
        <w:tc>
          <w:tcPr>
            <w:tcW w:w="9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center"/>
              <w:ind w:left="310"/>
              <w:spacing w:after="0"/>
              <w:rPr>
                <w:sz w:val="20"/>
                <w:szCs w:val="20"/>
                <w:color w:val="auto"/>
              </w:rPr>
            </w:pPr>
            <w:r>
              <w:rPr>
                <w:rFonts w:ascii="Times New Roman" w:cs="Times New Roman" w:eastAsia="Times New Roman" w:hAnsi="Times New Roman"/>
                <w:sz w:val="18"/>
                <w:szCs w:val="18"/>
                <w:color w:val="auto"/>
                <w:w w:val="98"/>
              </w:rPr>
              <w:t>2,660</w:t>
            </w:r>
          </w:p>
        </w:tc>
      </w:tr>
      <w:tr>
        <w:trPr>
          <w:trHeight w:val="20"/>
        </w:trPr>
        <w:tc>
          <w:tcPr>
            <w:tcW w:w="976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INVENTORY</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Inventory consists of the following: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8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6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 and packaging</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3,536</w:t>
            </w:r>
          </w:p>
        </w:tc>
      </w:tr>
      <w:tr>
        <w:trPr>
          <w:trHeight w:val="250"/>
        </w:trPr>
        <w:tc>
          <w:tcPr>
            <w:tcW w:w="81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106,115</w:t>
            </w:r>
          </w:p>
        </w:tc>
        <w:tc>
          <w:tcPr>
            <w:tcW w:w="12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80,064</w:t>
            </w:r>
          </w:p>
        </w:tc>
      </w:tr>
      <w:tr>
        <w:trPr>
          <w:trHeight w:val="275"/>
        </w:trPr>
        <w:tc>
          <w:tcPr>
            <w:tcW w:w="8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111,468</w:t>
            </w:r>
          </w:p>
        </w:tc>
        <w:tc>
          <w:tcPr>
            <w:tcW w:w="12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83,600</w:t>
            </w:r>
          </w:p>
        </w:tc>
      </w:tr>
      <w:tr>
        <w:trPr>
          <w:trHeight w:val="20"/>
        </w:trPr>
        <w:tc>
          <w:tcPr>
            <w:tcW w:w="8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left="560" w:right="5900" w:hanging="552"/>
        <w:spacing w:after="0" w:line="450" w:lineRule="auto"/>
        <w:tabs>
          <w:tab w:leader="none" w:pos="189"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PREPAID EXPENSES AND OTHER CURRENT ASSETS </w:t>
      </w:r>
      <w:r>
        <w:rPr>
          <w:rFonts w:ascii="Times New Roman" w:cs="Times New Roman" w:eastAsia="Times New Roman" w:hAnsi="Times New Roman"/>
          <w:sz w:val="17"/>
          <w:szCs w:val="17"/>
          <w:color w:val="auto"/>
        </w:rPr>
        <w:t>Prepaid expenses and other current assets consist of the following: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16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Federal Tax receivables</w:t>
            </w: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0" w:type="dxa"/>
            <w:vAlign w:val="bottom"/>
          </w:tcPr>
          <w:p>
            <w:pPr>
              <w:spacing w:after="0"/>
              <w:rPr>
                <w:sz w:val="1"/>
                <w:szCs w:val="1"/>
                <w:color w:val="auto"/>
              </w:rPr>
            </w:pPr>
          </w:p>
        </w:tc>
      </w:tr>
      <w:tr>
        <w:trPr>
          <w:trHeight w:val="26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VAT receivables</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7,005</w:t>
            </w:r>
          </w:p>
        </w:tc>
        <w:tc>
          <w:tcPr>
            <w:tcW w:w="1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0" w:type="dxa"/>
            <w:vAlign w:val="bottom"/>
          </w:tcPr>
          <w:p>
            <w:pPr>
              <w:spacing w:after="0"/>
              <w:rPr>
                <w:sz w:val="1"/>
                <w:szCs w:val="1"/>
                <w:color w:val="auto"/>
              </w:rPr>
            </w:pPr>
          </w:p>
        </w:tc>
      </w:tr>
      <w:tr>
        <w:trPr>
          <w:trHeight w:val="257"/>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Supplier prepaid</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0" w:type="dxa"/>
            <w:vAlign w:val="bottom"/>
          </w:tcPr>
          <w:p>
            <w:pPr>
              <w:spacing w:after="0"/>
              <w:rPr>
                <w:sz w:val="1"/>
                <w:szCs w:val="1"/>
                <w:color w:val="auto"/>
              </w:rPr>
            </w:pPr>
          </w:p>
        </w:tc>
      </w:tr>
      <w:tr>
        <w:trPr>
          <w:trHeight w:val="257"/>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0" w:type="dxa"/>
            <w:vAlign w:val="bottom"/>
          </w:tcPr>
          <w:p>
            <w:pPr>
              <w:spacing w:after="0"/>
              <w:rPr>
                <w:sz w:val="1"/>
                <w:szCs w:val="1"/>
                <w:color w:val="auto"/>
              </w:rPr>
            </w:pPr>
          </w:p>
        </w:tc>
      </w:tr>
      <w:tr>
        <w:trPr>
          <w:trHeight w:val="257"/>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Incentive Receivables</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Supplier Incentives Receivables</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26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IT Subscriptions</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6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57"/>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GST/HST Receivable</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56"/>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prepaid expenses</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0" w:type="dxa"/>
            <w:vAlign w:val="bottom"/>
          </w:tcPr>
          <w:p>
            <w:pPr>
              <w:spacing w:after="0"/>
              <w:rPr>
                <w:sz w:val="1"/>
                <w:szCs w:val="1"/>
                <w:color w:val="auto"/>
              </w:rPr>
            </w:pPr>
          </w:p>
        </w:tc>
      </w:tr>
      <w:tr>
        <w:trPr>
          <w:trHeight w:val="257"/>
        </w:trPr>
        <w:tc>
          <w:tcPr>
            <w:tcW w:w="81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Borders>
              <w:bottom w:val="single" w:sz="8" w:color="CFF0FC"/>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0" w:type="dxa"/>
            <w:vAlign w:val="bottom"/>
          </w:tcPr>
          <w:p>
            <w:pPr>
              <w:spacing w:after="0"/>
              <w:rPr>
                <w:sz w:val="1"/>
                <w:szCs w:val="1"/>
                <w:color w:val="auto"/>
              </w:rPr>
            </w:pPr>
          </w:p>
        </w:tc>
      </w:tr>
      <w:tr>
        <w:trPr>
          <w:trHeight w:val="268"/>
        </w:trPr>
        <w:tc>
          <w:tcPr>
            <w:tcW w:w="816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30,160</w:t>
            </w:r>
          </w:p>
        </w:tc>
        <w:tc>
          <w:tcPr>
            <w:tcW w:w="12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27,236</w:t>
            </w:r>
          </w:p>
        </w:tc>
        <w:tc>
          <w:tcPr>
            <w:tcW w:w="0" w:type="dxa"/>
            <w:vAlign w:val="bottom"/>
          </w:tcPr>
          <w:p>
            <w:pPr>
              <w:spacing w:after="0"/>
              <w:rPr>
                <w:sz w:val="1"/>
                <w:szCs w:val="1"/>
                <w:color w:val="auto"/>
              </w:rPr>
            </w:pPr>
          </w:p>
        </w:tc>
      </w:tr>
      <w:tr>
        <w:trPr>
          <w:trHeight w:val="20"/>
        </w:trPr>
        <w:tc>
          <w:tcPr>
            <w:tcW w:w="81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PROPERTY AND EQUIPMENT, NET</w:t>
            </w: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81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8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16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90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 and hardware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0" w:type="dxa"/>
            <w:vAlign w:val="bottom"/>
          </w:tcPr>
          <w:p>
            <w:pPr>
              <w:spacing w:after="0"/>
              <w:rPr>
                <w:sz w:val="1"/>
                <w:szCs w:val="1"/>
                <w:color w:val="auto"/>
              </w:rPr>
            </w:pPr>
          </w:p>
        </w:tc>
      </w:tr>
      <w:tr>
        <w:trPr>
          <w:trHeight w:val="26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6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90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56"/>
        </w:trPr>
        <w:tc>
          <w:tcPr>
            <w:tcW w:w="8160" w:type="dxa"/>
            <w:vAlign w:val="bottom"/>
            <w:tcBorders>
              <w:top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900" w:type="dxa"/>
            <w:vAlign w:val="bottom"/>
            <w:tcBorders>
              <w:top w:val="single" w:sz="8" w:color="auto"/>
            </w:tcBorders>
            <w:shd w:val="clear" w:color="auto" w:fill="CFF0FC"/>
          </w:tcPr>
          <w:p>
            <w:pPr>
              <w:spacing w:after="0"/>
              <w:rPr>
                <w:sz w:val="22"/>
                <w:szCs w:val="22"/>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15,825</w:t>
            </w:r>
          </w:p>
        </w:tc>
        <w:tc>
          <w:tcPr>
            <w:tcW w:w="120" w:type="dxa"/>
            <w:vAlign w:val="bottom"/>
            <w:tcBorders>
              <w:top w:val="single" w:sz="8" w:color="CFF0FC"/>
            </w:tcBorders>
            <w:shd w:val="clear" w:color="auto" w:fill="CFF0FC"/>
          </w:tcPr>
          <w:p>
            <w:pPr>
              <w:spacing w:after="0"/>
              <w:rPr>
                <w:sz w:val="22"/>
                <w:szCs w:val="22"/>
                <w:color w:val="auto"/>
              </w:rPr>
            </w:pPr>
          </w:p>
        </w:tc>
        <w:tc>
          <w:tcPr>
            <w:tcW w:w="480" w:type="dxa"/>
            <w:vAlign w:val="bottom"/>
            <w:tcBorders>
              <w:top w:val="single" w:sz="8" w:color="auto"/>
            </w:tcBorders>
            <w:shd w:val="clear" w:color="auto" w:fill="CFF0FC"/>
          </w:tcPr>
          <w:p>
            <w:pPr>
              <w:spacing w:after="0"/>
              <w:rPr>
                <w:sz w:val="22"/>
                <w:szCs w:val="22"/>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12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0" w:type="dxa"/>
            <w:vAlign w:val="bottom"/>
          </w:tcPr>
          <w:p>
            <w:pPr>
              <w:spacing w:after="0"/>
              <w:rPr>
                <w:sz w:val="1"/>
                <w:szCs w:val="1"/>
                <w:color w:val="auto"/>
              </w:rPr>
            </w:pPr>
          </w:p>
        </w:tc>
      </w:tr>
      <w:tr>
        <w:trPr>
          <w:trHeight w:val="275"/>
        </w:trPr>
        <w:tc>
          <w:tcPr>
            <w:tcW w:w="8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900" w:type="dxa"/>
            <w:vAlign w:val="bottom"/>
            <w:tcBorders>
              <w:bottom w:val="single" w:sz="8" w:color="auto"/>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12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0" w:type="dxa"/>
            <w:vAlign w:val="bottom"/>
          </w:tcPr>
          <w:p>
            <w:pPr>
              <w:spacing w:after="0"/>
              <w:rPr>
                <w:sz w:val="1"/>
                <w:szCs w:val="1"/>
                <w:color w:val="auto"/>
              </w:rPr>
            </w:pPr>
          </w:p>
        </w:tc>
      </w:tr>
      <w:tr>
        <w:trPr>
          <w:trHeight w:val="20"/>
        </w:trPr>
        <w:tc>
          <w:tcPr>
            <w:tcW w:w="81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80" w:firstLine="551"/>
        <w:spacing w:after="0" w:line="266" w:lineRule="auto"/>
        <w:rPr>
          <w:sz w:val="20"/>
          <w:szCs w:val="20"/>
          <w:color w:val="auto"/>
        </w:rPr>
      </w:pPr>
      <w:r>
        <w:rPr>
          <w:rFonts w:ascii="Times New Roman" w:cs="Times New Roman" w:eastAsia="Times New Roman" w:hAnsi="Times New Roman"/>
          <w:sz w:val="18"/>
          <w:szCs w:val="18"/>
          <w:color w:val="auto"/>
        </w:rPr>
        <w:t>Depreciation expense related to property and equipment, net for the years ended December 31, 2025, 2024, and 2023 was $1,072, $745 and $660,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79"/>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right="20" w:firstLine="551"/>
        <w:spacing w:after="0" w:line="247" w:lineRule="auto"/>
        <w:rPr>
          <w:sz w:val="20"/>
          <w:szCs w:val="20"/>
          <w:color w:val="auto"/>
        </w:rPr>
      </w:pPr>
      <w:r>
        <w:rPr>
          <w:rFonts w:ascii="Times New Roman" w:cs="Times New Roman" w:eastAsia="Times New Roman" w:hAnsi="Times New Roman"/>
          <w:sz w:val="18"/>
          <w:szCs w:val="18"/>
          <w:color w:val="auto"/>
        </w:rPr>
        <w:t xml:space="preserve">In the year ended December 31, 2023, the Company reclassified its long-lived assets in Ecuador related to its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xml:space="preserve"> product and related production assets from held for sale to held and used within property and equipment and recorded an impairment charge to reduce the carrying amount of the asset group to its estimated fair value of $140. In 2025, the Company recorded an impairment loss of $140 related to this land and impaired the remaining assets related to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which is included in selling, general and administrative expenses in the Consolidated Statements of Operations for the year ended December 31, 2025.</w:t>
      </w:r>
    </w:p>
    <w:p>
      <w:pPr>
        <w:spacing w:after="0" w:line="296" w:lineRule="exact"/>
        <w:rPr>
          <w:sz w:val="20"/>
          <w:szCs w:val="20"/>
          <w:color w:val="auto"/>
        </w:rPr>
      </w:pPr>
    </w:p>
    <w:p>
      <w:pPr>
        <w:ind w:left="500" w:right="7620" w:hanging="492"/>
        <w:spacing w:after="0" w:line="433" w:lineRule="auto"/>
        <w:tabs>
          <w:tab w:leader="none" w:pos="194"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GOODWILL AND INTANGIBLE ASSETS </w:t>
      </w:r>
      <w:r>
        <w:rPr>
          <w:rFonts w:ascii="Times New Roman" w:cs="Times New Roman" w:eastAsia="Times New Roman" w:hAnsi="Times New Roman"/>
          <w:sz w:val="17"/>
          <w:szCs w:val="17"/>
          <w:color w:val="auto"/>
        </w:rPr>
        <w:t>Goodwill consists of the following:</w:t>
      </w:r>
    </w:p>
    <w:p>
      <w:pPr>
        <w:spacing w:after="0" w:line="11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33655</wp:posOffset>
            </wp:positionV>
            <wp:extent cx="19545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49" w:lineRule="exact"/>
        <w:rPr>
          <w:sz w:val="20"/>
          <w:szCs w:val="20"/>
          <w:color w:val="auto"/>
        </w:rPr>
      </w:pPr>
    </w:p>
    <w:p>
      <w:pPr>
        <w:ind w:left="876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160" w:val="left"/>
          <w:tab w:leader="none" w:pos="9160" w:val="left"/>
          <w:tab w:leader="none" w:pos="9760" w:val="left"/>
          <w:tab w:leader="none" w:pos="10740" w:val="left"/>
        </w:tabs>
        <w:rPr>
          <w:sz w:val="20"/>
          <w:szCs w:val="20"/>
          <w:color w:val="auto"/>
        </w:rPr>
      </w:pPr>
      <w:r>
        <w:rPr>
          <w:rFonts w:ascii="Times New Roman" w:cs="Times New Roman" w:eastAsia="Times New Roman" w:hAnsi="Times New Roman"/>
          <w:sz w:val="18"/>
          <w:szCs w:val="18"/>
          <w:color w:val="auto"/>
        </w:rPr>
        <w:t>Goodwill</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7,791</w:t>
        <w:tab/>
        <w:t>$</w:t>
      </w:r>
      <w:r>
        <w:rPr>
          <w:sz w:val="20"/>
          <w:szCs w:val="20"/>
          <w:color w:val="auto"/>
        </w:rPr>
        <w:tab/>
      </w:r>
      <w:r>
        <w:rPr>
          <w:rFonts w:ascii="Times New Roman" w:cs="Times New Roman" w:eastAsia="Times New Roman" w:hAnsi="Times New Roman"/>
          <w:sz w:val="17"/>
          <w:szCs w:val="17"/>
          <w:color w:val="auto"/>
        </w:rPr>
        <w:t>7,791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60325</wp:posOffset>
            </wp:positionV>
            <wp:extent cx="19545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Annual Goodwill Impairment Testing</w:t>
      </w:r>
    </w:p>
    <w:p>
      <w:pPr>
        <w:spacing w:after="0" w:line="104" w:lineRule="exact"/>
        <w:rPr>
          <w:sz w:val="20"/>
          <w:szCs w:val="20"/>
          <w:color w:val="auto"/>
        </w:rPr>
      </w:pPr>
    </w:p>
    <w:p>
      <w:pPr>
        <w:ind w:right="140" w:firstLine="551"/>
        <w:spacing w:after="0" w:line="250" w:lineRule="auto"/>
        <w:rPr>
          <w:sz w:val="20"/>
          <w:szCs w:val="20"/>
          <w:color w:val="auto"/>
        </w:rPr>
      </w:pPr>
      <w:r>
        <w:rPr>
          <w:rFonts w:ascii="Times New Roman" w:cs="Times New Roman" w:eastAsia="Times New Roman" w:hAnsi="Times New Roman"/>
          <w:sz w:val="18"/>
          <w:szCs w:val="18"/>
          <w:color w:val="auto"/>
        </w:rPr>
        <w:t>The Company’s goodwill is allocated to the Americas reporting unit and is tax deductible. As of December 31, 2025, the Company performed the qualitative assessment only, which did not indicate that it is more likely than not that the carrying value of each of the reporting units exceeds their fair value, resulting in no further quantitative testing. Based on the results of the annual impairment test, the Company concluded that no impairment to goodwill existed as of December 31, 2025, 2024, and 2023.</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Intangible Assets, ne</w:t>
      </w:r>
      <w:r>
        <w:rPr>
          <w:rFonts w:ascii="Times New Roman" w:cs="Times New Roman" w:eastAsia="Times New Roman" w:hAnsi="Times New Roman"/>
          <w:sz w:val="18"/>
          <w:szCs w:val="18"/>
          <w:color w:val="auto"/>
        </w:rPr>
        <w:t>t</w:t>
      </w:r>
    </w:p>
    <w:p>
      <w:pPr>
        <w:spacing w:after="0" w:line="117" w:lineRule="exact"/>
        <w:rPr>
          <w:sz w:val="20"/>
          <w:szCs w:val="20"/>
          <w:color w:val="auto"/>
        </w:rPr>
      </w:pPr>
    </w:p>
    <w:p>
      <w:pPr>
        <w:ind w:firstLine="551"/>
        <w:spacing w:after="0" w:line="245" w:lineRule="auto"/>
        <w:rPr>
          <w:sz w:val="20"/>
          <w:szCs w:val="20"/>
          <w:color w:val="auto"/>
        </w:rPr>
      </w:pPr>
      <w:r>
        <w:rPr>
          <w:rFonts w:ascii="Times New Roman" w:cs="Times New Roman" w:eastAsia="Times New Roman" w:hAnsi="Times New Roman"/>
          <w:sz w:val="18"/>
          <w:szCs w:val="18"/>
          <w:color w:val="auto"/>
        </w:rPr>
        <w:t>Long-lived intangible assets are amortized over their useful life. Since the intangibles are subject to amortization, they are reviewed for impairment in accordance with ASC 360, Property, Plant, and Equipment. Under ASC 360, long-lived assets are tested for recoverability at the asset group level whenever events or changes in circumstances indicate that their carrying amounts may not be recoverable. In step 1, the entity determines recoverability of the asset group by comparing its carrying value with the sum of its undiscounted cash flows expected to result from the use and eventual disposition of the asset group. If the sum of the undiscounted cash flows is less than the carrying value of the asset group, then step 2 must be performed, in which the entity compares the fair value of the asset group to its carrying amount. The excess of the carrying value of the asset group over its fair value, if any, would be recognized as an impairment loss.</w:t>
      </w:r>
    </w:p>
    <w:p>
      <w:pPr>
        <w:spacing w:after="0" w:line="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Intangible assets, net was $0 as of December 31, 2025 and December 31, 2024.</w:t>
      </w:r>
    </w:p>
    <w:p>
      <w:pPr>
        <w:spacing w:after="0" w:line="104" w:lineRule="exact"/>
        <w:rPr>
          <w:sz w:val="20"/>
          <w:szCs w:val="20"/>
          <w:color w:val="auto"/>
        </w:rPr>
      </w:pPr>
    </w:p>
    <w:p>
      <w:pPr>
        <w:ind w:right="240" w:firstLine="551"/>
        <w:spacing w:after="0" w:line="282" w:lineRule="auto"/>
        <w:rPr>
          <w:sz w:val="20"/>
          <w:szCs w:val="20"/>
          <w:color w:val="auto"/>
        </w:rPr>
      </w:pPr>
      <w:r>
        <w:rPr>
          <w:rFonts w:ascii="Times New Roman" w:cs="Times New Roman" w:eastAsia="Times New Roman" w:hAnsi="Times New Roman"/>
          <w:sz w:val="18"/>
          <w:szCs w:val="18"/>
          <w:color w:val="auto"/>
        </w:rPr>
        <w:t>Amortization expense for the years ended December 31, 2025, December 31, 2024 and December 31, 2023 was $0, $0 and $0, respectively, and was recorded in selling, general and administrative expenses on the Company's consolidated statements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ACCRUED EXPENSES</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8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6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promotions and marketing</w:t>
            </w:r>
          </w:p>
        </w:tc>
        <w:tc>
          <w:tcPr>
            <w:tcW w:w="90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22,048</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22,380</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10,559</w:t>
            </w:r>
          </w:p>
        </w:tc>
      </w:tr>
      <w:tr>
        <w:trPr>
          <w:trHeight w:val="26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Payroll and benefits related expenses</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15,841</w:t>
            </w:r>
          </w:p>
        </w:tc>
        <w:tc>
          <w:tcPr>
            <w:tcW w:w="1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10,388</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Shipping and handling costs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11,932</w:t>
            </w:r>
          </w:p>
        </w:tc>
      </w:tr>
      <w:tr>
        <w:trPr>
          <w:trHeight w:val="26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trade payable</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6,361</w:t>
            </w:r>
          </w:p>
        </w:tc>
        <w:tc>
          <w:tcPr>
            <w:tcW w:w="1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VAT Payable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w:t>
            </w:r>
          </w:p>
        </w:tc>
      </w:tr>
      <w:tr>
        <w:trPr>
          <w:trHeight w:val="26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ST</w:t>
            </w:r>
          </w:p>
        </w:tc>
        <w:tc>
          <w:tcPr>
            <w:tcW w:w="9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2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r>
      <w:tr>
        <w:trPr>
          <w:trHeight w:val="257"/>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90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120" w:type="dxa"/>
            <w:vAlign w:val="bottom"/>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4,759</w:t>
            </w:r>
          </w:p>
        </w:tc>
      </w:tr>
      <w:tr>
        <w:trPr>
          <w:trHeight w:val="250"/>
        </w:trPr>
        <w:tc>
          <w:tcPr>
            <w:tcW w:w="8160" w:type="dxa"/>
            <w:vAlign w:val="bottom"/>
          </w:tcPr>
          <w:p>
            <w:pPr>
              <w:spacing w:after="0"/>
              <w:rPr>
                <w:sz w:val="21"/>
                <w:szCs w:val="21"/>
                <w:color w:val="auto"/>
              </w:rPr>
            </w:pP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89,458</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65,603</w:t>
            </w:r>
          </w:p>
        </w:tc>
      </w:tr>
      <w:tr>
        <w:trPr>
          <w:trHeight w:val="27"/>
        </w:trPr>
        <w:tc>
          <w:tcPr>
            <w:tcW w:w="8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details the outstanding balances on the Company’s credit facility and notes payable as of December 31, 2025 and 2024:</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8160" w:type="dxa"/>
            <w:vAlign w:val="bottom"/>
          </w:tcPr>
          <w:p>
            <w:pPr>
              <w:spacing w:after="0"/>
              <w:rPr>
                <w:sz w:val="16"/>
                <w:szCs w:val="16"/>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60" w:type="dxa"/>
            <w:vAlign w:val="bottom"/>
            <w:tcBorders>
              <w:bottom w:val="single" w:sz="8" w:color="CFF0FC"/>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6"/>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10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r>
      <w:tr>
        <w:trPr>
          <w:trHeight w:val="250"/>
        </w:trPr>
        <w:tc>
          <w:tcPr>
            <w:tcW w:w="8160" w:type="dxa"/>
            <w:vAlign w:val="bottom"/>
            <w:tcBorders>
              <w:bottom w:val="single" w:sz="8" w:color="CFF0FC"/>
            </w:tcBorders>
          </w:tcPr>
          <w:p>
            <w:pPr>
              <w:ind w:left="340"/>
              <w:spacing w:after="0"/>
              <w:rPr>
                <w:sz w:val="20"/>
                <w:szCs w:val="20"/>
                <w:color w:val="auto"/>
              </w:rPr>
            </w:pPr>
            <w:r>
              <w:rPr>
                <w:rFonts w:ascii="Times New Roman" w:cs="Times New Roman" w:eastAsia="Times New Roman" w:hAnsi="Times New Roman"/>
                <w:sz w:val="18"/>
                <w:szCs w:val="18"/>
                <w:color w:val="auto"/>
              </w:rPr>
              <w:t>Vehicle loans</w:t>
            </w:r>
          </w:p>
        </w:tc>
        <w:tc>
          <w:tcPr>
            <w:tcW w:w="10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5"/>
        </w:trPr>
        <w:tc>
          <w:tcPr>
            <w:tcW w:w="816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auto"/>
            </w:tcBorders>
            <w:shd w:val="clear" w:color="auto" w:fill="CFF0FC"/>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81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r>
      <w:tr>
        <w:trPr>
          <w:trHeight w:val="224"/>
        </w:trPr>
        <w:tc>
          <w:tcPr>
            <w:tcW w:w="8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6"/>
        </w:trPr>
        <w:tc>
          <w:tcPr>
            <w:tcW w:w="81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Current</w:t>
            </w:r>
          </w:p>
        </w:tc>
        <w:tc>
          <w:tcPr>
            <w:tcW w:w="1000" w:type="dxa"/>
            <w:vAlign w:val="bottom"/>
            <w:tcBorders>
              <w:bottom w:val="single" w:sz="8" w:color="auto"/>
            </w:tcBorders>
            <w:shd w:val="clear" w:color="auto" w:fill="CFF0FC"/>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Non-current</w:t>
            </w:r>
          </w:p>
        </w:tc>
        <w:tc>
          <w:tcPr>
            <w:tcW w:w="100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08" w:lineRule="exact"/>
        <w:rPr>
          <w:sz w:val="20"/>
          <w:szCs w:val="20"/>
          <w:color w:val="auto"/>
        </w:rPr>
      </w:pPr>
    </w:p>
    <w:p>
      <w:pPr>
        <w:ind w:right="80" w:firstLine="551"/>
        <w:spacing w:after="0" w:line="246" w:lineRule="auto"/>
        <w:rPr>
          <w:sz w:val="20"/>
          <w:szCs w:val="20"/>
          <w:color w:val="auto"/>
        </w:rPr>
      </w:pPr>
      <w:r>
        <w:rPr>
          <w:rFonts w:ascii="Times New Roman" w:cs="Times New Roman" w:eastAsia="Times New Roman" w:hAnsi="Times New Roman"/>
          <w:sz w:val="18"/>
          <w:szCs w:val="18"/>
          <w:color w:val="auto"/>
        </w:rPr>
        <w:t>In May 2020, the Company entered into a five-year credit facility (the "Credit Facility") with Wells Fargo Bank, National Association consisting of a revolving line of credit, which currently provides for committed borrowings of $60,000. On February 14, 2025, the Credit Facility was amended, extending the maturity date five years to February 13, 2030. In connection with the amendment, the Company capitalized $90 of deferred financing costs, which are being amortized over the term of the facility. As of December 31, 2025, the unamortized deferred financing fees related to the revolver totaled $74 and are included in Other assets on the Company’s consolidated balance sheet.</w:t>
      </w:r>
    </w:p>
    <w:p>
      <w:pPr>
        <w:spacing w:after="0" w:line="87" w:lineRule="exact"/>
        <w:rPr>
          <w:sz w:val="20"/>
          <w:szCs w:val="20"/>
          <w:color w:val="auto"/>
        </w:rPr>
      </w:pPr>
    </w:p>
    <w:p>
      <w:pPr>
        <w:ind w:right="20" w:firstLine="551"/>
        <w:spacing w:after="0" w:line="245" w:lineRule="auto"/>
        <w:rPr>
          <w:sz w:val="20"/>
          <w:szCs w:val="20"/>
          <w:color w:val="auto"/>
        </w:rPr>
      </w:pPr>
      <w:r>
        <w:rPr>
          <w:rFonts w:ascii="Times New Roman" w:cs="Times New Roman" w:eastAsia="Times New Roman" w:hAnsi="Times New Roman"/>
          <w:sz w:val="18"/>
          <w:szCs w:val="18"/>
          <w:color w:val="auto"/>
        </w:rPr>
        <w:t>Borrowings on the Credit Facility bear interest at rates based on either: 1) a fluctuating rate per annum determined to be the sum of Daily Simple Secured Overnight Financing Rate ("SOFR") plus a spread defined in the credit agreement (the "Spread"); or 2) a fixed rate per annum determined to be the sum of the Term SOFR plus the Spread. The Spread ranges from 1.00% to 1.75%, which is based on the Company’s leverage ratio (as defined in the credit agreement) for the immediately preceding fiscal quarter as defined in the credit agreement. In addition, the Company was subject to unused commitment fees ranging from 0.10% and 0.20% on the unused amount of the line of credit through February 13, 2025, with the rate based on the Company’s leverage ratio (as defined in the Credit Facility). Starting February 14, 2025, the unused commitment fees range from 0.13% and 0.23% on the unused amount of the line of credit, with the rate being based on the Company’s leverage ratio (as defined in the Credit Facility).</w:t>
      </w:r>
    </w:p>
    <w:p>
      <w:pPr>
        <w:spacing w:after="0" w:line="181"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As of December 31, 2025 and December 31, 2024, the Company had no outstanding balance and $60,000 undrawn and available under its amended Credit Facility. The Company incurred no interest expense for the Credit Facility for the year ended December 31, 2025 and 2024, respectively. The unused commitment fee for the Credit Facility amounted to $73 and $61 for the year ended December 31, 2025 and 2024, respectively. Interest expense and unused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commitment fee for the Credit Facility amounted to $14 and $46, respectively, for the year ended December 31, 2023. The effective interest rate was 0.13%, 0.10%, and 0.10%, respectively, as of December 31, 2025, 2024, and 2023.</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Credit Facility is collateralized by substantially all of the Company’s assets.</w:t>
      </w:r>
    </w:p>
    <w:p>
      <w:pPr>
        <w:spacing w:after="0" w:line="212" w:lineRule="exact"/>
        <w:rPr>
          <w:sz w:val="20"/>
          <w:szCs w:val="20"/>
          <w:color w:val="auto"/>
        </w:rPr>
      </w:pPr>
    </w:p>
    <w:p>
      <w:pPr>
        <w:ind w:right="160" w:firstLine="551"/>
        <w:spacing w:after="0" w:line="268" w:lineRule="auto"/>
        <w:rPr>
          <w:sz w:val="20"/>
          <w:szCs w:val="20"/>
          <w:color w:val="auto"/>
        </w:rPr>
      </w:pPr>
      <w:r>
        <w:rPr>
          <w:rFonts w:ascii="Times New Roman" w:cs="Times New Roman" w:eastAsia="Times New Roman" w:hAnsi="Times New Roman"/>
          <w:sz w:val="17"/>
          <w:szCs w:val="17"/>
          <w:color w:val="auto"/>
        </w:rPr>
        <w:t>The Credit Facility contains certain affirmative and negative covenants that, among other things, limit the Company’s ability to, subject to various exceptions and qualifications: (i) incur liens; (ii) incur additional debt; (iii) sell, transfer or dispose of assets; (iv) merge with or acquire other companies,</w:t>
      </w:r>
    </w:p>
    <w:p>
      <w:pPr>
        <w:jc w:val="both"/>
        <w:ind w:right="260" w:firstLine="8"/>
        <w:spacing w:after="0" w:line="243" w:lineRule="auto"/>
        <w:tabs>
          <w:tab w:leader="none" w:pos="2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advances or guarantees; (vi) make investments; (vii) make dividends and distributions on, or repurchases of, equity; and (viii) enter into certain transactions with affiliates. The Credit Facility also requires the Company to maintain certain financial covenants including a maximum leverage ratio, a minimum fixed charge coverage ratio, and a minimum asset coverage ratio. As of December 31, 2025, the Company was compliant with all financial covenants.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17" w:lineRule="exact"/>
        <w:rPr>
          <w:sz w:val="20"/>
          <w:szCs w:val="20"/>
          <w:color w:val="auto"/>
        </w:rPr>
      </w:pPr>
    </w:p>
    <w:p>
      <w:pPr>
        <w:ind w:right="120" w:firstLine="551"/>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Litigation</w:t>
      </w:r>
      <w:r>
        <w:rPr>
          <w:rFonts w:ascii="Times New Roman" w:cs="Times New Roman" w:eastAsia="Times New Roman" w:hAnsi="Times New Roman"/>
          <w:sz w:val="18"/>
          <w:szCs w:val="18"/>
          <w:color w:val="auto"/>
        </w:rPr>
        <w:t>—The Company may engage in various litigation in the ordinary course of business. The Company intends to vigorously defend itself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matters and management, based upon the advice of legal counsel, is of the opinion that the resolution of these matters will not have a material effect on the consolidated financial statements. The Company records a liability when it is probable that a loss has been incurred and the amount is reasonably estimable. The Company also discloses when it is reasonably possible that a material loss may be incurred. As of December 31, 2025 and 2024, the Company did not record liabilities relating to such legal matters.</w:t>
      </w:r>
    </w:p>
    <w:p>
      <w:pPr>
        <w:spacing w:after="0" w:line="177" w:lineRule="exact"/>
        <w:rPr>
          <w:sz w:val="20"/>
          <w:szCs w:val="20"/>
          <w:color w:val="auto"/>
        </w:rPr>
      </w:pPr>
    </w:p>
    <w:p>
      <w:pPr>
        <w:ind w:right="380" w:firstLine="55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Risk</w:t>
      </w:r>
      <w:r>
        <w:rPr>
          <w:rFonts w:ascii="Times New Roman" w:cs="Times New Roman" w:eastAsia="Times New Roman" w:hAnsi="Times New Roman"/>
          <w:sz w:val="18"/>
          <w:szCs w:val="18"/>
          <w:color w:val="auto"/>
        </w:rPr>
        <w:t>—The Company imports finished goods predominantly from manufacturers located in South American and Asian countries.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may be subject to certain business risks due to potential instability in these regions.</w:t>
      </w:r>
    </w:p>
    <w:p>
      <w:pPr>
        <w:spacing w:after="0" w:line="1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Major Customers</w:t>
      </w:r>
      <w:r>
        <w:rPr>
          <w:rFonts w:ascii="Times New Roman" w:cs="Times New Roman" w:eastAsia="Times New Roman" w:hAnsi="Times New Roman"/>
          <w:sz w:val="18"/>
          <w:szCs w:val="18"/>
          <w:color w:val="auto"/>
        </w:rPr>
        <w:t>—The Company’s customers that accounted for 10% or more of total net sales and total accounts receivable attributable to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Americas reportable segment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3"/>
          </w:tcPr>
          <w:p>
            <w:pPr>
              <w:jc w:val="center"/>
              <w:ind w:left="861"/>
              <w:spacing w:after="0"/>
              <w:rPr>
                <w:sz w:val="20"/>
                <w:szCs w:val="20"/>
                <w:color w:val="auto"/>
              </w:rPr>
            </w:pPr>
            <w:r>
              <w:rPr>
                <w:rFonts w:ascii="Times New Roman" w:cs="Times New Roman" w:eastAsia="Times New Roman" w:hAnsi="Times New Roman"/>
                <w:sz w:val="14"/>
                <w:szCs w:val="14"/>
                <w:b w:val="1"/>
                <w:bCs w:val="1"/>
                <w:color w:val="auto"/>
              </w:rPr>
              <w:t>Accounts receivable</w:t>
            </w:r>
          </w:p>
        </w:tc>
        <w:tc>
          <w:tcPr>
            <w:tcW w:w="940" w:type="dxa"/>
            <w:vAlign w:val="bottom"/>
          </w:tcPr>
          <w:p>
            <w:pPr>
              <w:spacing w:after="0"/>
              <w:rPr>
                <w:sz w:val="16"/>
                <w:szCs w:val="16"/>
                <w:color w:val="auto"/>
              </w:rPr>
            </w:pPr>
          </w:p>
        </w:tc>
      </w:tr>
      <w:tr>
        <w:trPr>
          <w:trHeight w:val="23"/>
        </w:trPr>
        <w:tc>
          <w:tcPr>
            <w:tcW w:w="3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3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3"/>
          </w:tcPr>
          <w:p>
            <w:pPr>
              <w:jc w:val="center"/>
              <w:ind w:left="86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r>
      <w:tr>
        <w:trPr>
          <w:trHeight w:val="23"/>
        </w:trPr>
        <w:tc>
          <w:tcPr>
            <w:tcW w:w="3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4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1620" w:type="dxa"/>
            <w:vAlign w:val="bottom"/>
            <w:gridSpan w:val="2"/>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54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152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3160" w:type="dxa"/>
            <w:vAlign w:val="bottom"/>
            <w:tcBorders>
              <w:bottom w:val="single" w:sz="8" w:color="CFF0F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04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292" w:lineRule="exact"/>
        <w:rPr>
          <w:sz w:val="20"/>
          <w:szCs w:val="20"/>
          <w:color w:val="auto"/>
        </w:rPr>
      </w:pPr>
    </w:p>
    <w:p>
      <w:pPr>
        <w:ind w:right="160" w:firstLine="551"/>
        <w:spacing w:after="0" w:line="258" w:lineRule="auto"/>
        <w:rPr>
          <w:sz w:val="20"/>
          <w:szCs w:val="20"/>
          <w:color w:val="auto"/>
        </w:rPr>
      </w:pPr>
      <w:r>
        <w:rPr>
          <w:rFonts w:ascii="Times New Roman" w:cs="Times New Roman" w:eastAsia="Times New Roman" w:hAnsi="Times New Roman"/>
          <w:sz w:val="18"/>
          <w:szCs w:val="18"/>
          <w:color w:val="auto"/>
        </w:rPr>
        <w:t>One of the customers acquired less than 5% ownership in the Company upon consummation of the IPO. The same customer also was granted 200,000 restricted stock awards at the time of the IPO, of which 100,000 vested on March 31, 2023 and 100,000 vested on March 31, 2024. The customer monetized its investment in the Company during the first quarter of 2025.</w:t>
      </w:r>
    </w:p>
    <w:p>
      <w:pPr>
        <w:spacing w:after="0" w:line="156" w:lineRule="exact"/>
        <w:rPr>
          <w:sz w:val="20"/>
          <w:szCs w:val="20"/>
          <w:color w:val="auto"/>
        </w:rPr>
      </w:pPr>
    </w:p>
    <w:p>
      <w:pPr>
        <w:ind w:right="180" w:firstLine="486"/>
        <w:spacing w:after="0" w:line="236" w:lineRule="auto"/>
        <w:rPr>
          <w:sz w:val="20"/>
          <w:szCs w:val="20"/>
          <w:color w:val="auto"/>
        </w:rPr>
      </w:pPr>
      <w:r>
        <w:rPr>
          <w:rFonts w:ascii="Times New Roman" w:cs="Times New Roman" w:eastAsia="Times New Roman" w:hAnsi="Times New Roman"/>
          <w:sz w:val="18"/>
          <w:szCs w:val="18"/>
          <w:color w:val="auto"/>
        </w:rPr>
        <w:t>In 2023, the Company agreed to start to discontinue the Private Label coconut water and coconut oil supply relationship with one of the significant customers as the terms required to retain the business were contrary to the long term margin targets. However, at the request of this customer, the supply relationship continued for a significant portion of their Private Label coconut water needs in 2024. During 2025, the Company experienced a decrease in the number of regions that the Company services for Private Label for this customer.</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Major Suppliers</w:t>
      </w:r>
      <w:r>
        <w:rPr>
          <w:rFonts w:ascii="Times New Roman" w:cs="Times New Roman" w:eastAsia="Times New Roman" w:hAnsi="Times New Roman"/>
          <w:sz w:val="18"/>
          <w:szCs w:val="18"/>
          <w:color w:val="auto"/>
        </w:rPr>
        <w:t>—The Company’s suppliers that accounted for 10% or more of the Company’s purchases were as follows: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33655</wp:posOffset>
            </wp:positionV>
            <wp:extent cx="2100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940" w:type="dxa"/>
            <w:vAlign w:val="bottom"/>
            <w:tcBorders>
              <w:bottom w:val="single" w:sz="8" w:color="CFF0FC"/>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Supplier A</w:t>
            </w:r>
          </w:p>
        </w:tc>
        <w:tc>
          <w:tcPr>
            <w:tcW w:w="108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0"/>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Supplier B</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63"/>
        </w:trPr>
        <w:tc>
          <w:tcPr>
            <w:tcW w:w="90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Supplier C</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22"/>
                <w:szCs w:val="22"/>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DERIVATIVE INSTRUMENTS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The Company accounts for derivative instruments in accordance with the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These principles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 that all derivative instruments be recognized at fair value on each balance sheet date unless they qualify for a scope exclusion as a normal purchase</w:t>
      </w:r>
    </w:p>
    <w:p>
      <w:pPr>
        <w:spacing w:after="0"/>
        <w:rPr>
          <w:sz w:val="20"/>
          <w:szCs w:val="20"/>
          <w:color w:val="auto"/>
        </w:rPr>
      </w:pPr>
      <w:r>
        <w:rPr>
          <w:rFonts w:ascii="Times New Roman" w:cs="Times New Roman" w:eastAsia="Times New Roman" w:hAnsi="Times New Roman"/>
          <w:sz w:val="18"/>
          <w:szCs w:val="18"/>
          <w:color w:val="auto"/>
        </w:rPr>
        <w:t>or sale transaction, which is accounted for under the accrual method of accounting. In addition, these principles permit derivative instruments that qualify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hedge accounting to reflect the changes in the fair value of the derivative instruments through earnings or stockholders’ equity as other comprehensive</w:t>
      </w:r>
    </w:p>
    <w:p>
      <w:pPr>
        <w:spacing w:after="0" w:line="234" w:lineRule="auto"/>
        <w:rPr>
          <w:sz w:val="20"/>
          <w:szCs w:val="20"/>
          <w:color w:val="auto"/>
        </w:rPr>
      </w:pPr>
      <w:r>
        <w:rPr>
          <w:rFonts w:ascii="Times New Roman" w:cs="Times New Roman" w:eastAsia="Times New Roman" w:hAnsi="Times New Roman"/>
          <w:sz w:val="18"/>
          <w:szCs w:val="18"/>
          <w:color w:val="auto"/>
        </w:rPr>
        <w:t>income on a net basis until the hedged item is settled and recognized in earnings, depending on whether the derivative is being used to hedge changes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or cash flows. The ineffective portion of a derivative instrument’s change in fair value is immediately recognized in earnings. As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December 31, 2024, the Company did not have any derivative instruments that it had designated as fair value or cash flow hedges,</w:t>
      </w:r>
    </w:p>
    <w:p>
      <w:pPr>
        <w:spacing w:after="0"/>
        <w:rPr>
          <w:sz w:val="20"/>
          <w:szCs w:val="20"/>
          <w:color w:val="auto"/>
        </w:rPr>
      </w:pPr>
      <w:r>
        <w:rPr>
          <w:rFonts w:ascii="Times New Roman" w:cs="Times New Roman" w:eastAsia="Times New Roman" w:hAnsi="Times New Roman"/>
          <w:sz w:val="18"/>
          <w:szCs w:val="18"/>
          <w:color w:val="auto"/>
        </w:rPr>
        <w:t>and therefore all changes in fair value were immediately recognized in earnings.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is subject to the following currency risks:</w:t>
      </w:r>
    </w:p>
    <w:p>
      <w:pPr>
        <w:spacing w:after="0" w:line="223" w:lineRule="exact"/>
        <w:rPr>
          <w:sz w:val="20"/>
          <w:szCs w:val="20"/>
          <w:color w:val="auto"/>
        </w:rPr>
      </w:pPr>
    </w:p>
    <w:p>
      <w:pPr>
        <w:ind w:right="380" w:firstLine="551"/>
        <w:spacing w:after="0" w:line="251" w:lineRule="auto"/>
        <w:rPr>
          <w:sz w:val="20"/>
          <w:szCs w:val="20"/>
          <w:color w:val="auto"/>
        </w:rPr>
      </w:pPr>
      <w:r>
        <w:rPr>
          <w:rFonts w:ascii="Times New Roman" w:cs="Times New Roman" w:eastAsia="Times New Roman" w:hAnsi="Times New Roman"/>
          <w:sz w:val="18"/>
          <w:szCs w:val="18"/>
          <w:i w:val="1"/>
          <w:iCs w:val="1"/>
          <w:color w:val="auto"/>
        </w:rPr>
        <w:t>Inventory purchases from Brazilian, Thai and Malaysian manufacturers—</w:t>
      </w:r>
      <w:r>
        <w:rPr>
          <w:rFonts w:ascii="Times New Roman" w:cs="Times New Roman" w:eastAsia="Times New Roman" w:hAnsi="Times New Roman"/>
          <w:sz w:val="18"/>
          <w:szCs w:val="18"/>
          <w:color w:val="auto"/>
        </w:rPr>
        <w:t>In order to mitigate the currency risk on inventory purchases from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Brazilian, Malaysian and Thai manufacturers, which are settled in Brazilian real ("BRL"), Malaysian ringgit ("MYR") and Thai baht ("THB"), the Company's subsidiary, All Market Singapore Pte. Ltd. ("AMS"), enters a series of forward currency swaps to buy BRL, MYR and THB.</w:t>
      </w:r>
    </w:p>
    <w:p>
      <w:pPr>
        <w:spacing w:after="0" w:line="188" w:lineRule="exact"/>
        <w:rPr>
          <w:sz w:val="20"/>
          <w:szCs w:val="20"/>
          <w:color w:val="auto"/>
        </w:rPr>
      </w:pPr>
    </w:p>
    <w:p>
      <w:pPr>
        <w:ind w:right="140" w:firstLine="551"/>
        <w:spacing w:after="0" w:line="268" w:lineRule="auto"/>
        <w:rPr>
          <w:sz w:val="20"/>
          <w:szCs w:val="20"/>
          <w:color w:val="auto"/>
        </w:rPr>
      </w:pPr>
      <w:r>
        <w:rPr>
          <w:rFonts w:ascii="Times New Roman" w:cs="Times New Roman" w:eastAsia="Times New Roman" w:hAnsi="Times New Roman"/>
          <w:sz w:val="18"/>
          <w:szCs w:val="18"/>
          <w:i w:val="1"/>
          <w:iCs w:val="1"/>
          <w:color w:val="auto"/>
        </w:rPr>
        <w:t>Intercompany transactions between AME and AMS—</w:t>
      </w:r>
      <w:r>
        <w:rPr>
          <w:rFonts w:ascii="Times New Roman" w:cs="Times New Roman" w:eastAsia="Times New Roman" w:hAnsi="Times New Roman"/>
          <w:sz w:val="18"/>
          <w:szCs w:val="18"/>
          <w:color w:val="auto"/>
        </w:rPr>
        <w:t>In order to mitigate the currency risk on intercompany transactions between AME and 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AMS enters into foreign currency swaps to sell British pound ("GBP").</w:t>
      </w:r>
    </w:p>
    <w:p>
      <w:pPr>
        <w:spacing w:after="0" w:line="159" w:lineRule="exact"/>
        <w:rPr>
          <w:sz w:val="20"/>
          <w:szCs w:val="20"/>
          <w:color w:val="auto"/>
        </w:rPr>
      </w:pPr>
    </w:p>
    <w:p>
      <w:pPr>
        <w:ind w:right="180" w:firstLine="551"/>
        <w:spacing w:after="0" w:line="284" w:lineRule="auto"/>
        <w:rPr>
          <w:sz w:val="20"/>
          <w:szCs w:val="20"/>
          <w:color w:val="auto"/>
        </w:rPr>
      </w:pPr>
      <w:r>
        <w:rPr>
          <w:rFonts w:ascii="Times New Roman" w:cs="Times New Roman" w:eastAsia="Times New Roman" w:hAnsi="Times New Roman"/>
          <w:sz w:val="18"/>
          <w:szCs w:val="18"/>
          <w:i w:val="1"/>
          <w:iCs w:val="1"/>
          <w:color w:val="auto"/>
        </w:rPr>
        <w:t>Intercompany Transactions with Canadian Customer and Vendors—</w:t>
      </w:r>
      <w:r>
        <w:rPr>
          <w:rFonts w:ascii="Times New Roman" w:cs="Times New Roman" w:eastAsia="Times New Roman" w:hAnsi="Times New Roman"/>
          <w:sz w:val="18"/>
          <w:szCs w:val="18"/>
          <w:color w:val="auto"/>
        </w:rPr>
        <w:t>In order to mitigate the currency risk on transactions with Canadian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vendors, the Company enters into foreign currency swaps to sell Canadian dollars ("CAD").</w:t>
      </w:r>
    </w:p>
    <w:p>
      <w:pPr>
        <w:spacing w:after="0" w:line="1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notional amount and fair value of all outstanding derivative instruments in the consolidated balance sheets consist of the following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20" w:type="dxa"/>
            <w:vAlign w:val="bottom"/>
          </w:tcPr>
          <w:p>
            <w:pPr>
              <w:jc w:val="center"/>
              <w:ind w:left="1275"/>
              <w:spacing w:after="0"/>
              <w:rPr>
                <w:sz w:val="20"/>
                <w:szCs w:val="20"/>
                <w:color w:val="auto"/>
              </w:rPr>
            </w:pPr>
            <w:r>
              <w:rPr>
                <w:rFonts w:ascii="Times New Roman" w:cs="Times New Roman" w:eastAsia="Times New Roman" w:hAnsi="Times New Roman"/>
                <w:sz w:val="14"/>
                <w:szCs w:val="14"/>
                <w:b w:val="1"/>
                <w:bCs w:val="1"/>
                <w:color w:val="auto"/>
              </w:rPr>
              <w:t>Derivatives not designated as</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420" w:type="dxa"/>
            <w:vAlign w:val="bottom"/>
          </w:tcPr>
          <w:p>
            <w:pPr>
              <w:jc w:val="center"/>
              <w:ind w:left="1275"/>
              <w:spacing w:after="0"/>
              <w:rPr>
                <w:sz w:val="20"/>
                <w:szCs w:val="20"/>
                <w:color w:val="auto"/>
              </w:rPr>
            </w:pPr>
            <w:r>
              <w:rPr>
                <w:rFonts w:ascii="Times New Roman" w:cs="Times New Roman" w:eastAsia="Times New Roman" w:hAnsi="Times New Roman"/>
                <w:sz w:val="14"/>
                <w:szCs w:val="14"/>
                <w:b w:val="1"/>
                <w:bCs w:val="1"/>
                <w:color w:val="auto"/>
              </w:rPr>
              <w:t>hedging instruments under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60" w:type="dxa"/>
            <w:vAlign w:val="bottom"/>
          </w:tcPr>
          <w:p>
            <w:pPr>
              <w:spacing w:after="0"/>
              <w:rPr>
                <w:sz w:val="18"/>
                <w:szCs w:val="18"/>
                <w:color w:val="auto"/>
              </w:rPr>
            </w:pP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1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0" w:type="dxa"/>
            <w:vAlign w:val="bottom"/>
          </w:tcPr>
          <w:p>
            <w:pPr>
              <w:spacing w:after="0"/>
              <w:rPr>
                <w:sz w:val="1"/>
                <w:szCs w:val="1"/>
                <w:color w:val="auto"/>
              </w:rPr>
            </w:pPr>
          </w:p>
        </w:tc>
      </w:tr>
      <w:tr>
        <w:trPr>
          <w:trHeight w:val="196"/>
        </w:trPr>
        <w:tc>
          <w:tcPr>
            <w:tcW w:w="4420" w:type="dxa"/>
            <w:vAlign w:val="bottom"/>
          </w:tcPr>
          <w:p>
            <w:pPr>
              <w:jc w:val="center"/>
              <w:ind w:left="1275"/>
              <w:spacing w:after="0"/>
              <w:rPr>
                <w:sz w:val="20"/>
                <w:szCs w:val="20"/>
                <w:color w:val="auto"/>
              </w:rPr>
            </w:pPr>
            <w:r>
              <w:rPr>
                <w:rFonts w:ascii="Times New Roman" w:cs="Times New Roman" w:eastAsia="Times New Roman" w:hAnsi="Times New Roman"/>
                <w:sz w:val="14"/>
                <w:szCs w:val="14"/>
                <w:color w:val="auto"/>
              </w:rPr>
              <w:t>ASC 815-20</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2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1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42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Receive BRL/sell USD</w:t>
            </w:r>
          </w:p>
        </w:tc>
        <w:tc>
          <w:tcPr>
            <w:tcW w:w="186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21,769</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FF0FC"/>
          </w:tcPr>
          <w:p>
            <w:pPr>
              <w:spacing w:after="0"/>
              <w:rPr>
                <w:sz w:val="22"/>
                <w:szCs w:val="22"/>
                <w:color w:val="auto"/>
              </w:rPr>
            </w:pPr>
          </w:p>
        </w:tc>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30"/>
        </w:trPr>
        <w:tc>
          <w:tcPr>
            <w:tcW w:w="4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Receive THB/sell USD</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42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Receive USD/pay GBP</w:t>
            </w:r>
          </w:p>
        </w:tc>
        <w:tc>
          <w:tcPr>
            <w:tcW w:w="186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39,878</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shd w:val="clear" w:color="auto" w:fill="CFF0FC"/>
          </w:tcPr>
          <w:p>
            <w:pPr>
              <w:spacing w:after="0"/>
              <w:rPr>
                <w:sz w:val="22"/>
                <w:szCs w:val="22"/>
                <w:color w:val="auto"/>
              </w:rPr>
            </w:pPr>
          </w:p>
        </w:tc>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57"/>
        </w:trPr>
        <w:tc>
          <w:tcPr>
            <w:tcW w:w="4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Receive USD/pay EUR</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22"/>
                <w:szCs w:val="22"/>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57"/>
        </w:trPr>
        <w:tc>
          <w:tcPr>
            <w:tcW w:w="442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Receive USD/pay CAD</w:t>
            </w: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16,043</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FF0FC"/>
          </w:tcPr>
          <w:p>
            <w:pPr>
              <w:spacing w:after="0"/>
              <w:rPr>
                <w:sz w:val="22"/>
                <w:szCs w:val="22"/>
                <w:color w:val="auto"/>
              </w:rPr>
            </w:pPr>
          </w:p>
        </w:tc>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463"/>
        </w:trPr>
        <w:tc>
          <w:tcPr>
            <w:tcW w:w="4420" w:type="dxa"/>
            <w:vAlign w:val="bottom"/>
          </w:tcPr>
          <w:p>
            <w:pPr>
              <w:spacing w:after="0"/>
              <w:rPr>
                <w:sz w:val="24"/>
                <w:szCs w:val="24"/>
                <w:color w:val="auto"/>
              </w:rPr>
            </w:pPr>
          </w:p>
        </w:tc>
        <w:tc>
          <w:tcPr>
            <w:tcW w:w="18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420" w:type="dxa"/>
            <w:vAlign w:val="bottom"/>
          </w:tcPr>
          <w:p>
            <w:pPr>
              <w:jc w:val="center"/>
              <w:ind w:left="1275"/>
              <w:spacing w:after="0"/>
              <w:rPr>
                <w:sz w:val="20"/>
                <w:szCs w:val="20"/>
                <w:color w:val="auto"/>
              </w:rPr>
            </w:pPr>
            <w:r>
              <w:rPr>
                <w:rFonts w:ascii="Times New Roman" w:cs="Times New Roman" w:eastAsia="Times New Roman" w:hAnsi="Times New Roman"/>
                <w:sz w:val="14"/>
                <w:szCs w:val="14"/>
                <w:b w:val="1"/>
                <w:bCs w:val="1"/>
                <w:color w:val="auto"/>
              </w:rPr>
              <w:t>Derivatives not designated as</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420" w:type="dxa"/>
            <w:vAlign w:val="bottom"/>
          </w:tcPr>
          <w:p>
            <w:pPr>
              <w:jc w:val="center"/>
              <w:ind w:left="1275"/>
              <w:spacing w:after="0"/>
              <w:rPr>
                <w:sz w:val="20"/>
                <w:szCs w:val="20"/>
                <w:color w:val="auto"/>
              </w:rPr>
            </w:pPr>
            <w:r>
              <w:rPr>
                <w:rFonts w:ascii="Times New Roman" w:cs="Times New Roman" w:eastAsia="Times New Roman" w:hAnsi="Times New Roman"/>
                <w:sz w:val="14"/>
                <w:szCs w:val="14"/>
                <w:color w:val="auto"/>
              </w:rPr>
              <w:t>hedging instruments under</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420" w:type="dxa"/>
            <w:vAlign w:val="bottom"/>
            <w:vMerge w:val="restart"/>
          </w:tcPr>
          <w:p>
            <w:pPr>
              <w:jc w:val="center"/>
              <w:ind w:left="1275"/>
              <w:spacing w:after="0"/>
              <w:rPr>
                <w:sz w:val="20"/>
                <w:szCs w:val="20"/>
                <w:color w:val="auto"/>
              </w:rPr>
            </w:pPr>
            <w:r>
              <w:rPr>
                <w:rFonts w:ascii="Times New Roman" w:cs="Times New Roman" w:eastAsia="Times New Roman" w:hAnsi="Times New Roman"/>
                <w:sz w:val="14"/>
                <w:szCs w:val="14"/>
                <w:color w:val="auto"/>
              </w:rPr>
              <w:t>ASC 815-20</w:t>
            </w: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1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0" w:type="dxa"/>
            <w:vAlign w:val="bottom"/>
          </w:tcPr>
          <w:p>
            <w:pPr>
              <w:spacing w:after="0" w:line="20" w:lineRule="exact"/>
              <w:rPr>
                <w:sz w:val="1"/>
                <w:szCs w:val="1"/>
                <w:color w:val="auto"/>
              </w:rPr>
            </w:pPr>
          </w:p>
        </w:tc>
      </w:tr>
      <w:tr>
        <w:trPr>
          <w:trHeight w:val="196"/>
        </w:trPr>
        <w:tc>
          <w:tcPr>
            <w:tcW w:w="442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2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60" w:type="dxa"/>
            <w:vAlign w:val="bottom"/>
            <w:tcBorders>
              <w:top w:val="single" w:sz="8" w:color="auto"/>
            </w:tcBorders>
            <w:shd w:val="clear" w:color="auto" w:fill="CFF0FC"/>
          </w:tcPr>
          <w:p>
            <w:pPr>
              <w:spacing w:after="0"/>
              <w:rPr>
                <w:sz w:val="22"/>
                <w:szCs w:val="22"/>
                <w:color w:val="auto"/>
              </w:rPr>
            </w:pPr>
          </w:p>
        </w:tc>
        <w:tc>
          <w:tcPr>
            <w:tcW w:w="100" w:type="dxa"/>
            <w:vAlign w:val="bottom"/>
            <w:tcBorders>
              <w:top w:val="single" w:sz="8" w:color="CFF0FC"/>
            </w:tcBorders>
            <w:shd w:val="clear" w:color="auto" w:fill="CFF0FC"/>
          </w:tcPr>
          <w:p>
            <w:pPr>
              <w:spacing w:after="0"/>
              <w:rPr>
                <w:sz w:val="22"/>
                <w:szCs w:val="22"/>
                <w:color w:val="auto"/>
              </w:rPr>
            </w:pPr>
          </w:p>
        </w:tc>
        <w:tc>
          <w:tcPr>
            <w:tcW w:w="400" w:type="dxa"/>
            <w:vAlign w:val="bottom"/>
            <w:tcBorders>
              <w:top w:val="single" w:sz="8" w:color="auto"/>
            </w:tcBorders>
            <w:shd w:val="clear" w:color="auto" w:fill="CFF0FC"/>
          </w:tcPr>
          <w:p>
            <w:pPr>
              <w:spacing w:after="0"/>
              <w:rPr>
                <w:sz w:val="22"/>
                <w:szCs w:val="22"/>
                <w:color w:val="auto"/>
              </w:rPr>
            </w:pPr>
          </w:p>
        </w:tc>
        <w:tc>
          <w:tcPr>
            <w:tcW w:w="1080" w:type="dxa"/>
            <w:vAlign w:val="bottom"/>
            <w:tcBorders>
              <w:top w:val="single" w:sz="8" w:color="auto"/>
            </w:tcBorders>
            <w:shd w:val="clear" w:color="auto" w:fill="CFF0FC"/>
          </w:tcPr>
          <w:p>
            <w:pPr>
              <w:spacing w:after="0"/>
              <w:rPr>
                <w:sz w:val="22"/>
                <w:szCs w:val="22"/>
                <w:color w:val="auto"/>
              </w:rPr>
            </w:pPr>
          </w:p>
        </w:tc>
        <w:tc>
          <w:tcPr>
            <w:tcW w:w="120" w:type="dxa"/>
            <w:vAlign w:val="bottom"/>
            <w:tcBorders>
              <w:top w:val="single" w:sz="8" w:color="CFF0FC"/>
            </w:tcBorders>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spacing w:after="0"/>
              <w:rPr>
                <w:sz w:val="22"/>
                <w:szCs w:val="22"/>
                <w:color w:val="auto"/>
              </w:rPr>
            </w:pPr>
          </w:p>
        </w:tc>
        <w:tc>
          <w:tcPr>
            <w:tcW w:w="1220" w:type="dxa"/>
            <w:vAlign w:val="bottom"/>
            <w:tcBorders>
              <w:top w:val="single" w:sz="8" w:color="auto"/>
            </w:tcBorders>
            <w:shd w:val="clear" w:color="auto" w:fill="CFF0FC"/>
          </w:tcPr>
          <w:p>
            <w:pPr>
              <w:spacing w:after="0"/>
              <w:rPr>
                <w:sz w:val="22"/>
                <w:szCs w:val="22"/>
                <w:color w:val="auto"/>
              </w:rPr>
            </w:pPr>
          </w:p>
        </w:tc>
        <w:tc>
          <w:tcPr>
            <w:tcW w:w="100" w:type="dxa"/>
            <w:vAlign w:val="bottom"/>
            <w:tcBorders>
              <w:top w:val="single" w:sz="8" w:color="CFF0FC"/>
            </w:tcBorders>
            <w:shd w:val="clear" w:color="auto" w:fill="CFF0FC"/>
          </w:tcPr>
          <w:p>
            <w:pPr>
              <w:spacing w:after="0"/>
              <w:rPr>
                <w:sz w:val="22"/>
                <w:szCs w:val="22"/>
                <w:color w:val="auto"/>
              </w:rPr>
            </w:pPr>
          </w:p>
        </w:tc>
        <w:tc>
          <w:tcPr>
            <w:tcW w:w="2180" w:type="dxa"/>
            <w:vAlign w:val="bottom"/>
            <w:tcBorders>
              <w:top w:val="single" w:sz="8" w:color="auto"/>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42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Receive USD/pay EUR</w:t>
            </w:r>
          </w:p>
        </w:tc>
        <w:tc>
          <w:tcPr>
            <w:tcW w:w="186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FF0FC"/>
          </w:tcPr>
          <w:p>
            <w:pPr>
              <w:spacing w:after="0"/>
              <w:rPr>
                <w:sz w:val="22"/>
                <w:szCs w:val="22"/>
                <w:color w:val="auto"/>
              </w:rPr>
            </w:pPr>
          </w:p>
        </w:tc>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57"/>
        </w:trPr>
        <w:tc>
          <w:tcPr>
            <w:tcW w:w="4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Receive USD/pay GBP</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22"/>
                <w:szCs w:val="22"/>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56"/>
        </w:trPr>
        <w:tc>
          <w:tcPr>
            <w:tcW w:w="442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Receive USD/pay CAD</w:t>
            </w: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8,486</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FF0FC"/>
          </w:tcPr>
          <w:p>
            <w:pPr>
              <w:spacing w:after="0"/>
              <w:rPr>
                <w:sz w:val="22"/>
                <w:szCs w:val="22"/>
                <w:color w:val="auto"/>
              </w:rPr>
            </w:pPr>
          </w:p>
        </w:tc>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0" w:type="dxa"/>
            <w:vAlign w:val="bottom"/>
          </w:tcPr>
          <w:p>
            <w:pPr>
              <w:spacing w:after="0"/>
              <w:rPr>
                <w:sz w:val="1"/>
                <w:szCs w:val="1"/>
                <w:color w:val="auto"/>
              </w:rPr>
            </w:pPr>
          </w:p>
        </w:tc>
      </w:tr>
      <w:tr>
        <w:trPr>
          <w:trHeight w:val="25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4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1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Receive THB/sell USD</w:t>
            </w:r>
          </w:p>
        </w:tc>
        <w:tc>
          <w:tcPr>
            <w:tcW w:w="18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Pr>
          <w:p>
            <w:pPr>
              <w:spacing w:after="0"/>
              <w:rPr>
                <w:sz w:val="21"/>
                <w:szCs w:val="21"/>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63"/>
        </w:trPr>
        <w:tc>
          <w:tcPr>
            <w:tcW w:w="442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Receive BRL/sell USD</w:t>
            </w:r>
          </w:p>
        </w:tc>
        <w:tc>
          <w:tcPr>
            <w:tcW w:w="13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35,443</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100" w:type="dxa"/>
            <w:vAlign w:val="bottom"/>
            <w:shd w:val="clear" w:color="auto" w:fill="CFF0FC"/>
          </w:tcPr>
          <w:p>
            <w:pPr>
              <w:spacing w:after="0"/>
              <w:rPr>
                <w:sz w:val="22"/>
                <w:szCs w:val="22"/>
                <w:color w:val="auto"/>
              </w:rPr>
            </w:pPr>
          </w:p>
        </w:tc>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560" w:firstLine="551"/>
        <w:spacing w:after="0" w:line="282" w:lineRule="auto"/>
        <w:rPr>
          <w:sz w:val="20"/>
          <w:szCs w:val="20"/>
          <w:color w:val="auto"/>
        </w:rPr>
      </w:pPr>
      <w:r>
        <w:rPr>
          <w:rFonts w:ascii="Times New Roman" w:cs="Times New Roman" w:eastAsia="Times New Roman" w:hAnsi="Times New Roman"/>
          <w:sz w:val="18"/>
          <w:szCs w:val="18"/>
          <w:color w:val="auto"/>
        </w:rPr>
        <w:t>The amount of realized and unrealized gains and losses and consolidated statements of operations and comprehensive income location of the derivative instruments as of December 31, 2025 and 2024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15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60" w:type="dxa"/>
            <w:vAlign w:val="bottom"/>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60" w:type="dxa"/>
            <w:vAlign w:val="bottom"/>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 (loss) on derivative instruments</w:t>
            </w:r>
          </w:p>
        </w:tc>
        <w:tc>
          <w:tcPr>
            <w:tcW w:w="1520" w:type="dxa"/>
            <w:vAlign w:val="bottom"/>
            <w:tcBorders>
              <w:bottom w:val="single" w:sz="8" w:color="auto"/>
            </w:tcBorders>
            <w:shd w:val="clear" w:color="auto" w:fill="CFF0FC"/>
          </w:tcPr>
          <w:p>
            <w:pPr>
              <w:jc w:val="right"/>
              <w:ind w:right="13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4,737</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gain (loss)</w:t>
            </w:r>
          </w:p>
        </w:tc>
        <w:tc>
          <w:tcPr>
            <w:tcW w:w="152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17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17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vMerge w:val="continue"/>
          </w:tcPr>
          <w:p>
            <w:pPr>
              <w:spacing w:after="0"/>
              <w:rPr>
                <w:sz w:val="17"/>
                <w:szCs w:val="17"/>
                <w:color w:val="auto"/>
              </w:rPr>
            </w:pPr>
          </w:p>
        </w:tc>
        <w:tc>
          <w:tcPr>
            <w:tcW w:w="1520" w:type="dxa"/>
            <w:vAlign w:val="bottom"/>
            <w:tcBorders>
              <w:bottom w:val="single" w:sz="8" w:color="auto"/>
            </w:tcBorders>
          </w:tcPr>
          <w:p>
            <w:pPr>
              <w:jc w:val="right"/>
              <w:ind w:right="1336"/>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(3,314)</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5,697</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ind w:right="40" w:firstLine="551"/>
        <w:spacing w:after="0" w:line="251" w:lineRule="auto"/>
        <w:rPr>
          <w:sz w:val="20"/>
          <w:szCs w:val="20"/>
          <w:color w:val="auto"/>
        </w:rPr>
      </w:pPr>
      <w:r>
        <w:rPr>
          <w:rFonts w:ascii="Times New Roman" w:cs="Times New Roman" w:eastAsia="Times New Roman" w:hAnsi="Times New Roman"/>
          <w:sz w:val="18"/>
          <w:szCs w:val="18"/>
          <w:color w:val="auto"/>
        </w:rPr>
        <w:t xml:space="preserve">The Company applies recurring fair value measurements to its derivative instruments in accordance with ASC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("ASC 820"). In determining fair value, the Company used a market approach and incorporates the assumptions that market participants would use in pricing the asset or liability, including assumptions about risk and/or the risks inherent in the inputs to the valuation technique. These inputs can be readily observable, market corroborated, or generally unobservable internally developed inputs.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108" w:lineRule="exact"/>
        <w:rPr>
          <w:sz w:val="20"/>
          <w:szCs w:val="20"/>
          <w:color w:val="auto"/>
        </w:rPr>
      </w:pPr>
    </w:p>
    <w:p>
      <w:pPr>
        <w:ind w:right="80" w:firstLine="551"/>
        <w:spacing w:after="0" w:line="250" w:lineRule="auto"/>
        <w:rPr>
          <w:sz w:val="20"/>
          <w:szCs w:val="20"/>
          <w:color w:val="auto"/>
        </w:rPr>
      </w:pPr>
      <w:r>
        <w:rPr>
          <w:rFonts w:ascii="Times New Roman" w:cs="Times New Roman" w:eastAsia="Times New Roman" w:hAnsi="Times New Roman"/>
          <w:sz w:val="18"/>
          <w:szCs w:val="18"/>
          <w:color w:val="auto"/>
        </w:rPr>
        <w:t>ASC 820 provides a framework for measuring fair value and requires expanded disclosures regarding fair value measurements.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and minimize the use of unobservable inputs.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observability of the inputs used in valuation techniques, the Company’s assets and liabilities are classified as follows:</w:t>
      </w:r>
    </w:p>
    <w:p>
      <w:pPr>
        <w:spacing w:after="0" w:line="210" w:lineRule="exact"/>
        <w:rPr>
          <w:sz w:val="20"/>
          <w:szCs w:val="20"/>
          <w:color w:val="auto"/>
        </w:rPr>
      </w:pPr>
    </w:p>
    <w:p>
      <w:pPr>
        <w:ind w:left="1300" w:hanging="417"/>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market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660" w:right="540" w:firstLine="223"/>
        <w:spacing w:after="0" w:line="268" w:lineRule="auto"/>
        <w:tabs>
          <w:tab w:leader="none" w:pos="130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Observable inputs other than Level 1 prices, such as quoted prices for similar assets or liabilities, quoted market prices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that are not active; or other inputs that are observable or can be corroborated by observable market data.</w:t>
      </w:r>
    </w:p>
    <w:p>
      <w:pPr>
        <w:spacing w:after="0" w:line="158" w:lineRule="exact"/>
        <w:rPr>
          <w:rFonts w:ascii="Times New Roman" w:cs="Times New Roman" w:eastAsia="Times New Roman" w:hAnsi="Times New Roman"/>
          <w:sz w:val="18"/>
          <w:szCs w:val="18"/>
          <w:color w:val="auto"/>
        </w:rPr>
      </w:pPr>
    </w:p>
    <w:p>
      <w:pPr>
        <w:ind w:left="660" w:right="300" w:firstLine="223"/>
        <w:spacing w:after="0" w:line="284" w:lineRule="auto"/>
        <w:tabs>
          <w:tab w:leader="none" w:pos="130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This includes internally developed models and methodologies utilizing significant unobservable inputs.</w:t>
      </w:r>
    </w:p>
    <w:p>
      <w:pPr>
        <w:spacing w:after="0" w:line="145" w:lineRule="exact"/>
        <w:rPr>
          <w:sz w:val="20"/>
          <w:szCs w:val="20"/>
          <w:color w:val="auto"/>
        </w:rPr>
      </w:pPr>
    </w:p>
    <w:p>
      <w:pPr>
        <w:ind w:right="940" w:firstLine="551"/>
        <w:spacing w:after="0" w:line="268" w:lineRule="auto"/>
        <w:rPr>
          <w:sz w:val="20"/>
          <w:szCs w:val="20"/>
          <w:color w:val="auto"/>
        </w:rPr>
      </w:pPr>
      <w:r>
        <w:rPr>
          <w:rFonts w:ascii="Times New Roman" w:cs="Times New Roman" w:eastAsia="Times New Roman" w:hAnsi="Times New Roman"/>
          <w:sz w:val="18"/>
          <w:szCs w:val="18"/>
          <w:i w:val="1"/>
          <w:iCs w:val="1"/>
          <w:color w:val="auto"/>
        </w:rPr>
        <w:t>Forward currency swap contracts—</w:t>
      </w:r>
      <w:r>
        <w:rPr>
          <w:rFonts w:ascii="Times New Roman" w:cs="Times New Roman" w:eastAsia="Times New Roman" w:hAnsi="Times New Roman"/>
          <w:sz w:val="18"/>
          <w:szCs w:val="18"/>
          <w:color w:val="auto"/>
        </w:rPr>
        <w:t>See Note 12, Derivative Instruments, for a description of these contracts. The Company’s 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methodology for forward currency swap contracts is based upon third-party institution data.</w:t>
      </w:r>
    </w:p>
    <w:p>
      <w:pPr>
        <w:spacing w:after="0" w:line="174" w:lineRule="exact"/>
        <w:rPr>
          <w:sz w:val="20"/>
          <w:szCs w:val="20"/>
          <w:color w:val="auto"/>
        </w:rPr>
      </w:pPr>
    </w:p>
    <w:p>
      <w:pPr>
        <w:ind w:right="260" w:firstLine="551"/>
        <w:spacing w:after="0" w:line="266" w:lineRule="auto"/>
        <w:rPr>
          <w:sz w:val="20"/>
          <w:szCs w:val="20"/>
          <w:color w:val="auto"/>
        </w:rPr>
      </w:pPr>
      <w:r>
        <w:rPr>
          <w:rFonts w:ascii="Times New Roman" w:cs="Times New Roman" w:eastAsia="Times New Roman" w:hAnsi="Times New Roman"/>
          <w:sz w:val="18"/>
          <w:szCs w:val="18"/>
          <w:color w:val="auto"/>
        </w:rPr>
        <w:t>The Company’s fair value hierarchy for those assets (liabilities) measured at fair value on a recurring basis at December 31, 2025 and 2024, is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14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3"/>
                <w:szCs w:val="13"/>
                <w:color w:val="auto"/>
              </w:rPr>
            </w:pPr>
          </w:p>
        </w:tc>
        <w:tc>
          <w:tcPr>
            <w:tcW w:w="1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60" w:type="dxa"/>
            <w:vAlign w:val="bottom"/>
          </w:tcPr>
          <w:p>
            <w:pPr>
              <w:spacing w:after="0"/>
              <w:rPr>
                <w:sz w:val="13"/>
                <w:szCs w:val="13"/>
                <w:color w:val="auto"/>
              </w:rPr>
            </w:pPr>
          </w:p>
        </w:tc>
        <w:tc>
          <w:tcPr>
            <w:tcW w:w="1520" w:type="dxa"/>
            <w:vAlign w:val="bottom"/>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7"/>
        </w:trPr>
        <w:tc>
          <w:tcPr>
            <w:tcW w:w="29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40" w:type="dxa"/>
            <w:vAlign w:val="bottom"/>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Forward Currency</w:t>
            </w:r>
          </w:p>
        </w:tc>
        <w:tc>
          <w:tcPr>
            <w:tcW w:w="160" w:type="dxa"/>
            <w:vAlign w:val="bottom"/>
          </w:tcPr>
          <w:p>
            <w:pPr>
              <w:spacing w:after="0"/>
              <w:rPr>
                <w:sz w:val="11"/>
                <w:szCs w:val="11"/>
                <w:color w:val="auto"/>
              </w:rPr>
            </w:pPr>
          </w:p>
        </w:tc>
        <w:tc>
          <w:tcPr>
            <w:tcW w:w="194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Contingent consideration</w:t>
            </w:r>
          </w:p>
        </w:tc>
        <w:tc>
          <w:tcPr>
            <w:tcW w:w="4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9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Swaps/Contracts</w:t>
            </w:r>
          </w:p>
        </w:tc>
        <w:tc>
          <w:tcPr>
            <w:tcW w:w="160" w:type="dxa"/>
            <w:vAlign w:val="bottom"/>
          </w:tcPr>
          <w:p>
            <w:pPr>
              <w:spacing w:after="0"/>
              <w:rPr>
                <w:sz w:val="16"/>
                <w:szCs w:val="16"/>
                <w:color w:val="auto"/>
              </w:rPr>
            </w:pPr>
          </w:p>
        </w:tc>
        <w:tc>
          <w:tcPr>
            <w:tcW w:w="1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2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60" w:type="dxa"/>
            <w:vAlign w:val="bottom"/>
            <w:tcBorders>
              <w:bottom w:val="single" w:sz="8" w:color="auto"/>
            </w:tcBorders>
            <w:shd w:val="clear" w:color="auto" w:fill="CFF0FC"/>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Borders>
              <w:bottom w:val="single" w:sz="8" w:color="auto"/>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gridSpan w:val="2"/>
            <w:shd w:val="clear" w:color="auto" w:fill="CFF0FC"/>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0"/>
        </w:trPr>
        <w:tc>
          <w:tcPr>
            <w:tcW w:w="298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60" w:type="dxa"/>
            <w:vAlign w:val="bottom"/>
            <w:tcBorders>
              <w:top w:val="single" w:sz="8" w:color="CFF0FC"/>
              <w:bottom w:val="single" w:sz="8" w:color="auto"/>
            </w:tcBorders>
          </w:tcPr>
          <w:p>
            <w:pPr>
              <w:spacing w:after="0" w:line="20" w:lineRule="exact"/>
              <w:rPr>
                <w:sz w:val="1"/>
                <w:szCs w:val="1"/>
                <w:color w:val="auto"/>
              </w:rPr>
            </w:pPr>
          </w:p>
        </w:tc>
        <w:tc>
          <w:tcPr>
            <w:tcW w:w="620" w:type="dxa"/>
            <w:vAlign w:val="bottom"/>
            <w:tcBorders>
              <w:top w:val="single" w:sz="8" w:color="CFF0FC"/>
              <w:bottom w:val="single" w:sz="8" w:color="auto"/>
            </w:tcBorders>
            <w:gridSpan w:val="2"/>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7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940" w:type="dxa"/>
            <w:vAlign w:val="bottom"/>
            <w:tcBorders>
              <w:top w:val="single" w:sz="8" w:color="CFF0FC"/>
              <w:bottom w:val="single" w:sz="8" w:color="auto"/>
            </w:tcBorders>
            <w:gridSpan w:val="2"/>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15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980" w:type="dxa"/>
            <w:vAlign w:val="bottom"/>
            <w:vMerge w:val="continue"/>
          </w:tcPr>
          <w:p>
            <w:pPr>
              <w:spacing w:after="0"/>
              <w:rPr>
                <w:sz w:val="20"/>
                <w:szCs w:val="20"/>
                <w:color w:val="auto"/>
              </w:rPr>
            </w:pPr>
          </w:p>
        </w:tc>
        <w:tc>
          <w:tcPr>
            <w:tcW w:w="1460" w:type="dxa"/>
            <w:vAlign w:val="bottom"/>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46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8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5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were no transfers between any levels of the fair value hierarchy for any of the Company’s fair value measurements.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117" w:lineRule="exact"/>
        <w:rPr>
          <w:sz w:val="20"/>
          <w:szCs w:val="20"/>
          <w:color w:val="auto"/>
        </w:rPr>
      </w:pPr>
    </w:p>
    <w:p>
      <w:pPr>
        <w:jc w:val="both"/>
        <w:ind w:right="20" w:firstLine="551"/>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Each share of common stock entitles its holder to one vote on matters required to be voted on by the stockholders of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to receive dividends, when and if declared by the Company’s board of directors (the "Board").</w:t>
      </w:r>
    </w:p>
    <w:p>
      <w:pPr>
        <w:spacing w:after="0" w:line="293" w:lineRule="exact"/>
        <w:rPr>
          <w:sz w:val="20"/>
          <w:szCs w:val="20"/>
          <w:color w:val="auto"/>
        </w:rPr>
      </w:pPr>
    </w:p>
    <w:p>
      <w:pPr>
        <w:ind w:right="20" w:firstLine="551"/>
        <w:spacing w:after="0" w:line="243" w:lineRule="auto"/>
        <w:rPr>
          <w:sz w:val="20"/>
          <w:szCs w:val="20"/>
          <w:color w:val="auto"/>
        </w:rPr>
      </w:pPr>
      <w:r>
        <w:rPr>
          <w:rFonts w:ascii="Times New Roman" w:cs="Times New Roman" w:eastAsia="Times New Roman" w:hAnsi="Times New Roman"/>
          <w:sz w:val="18"/>
          <w:szCs w:val="18"/>
          <w:color w:val="auto"/>
        </w:rPr>
        <w:t>In May 2023, 5,000,000 of the Company’s common stock were sold by Verlinvest Beverages SA (the “Selling Stockholder”) at $23.00 per share (the “Closing”) pursuant to an underwriting agreement (the “May Underwriting Agreement”). Additionally, under the May Underwriting Agreement, the Selling Stockholder granted the underwriters an option exercisable to purchase up to an additional 750,000 shares from the Selling Shareholder at the public offering price which was exercised in full prior to the Closing. In November 2023, the Selling Stockholder sold an additional 4,000,000 shares of the Company’s common stock at $27.61 per share pursuant to an underwriting agreement (the “November Underwriting Agreement”). The Company did not receive proceeds from the sale of the shares under the May Underwriting Agreement or the November Underwriting Agreement. For the year ended December 31, 2023, the Company recorded $1,525 of administrative expenses related to the May and November Underwriting Agreements, net of legal fee waiver of $140 related to May 2023 secondary offering. These administrative expenses are included in Selling, general, and administrative expenses ("SG&amp;A") in the consolidated statement of operations. Additionally, the Selling Stockholder provided additional waiver of legal fees of $324 related to November 2023 secondary offering for the year ended December 31, 2024.</w:t>
      </w:r>
    </w:p>
    <w:p>
      <w:pPr>
        <w:spacing w:after="0" w:line="195" w:lineRule="exact"/>
        <w:rPr>
          <w:sz w:val="20"/>
          <w:szCs w:val="20"/>
          <w:color w:val="auto"/>
        </w:rPr>
      </w:pPr>
    </w:p>
    <w:p>
      <w:pPr>
        <w:ind w:right="20" w:firstLine="551"/>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Treasury Stock </w:t>
      </w:r>
      <w:r>
        <w:rPr>
          <w:rFonts w:ascii="Times New Roman" w:cs="Times New Roman" w:eastAsia="Times New Roman" w:hAnsi="Times New Roman"/>
          <w:sz w:val="18"/>
          <w:szCs w:val="18"/>
          <w:color w:val="auto"/>
        </w:rPr>
        <w:t>- As of December 31, 2025 and 2024, the Company held 7,104,376 and 6,740,446 shares in treasury stock. In January 2021,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entered into a Stock Purchase Agreement with RW VC S.a.r.l, f/k/a Vita Coco S.a.r.l (the “Seller”). The Company repurchased 5,192,005 shares of its own common stock from the Seller at a purchase price of $9.63 per share, or an aggregate purchase price of approximately $50,000. The purchase price per share approximated the most recent third-party common stock valuation prepared in conjunction with the accounting of stock-based compensation discussed within Note 15.</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19"/>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On October 30, 2023, the Board approved a share repurchase program ("Program") authorizing the Company to repurchase up to $40,000 of the Company's common stock. On April 28, 2025, the Company's Board approved an additional $25,000 to the Repurchase Program, authorizing the Company to repurchase up to a total of $65,000 of the Company's Common Stock. There were no other changes made to the terms of the Repurchase Program. Shares of the Company's common stock may be repurchased under the Program from time to time through open market purchases, block trades, private transactions or accelerated or other structured share repurchase programs. To the extent not retired, shares of the Company's common stock repurchased under the Program will be placed in the Company's treasury shares. The extent to which the Company repurchases shares of the Company's common stock, and the timing of such repurchases, will depend upon a variety of factors, including market conditions, regulatory requirements and other corporate considerations, as determined by the Company. The Program has no time limits and may be suspended or discontinued at any time. The Company repurchased 363,930 shares under this program at a cost of $11,269 during the year ended December 31, 2025. The Company repurchased 504,246 shares under this program at a cost of $12,030 during the year ended December 31, 2024. As of December 31, 2025, $40,928 remained available for future purchases under the Program.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STOCK-BASED COMPENSATION</w:t>
      </w:r>
    </w:p>
    <w:p>
      <w:pPr>
        <w:spacing w:after="0" w:line="256"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The stockholders of the Company approved the adoption of the Company’s 2014 Stock Option and Restricted Stock Plan (the “2014 Plan”). The 2014 Plan allowed for a maximum of 8% of the sum of the Available Equity defined as the sum of (i) the total then outstanding shares of common shares and (ii) all available stock option (i.e., granted and outstanding stock options and stock options not yet granted). Under the terms of the 2014 Plan, the Company may grant employees, directors, and consultants stock options and restricted stock awards and has the authority to establish the specific terms of each award, including exercise price, expiration, and vesting. Currently, only stock options were granted under the 2014 Plan. Generally, stock options issued pursuant to the 2014 Plan must contain exercise prices no less than the fair value of the Company’s common stock on the date of grant and have a ten-year contractual term.</w:t>
      </w:r>
    </w:p>
    <w:p>
      <w:pPr>
        <w:spacing w:after="0" w:line="181" w:lineRule="exact"/>
        <w:rPr>
          <w:sz w:val="20"/>
          <w:szCs w:val="20"/>
          <w:color w:val="auto"/>
        </w:rPr>
      </w:pPr>
    </w:p>
    <w:p>
      <w:pPr>
        <w:ind w:firstLine="551"/>
        <w:spacing w:after="0" w:line="243" w:lineRule="auto"/>
        <w:rPr>
          <w:sz w:val="20"/>
          <w:szCs w:val="20"/>
          <w:color w:val="auto"/>
        </w:rPr>
      </w:pPr>
      <w:r>
        <w:rPr>
          <w:rFonts w:ascii="Times New Roman" w:cs="Times New Roman" w:eastAsia="Times New Roman" w:hAnsi="Times New Roman"/>
          <w:sz w:val="18"/>
          <w:szCs w:val="18"/>
          <w:color w:val="auto"/>
        </w:rPr>
        <w:t>Subsequent to September 30, 2021, the stockholders of the Company approved the adoption of the 2021 Incentive Award Plan ("2021 Plan"), which became effective after the closing of the IPO. On and after closing of the offering and the effectiveness of the 2021 Incentive Award Plan, no further grants will be made under the 2014 Plan. The maximum number of shares of the Company's common stock available for issuance under the 2021 Plan is equal to the sum of (i) 3,431,312 shares of the Company's common stock and (ii) an annual increase on the first day of each year beginning in 2022 and ending in and including 2031, equal to the lesser of (A) two percent (2%) of the outstanding shares of the Company's common stock on the last day of the immediately preceding fiscal year and (B) such lesser amount as determined by the Board; provided, however, no more than 3,431,312 shares may be issued upon the exercise of incentive stock options, or ISOs. The 2021 Plan provides for the grant of stock options, including ISOs and nonqualified stock options, or NSOs, restricted stock, dividend equivalents, stock payments, RSUs, other incentive awards, stock appreciation rights, and cash awards. Stock options, restricted stock, and RSU's were granted under 2021 Plan. As of December 31, 2025, there were 2,941,343 shares of the Company's common stock reserved for future issuance pursuant to the 2021 Plan.</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 ended December 31, 2025, 2024, and 2023 the Company recorded stock compensation costs totaling:</w:t>
      </w:r>
    </w:p>
    <w:p>
      <w:pPr>
        <w:spacing w:after="0" w:line="270" w:lineRule="exact"/>
        <w:rPr>
          <w:sz w:val="20"/>
          <w:szCs w:val="20"/>
          <w:color w:val="auto"/>
        </w:rPr>
      </w:pPr>
    </w:p>
    <w:tbl>
      <w:tblPr>
        <w:tblLayout w:type="fixed"/>
        <w:tblInd w:w="560" w:type="dxa"/>
        <w:tblCellMar>
          <w:top w:w="0" w:type="dxa"/>
          <w:left w:w="0" w:type="dxa"/>
          <w:bottom w:w="0" w:type="dxa"/>
          <w:right w:w="0" w:type="dxa"/>
        </w:tblCellMar>
      </w:tblPr>
      <w:tr>
        <w:trPr>
          <w:trHeight w:val="203"/>
        </w:trPr>
        <w:tc>
          <w:tcPr>
            <w:tcW w:w="6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520" w:type="dxa"/>
            <w:vAlign w:val="bottom"/>
            <w:gridSpan w:val="6"/>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shd w:val="clear" w:color="auto" w:fill="CCEEFF"/>
          </w:tcPr>
          <w:p>
            <w:pPr>
              <w:spacing w:after="0"/>
              <w:rPr>
                <w:sz w:val="17"/>
                <w:szCs w:val="17"/>
                <w:color w:val="auto"/>
              </w:rPr>
            </w:pPr>
          </w:p>
        </w:tc>
      </w:tr>
      <w:tr>
        <w:trPr>
          <w:trHeight w:val="196"/>
        </w:trPr>
        <w:tc>
          <w:tcPr>
            <w:tcW w:w="63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Reduction in revenue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&amp; administrative expenses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7,805</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 compensation expense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right="100" w:firstLine="8"/>
        <w:spacing w:after="0" w:line="250" w:lineRule="auto"/>
        <w:tabs>
          <w:tab w:leader="none" w:pos="2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recognized as a reduction in revenue is related to the RSUs previously granted to a major customer based on guidance in ASC 606 as a stock-based sales incentive. These awards are shares of restricted Common Stock valued at $3,000 granted at the time of the IPO to an entity affiliated with a significant customer, at $15.00 per share, or 200,000 restricted shares, in connection with an amendment to extend the distributor agreement term to June 10, 2026. Since the distribution agreement had not been terminated by either party for cause as of March 31, 2023, 50% of the shares were released on March 31, 2023. The remaining 50% were released on March 31, 2024.</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 with Service-based Vesting Conditions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right="20" w:firstLine="551"/>
        <w:spacing w:after="0" w:line="258" w:lineRule="auto"/>
        <w:rPr>
          <w:sz w:val="20"/>
          <w:szCs w:val="20"/>
          <w:color w:val="auto"/>
        </w:rPr>
      </w:pPr>
      <w:r>
        <w:rPr>
          <w:rFonts w:ascii="Times New Roman" w:cs="Times New Roman" w:eastAsia="Times New Roman" w:hAnsi="Times New Roman"/>
          <w:sz w:val="18"/>
          <w:szCs w:val="18"/>
          <w:color w:val="auto"/>
        </w:rPr>
        <w:t>Most stock option awards granted under the 2014 and 2021 Plans vest based on the continuous service. The stock options awarded to the employees have different vesting schedules as specified in each grant agreement. The following table summarizes the service-based stock option activity during the year ended December 31, 2025: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40" w:type="dxa"/>
            <w:vAlign w:val="bottom"/>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38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140" w:type="dxa"/>
            <w:vAlign w:val="bottom"/>
          </w:tcPr>
          <w:p>
            <w:pPr>
              <w:jc w:val="center"/>
              <w:ind w:left="39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left="16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vMerge w:val="restart"/>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7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140" w:type="dxa"/>
            <w:vAlign w:val="bottom"/>
          </w:tcPr>
          <w:p>
            <w:pPr>
              <w:jc w:val="center"/>
              <w:ind w:left="37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380" w:type="dxa"/>
            <w:vAlign w:val="bottom"/>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center"/>
              <w:ind w:left="41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1"/>
        </w:trPr>
        <w:tc>
          <w:tcPr>
            <w:tcW w:w="43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 option)</w:t>
            </w:r>
          </w:p>
        </w:tc>
        <w:tc>
          <w:tcPr>
            <w:tcW w:w="138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4380" w:type="dxa"/>
            <w:vAlign w:val="bottom"/>
            <w:tcBorders>
              <w:bottom w:val="single" w:sz="8" w:color="CFF0FC"/>
            </w:tcBorders>
          </w:tcPr>
          <w:p>
            <w:pPr>
              <w:spacing w:after="0"/>
              <w:rPr>
                <w:sz w:val="2"/>
                <w:szCs w:val="2"/>
                <w:color w:val="auto"/>
              </w:rPr>
            </w:pPr>
          </w:p>
        </w:tc>
        <w:tc>
          <w:tcPr>
            <w:tcW w:w="164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Outstanding—December 31, 2024</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3,054,060</w:t>
            </w: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93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13.14</w:t>
            </w:r>
          </w:p>
        </w:tc>
        <w:tc>
          <w:tcPr>
            <w:tcW w:w="10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201,100</w:t>
            </w:r>
          </w:p>
        </w:tc>
        <w:tc>
          <w:tcPr>
            <w:tcW w:w="100" w:type="dxa"/>
            <w:vAlign w:val="bottom"/>
          </w:tcPr>
          <w:p>
            <w:pPr>
              <w:spacing w:after="0"/>
              <w:rPr>
                <w:sz w:val="22"/>
                <w:szCs w:val="22"/>
                <w:color w:val="auto"/>
              </w:rPr>
            </w:pPr>
          </w:p>
        </w:tc>
        <w:tc>
          <w:tcPr>
            <w:tcW w:w="1140" w:type="dxa"/>
            <w:vAlign w:val="bottom"/>
          </w:tcPr>
          <w:p>
            <w:pPr>
              <w:jc w:val="right"/>
              <w:ind w:right="93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32.95</w:t>
            </w: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356,321</w:t>
            </w:r>
          </w:p>
        </w:tc>
        <w:tc>
          <w:tcPr>
            <w:tcW w:w="10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93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10.46</w:t>
            </w:r>
          </w:p>
        </w:tc>
        <w:tc>
          <w:tcPr>
            <w:tcW w:w="10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3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25,443</w:t>
            </w:r>
          </w:p>
        </w:tc>
        <w:tc>
          <w:tcPr>
            <w:tcW w:w="100" w:type="dxa"/>
            <w:vAlign w:val="bottom"/>
            <w:tcBorders>
              <w:bottom w:val="single" w:sz="8" w:color="CFF0FC"/>
            </w:tcBorders>
          </w:tcPr>
          <w:p>
            <w:pPr>
              <w:spacing w:after="0"/>
              <w:rPr>
                <w:sz w:val="22"/>
                <w:szCs w:val="22"/>
                <w:color w:val="auto"/>
              </w:rPr>
            </w:pPr>
          </w:p>
        </w:tc>
        <w:tc>
          <w:tcPr>
            <w:tcW w:w="1140" w:type="dxa"/>
            <w:vAlign w:val="bottom"/>
            <w:tcBorders>
              <w:bottom w:val="single" w:sz="8" w:color="auto"/>
            </w:tcBorders>
          </w:tcPr>
          <w:p>
            <w:pPr>
              <w:jc w:val="right"/>
              <w:ind w:right="93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15.35</w:t>
            </w:r>
          </w:p>
        </w:tc>
        <w:tc>
          <w:tcPr>
            <w:tcW w:w="100" w:type="dxa"/>
            <w:vAlign w:val="bottom"/>
            <w:tcBorders>
              <w:bottom w:val="single" w:sz="8" w:color="CFF0FC"/>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Outstanding—December 31, 2025</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2,873,396</w:t>
            </w:r>
          </w:p>
        </w:tc>
        <w:tc>
          <w:tcPr>
            <w:tcW w:w="1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3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14.78</w:t>
            </w:r>
          </w:p>
        </w:tc>
        <w:tc>
          <w:tcPr>
            <w:tcW w:w="100" w:type="dxa"/>
            <w:vAlign w:val="bottom"/>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5.5</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111,319</w:t>
            </w: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Exercisable—December 31, 2025</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2,378,997</w:t>
            </w:r>
          </w:p>
        </w:tc>
        <w:tc>
          <w:tcPr>
            <w:tcW w:w="100" w:type="dxa"/>
            <w:vAlign w:val="bottom"/>
          </w:tcPr>
          <w:p>
            <w:pPr>
              <w:spacing w:after="0"/>
              <w:rPr>
                <w:sz w:val="19"/>
                <w:szCs w:val="19"/>
                <w:color w:val="auto"/>
              </w:rPr>
            </w:pPr>
          </w:p>
        </w:tc>
        <w:tc>
          <w:tcPr>
            <w:tcW w:w="1140" w:type="dxa"/>
            <w:vAlign w:val="bottom"/>
          </w:tcPr>
          <w:p>
            <w:pPr>
              <w:jc w:val="right"/>
              <w:ind w:right="93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12.51</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96,360</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40" w:firstLine="551"/>
        <w:spacing w:after="0" w:line="246" w:lineRule="auto"/>
        <w:rPr>
          <w:sz w:val="20"/>
          <w:szCs w:val="20"/>
          <w:color w:val="auto"/>
        </w:rPr>
      </w:pPr>
      <w:r>
        <w:rPr>
          <w:rFonts w:ascii="Times New Roman" w:cs="Times New Roman" w:eastAsia="Times New Roman" w:hAnsi="Times New Roman"/>
          <w:sz w:val="18"/>
          <w:szCs w:val="18"/>
          <w:color w:val="auto"/>
        </w:rPr>
        <w:t>The weighted average grant-date fair value of the service-based stock option awards granted during the years ended December 31, 2025 and 2024 was $13.08 per option and $10.52 per option, respectively. The aggregate intrinsic value of service-based stock options exercised was $15,161 and $8,921 for the years ended December 31, 2025 and 2024, respectively. The aggregate intrinsic value of stock options is calculated as the difference between the exercise price of the stock options and the fair value of the Company’s common stock for all stock options that had exercise prices lower than the fair value of the Company’s common stock.</w:t>
      </w:r>
    </w:p>
    <w:p>
      <w:pPr>
        <w:spacing w:after="0" w:line="181" w:lineRule="exact"/>
        <w:rPr>
          <w:sz w:val="20"/>
          <w:szCs w:val="20"/>
          <w:color w:val="auto"/>
        </w:rPr>
      </w:pPr>
    </w:p>
    <w:p>
      <w:pPr>
        <w:ind w:right="120" w:firstLine="551"/>
        <w:spacing w:after="0" w:line="258" w:lineRule="auto"/>
        <w:rPr>
          <w:sz w:val="20"/>
          <w:szCs w:val="20"/>
          <w:color w:val="auto"/>
        </w:rPr>
      </w:pPr>
      <w:r>
        <w:rPr>
          <w:rFonts w:ascii="Times New Roman" w:cs="Times New Roman" w:eastAsia="Times New Roman" w:hAnsi="Times New Roman"/>
          <w:sz w:val="18"/>
          <w:szCs w:val="18"/>
          <w:color w:val="auto"/>
        </w:rPr>
        <w:t>The fair value of the service-based stock options granted in 2025 and 2024 pursuant to the Stock Option Plan was estimated on a grant or on a modification date using the Black-Scholes option-pricing model. The weighted average assumptions used in the Black-Scholes option-pricing model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920" w:type="dxa"/>
            <w:vAlign w:val="bottom"/>
            <w:tcBorders>
              <w:bottom w:val="single" w:sz="8" w:color="CFF0FC"/>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expected term</w:t>
            </w:r>
          </w:p>
        </w:tc>
        <w:tc>
          <w:tcPr>
            <w:tcW w:w="172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6.25 years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 years</w:t>
            </w:r>
          </w:p>
        </w:tc>
      </w:tr>
      <w:tr>
        <w:trPr>
          <w:trHeight w:val="25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expected volatility</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63"/>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risk-free interest rate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shd w:val="clear" w:color="auto" w:fill="CFF0FC"/>
          </w:tcPr>
          <w:p>
            <w:pPr>
              <w:spacing w:after="0"/>
              <w:rPr>
                <w:sz w:val="22"/>
                <w:szCs w:val="22"/>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4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expected dividend yield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331" w:lineRule="exact"/>
        <w:rPr>
          <w:sz w:val="20"/>
          <w:szCs w:val="20"/>
          <w:color w:val="auto"/>
        </w:rPr>
      </w:pPr>
    </w:p>
    <w:p>
      <w:pPr>
        <w:ind w:right="20" w:firstLine="55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Represents the period that the stock-based awards are expected to be outstanding based on a contractual term and service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for the awards. The Company estimated the expected term of the options with service conditions in accordance with the “simplified” method as defined in ASC 718, which enables the use of a practical expedient for “plain vanilla” share options.</w:t>
      </w:r>
    </w:p>
    <w:p>
      <w:pPr>
        <w:spacing w:after="0" w:line="167" w:lineRule="exact"/>
        <w:rPr>
          <w:sz w:val="20"/>
          <w:szCs w:val="20"/>
          <w:color w:val="auto"/>
        </w:rPr>
      </w:pPr>
    </w:p>
    <w:p>
      <w:pPr>
        <w:jc w:val="both"/>
        <w:ind w:right="60" w:firstLine="551"/>
        <w:spacing w:after="0" w:line="259"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The Company has historically been a private company and lacks company-specific historical and implied volatility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its stock. Therefore, the Company estimated volatility for option grants by evaluating the average historical volatility of a peer group of companies for the period immediately preceding the option grant for a term that is approximately equal to the expected term of the options.</w:t>
      </w:r>
    </w:p>
    <w:p>
      <w:pPr>
        <w:spacing w:after="0" w:line="167" w:lineRule="exact"/>
        <w:rPr>
          <w:sz w:val="20"/>
          <w:szCs w:val="20"/>
          <w:color w:val="auto"/>
        </w:rPr>
      </w:pPr>
    </w:p>
    <w:p>
      <w:pPr>
        <w:ind w:right="320" w:firstLine="551"/>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was based on the yield, as of the option valuation date, by reference to the U.S. Treasury yield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curve in effect at the time of the grant or the modification of the award for time periods equal to the expected term of the award.</w:t>
      </w:r>
    </w:p>
    <w:p>
      <w:pPr>
        <w:spacing w:after="0" w:line="172" w:lineRule="exact"/>
        <w:rPr>
          <w:sz w:val="20"/>
          <w:szCs w:val="20"/>
          <w:color w:val="auto"/>
        </w:rPr>
      </w:pPr>
    </w:p>
    <w:p>
      <w:pPr>
        <w:ind w:right="180" w:firstLine="551"/>
        <w:spacing w:after="0" w:line="268" w:lineRule="auto"/>
        <w:rPr>
          <w:sz w:val="20"/>
          <w:szCs w:val="20"/>
          <w:color w:val="auto"/>
        </w:rPr>
      </w:pPr>
      <w:r>
        <w:rPr>
          <w:rFonts w:ascii="Times New Roman" w:cs="Times New Roman" w:eastAsia="Times New Roman" w:hAnsi="Times New Roman"/>
          <w:sz w:val="18"/>
          <w:szCs w:val="18"/>
          <w:i w:val="1"/>
          <w:iCs w:val="1"/>
          <w:color w:val="auto"/>
        </w:rPr>
        <w:t>Dividend Yield</w:t>
      </w:r>
      <w:r>
        <w:rPr>
          <w:rFonts w:ascii="Times New Roman" w:cs="Times New Roman" w:eastAsia="Times New Roman" w:hAnsi="Times New Roman"/>
          <w:sz w:val="18"/>
          <w:szCs w:val="18"/>
          <w:color w:val="auto"/>
        </w:rPr>
        <w:t>—The Company does not anticipate declaring a dividend over the expected term. As such, the dividend yield has been estimated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zero.</w:t>
      </w:r>
    </w:p>
    <w:p>
      <w:pPr>
        <w:spacing w:after="0" w:line="159" w:lineRule="exact"/>
        <w:rPr>
          <w:sz w:val="20"/>
          <w:szCs w:val="20"/>
          <w:color w:val="auto"/>
        </w:rPr>
      </w:pPr>
    </w:p>
    <w:p>
      <w:pPr>
        <w:ind w:right="300" w:firstLine="551"/>
        <w:spacing w:after="0" w:line="284" w:lineRule="auto"/>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 For stock awards granted subsequent to the IPO, the fair value of the Company's common stock assumed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date fair value of the awards will be based on the closing price of the Company's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 xml:space="preserve">common stock as reported on the day of grant. Prior to the IPO in October 2021, because there has been no public market for the Company’s common stock, the Board has determined the estimated fair value of the Company's common stock at the time of grant of options by considering valuations performed by an independent third-party valuation specialist, which considers a number of objective and subjective factors including valuations of comparable companies, operating and financial performance, the lack of liquidity of capital stock, the likelihood of achieving an initial public offering and general and industry specific economic outlook.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8"/>
          <w:szCs w:val="18"/>
          <w:i w:val="1"/>
          <w:iCs w:val="1"/>
          <w:color w:val="auto"/>
        </w:rPr>
        <w:t>Valuation of Privately-Held-Company Equity Securities Issued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The third-party common stock valuations were prepared using a combination of the income approach and market approach.</w:t>
      </w:r>
    </w:p>
    <w:p>
      <w:pPr>
        <w:spacing w:after="0" w:line="181" w:lineRule="exact"/>
        <w:rPr>
          <w:sz w:val="20"/>
          <w:szCs w:val="20"/>
          <w:color w:val="auto"/>
        </w:rPr>
      </w:pPr>
    </w:p>
    <w:p>
      <w:pPr>
        <w:ind w:right="440" w:firstLine="551"/>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$2,233 of total unrecognized compensation cost related to unvested service-based stock options, which is expected to be recognized over a weighted-average service period of 1.9 years.</w:t>
      </w:r>
    </w:p>
    <w:p>
      <w:pPr>
        <w:spacing w:after="0" w:line="2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 with Performance and Market-based Vesting Conditions</w:t>
      </w:r>
    </w:p>
    <w:p>
      <w:pPr>
        <w:spacing w:after="0" w:line="108" w:lineRule="exact"/>
        <w:rPr>
          <w:sz w:val="20"/>
          <w:szCs w:val="20"/>
          <w:color w:val="auto"/>
        </w:rPr>
      </w:pPr>
    </w:p>
    <w:p>
      <w:pPr>
        <w:ind w:right="240" w:firstLine="551"/>
        <w:spacing w:after="0" w:line="256" w:lineRule="auto"/>
        <w:rPr>
          <w:sz w:val="20"/>
          <w:szCs w:val="20"/>
          <w:color w:val="auto"/>
        </w:rPr>
      </w:pPr>
      <w:r>
        <w:rPr>
          <w:rFonts w:ascii="Times New Roman" w:cs="Times New Roman" w:eastAsia="Times New Roman" w:hAnsi="Times New Roman"/>
          <w:sz w:val="18"/>
          <w:szCs w:val="18"/>
          <w:color w:val="auto"/>
        </w:rPr>
        <w:t>There are also stock option awards containing performance-based vesting conditions, subject to achievement of various performance goals by a future period, such as revenue and Adjusted EBITDA targets. There are also stock option awards containing performance and market vesting conditions, such as options vesting upon occurrence of an IPO or other qualifying liquidity event and upon achieving a predetermined equity value of the Company. This award was granted to the current CEO in 2019 that vest upon occurrence of an IPO or other qualifying liquidity event and upon achieving a predetermined equity value of the Company. As of July 31, 2023, the performance and market vesting conditions were achieved and the remaining stock compensation expense of $762 for this award was accelerated and recognized in the year ended December 31, 2023.</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years ended December 31, 2025 and December 31, 2024, there were no modifications to these awards.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during the year ended December 31, 2025:</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40" w:type="dxa"/>
            <w:vAlign w:val="bottom"/>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140" w:type="dxa"/>
            <w:vAlign w:val="bottom"/>
          </w:tcPr>
          <w:p>
            <w:pPr>
              <w:jc w:val="center"/>
              <w:ind w:left="401"/>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vMerge w:val="restart"/>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7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140" w:type="dxa"/>
            <w:vAlign w:val="bottom"/>
          </w:tcPr>
          <w:p>
            <w:pPr>
              <w:jc w:val="center"/>
              <w:ind w:left="381"/>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Price</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2"/>
        </w:trPr>
        <w:tc>
          <w:tcPr>
            <w:tcW w:w="43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 option)</w:t>
            </w:r>
          </w:p>
        </w:tc>
        <w:tc>
          <w:tcPr>
            <w:tcW w:w="138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4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Outstanding—December 31, 2024</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1,144,436</w:t>
            </w:r>
          </w:p>
        </w:tc>
        <w:tc>
          <w:tcPr>
            <w:tcW w:w="10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94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12.60</w:t>
            </w:r>
          </w:p>
        </w:tc>
        <w:tc>
          <w:tcPr>
            <w:tcW w:w="10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spacing w:after="0"/>
              <w:rPr>
                <w:sz w:val="22"/>
                <w:szCs w:val="22"/>
                <w:color w:val="auto"/>
              </w:rPr>
            </w:pP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3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Outstanding—December 31, 2025</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1,144,436</w:t>
            </w:r>
          </w:p>
        </w:tc>
        <w:tc>
          <w:tcPr>
            <w:tcW w:w="100" w:type="dxa"/>
            <w:vAlign w:val="bottom"/>
            <w:tcBorders>
              <w:top w:val="single" w:sz="8" w:color="CFF0FC"/>
              <w:bottom w:val="single" w:sz="8" w:color="CFF0FC"/>
            </w:tcBorders>
            <w:shd w:val="clear" w:color="auto" w:fill="CFF0FC"/>
          </w:tcPr>
          <w:p>
            <w:pPr>
              <w:spacing w:after="0"/>
              <w:rPr>
                <w:sz w:val="23"/>
                <w:szCs w:val="23"/>
                <w:color w:val="auto"/>
              </w:rPr>
            </w:pPr>
          </w:p>
        </w:tc>
        <w:tc>
          <w:tcPr>
            <w:tcW w:w="1140" w:type="dxa"/>
            <w:vAlign w:val="bottom"/>
            <w:tcBorders>
              <w:top w:val="single" w:sz="8" w:color="auto"/>
              <w:bottom w:val="single" w:sz="8" w:color="auto"/>
            </w:tcBorders>
            <w:shd w:val="clear" w:color="auto" w:fill="CFF0FC"/>
          </w:tcPr>
          <w:p>
            <w:pPr>
              <w:jc w:val="right"/>
              <w:ind w:right="94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12.60</w:t>
            </w:r>
          </w:p>
        </w:tc>
        <w:tc>
          <w:tcPr>
            <w:tcW w:w="100" w:type="dxa"/>
            <w:vAlign w:val="bottom"/>
            <w:tcBorders>
              <w:top w:val="single" w:sz="8" w:color="CFF0FC"/>
              <w:bottom w:val="single" w:sz="8" w:color="CFF0FC"/>
            </w:tcBorders>
            <w:shd w:val="clear" w:color="auto" w:fill="CFF0FC"/>
          </w:tcPr>
          <w:p>
            <w:pPr>
              <w:spacing w:after="0"/>
              <w:rPr>
                <w:sz w:val="23"/>
                <w:szCs w:val="23"/>
                <w:color w:val="auto"/>
              </w:rPr>
            </w:pPr>
          </w:p>
        </w:tc>
        <w:tc>
          <w:tcPr>
            <w:tcW w:w="1380" w:type="dxa"/>
            <w:vAlign w:val="bottom"/>
            <w:tcBorders>
              <w:top w:val="single" w:sz="8" w:color="auto"/>
              <w:bottom w:val="single" w:sz="8" w:color="auto"/>
            </w:tcBorders>
            <w:shd w:val="clear" w:color="auto" w:fill="CFF0FC"/>
          </w:tcPr>
          <w:p>
            <w:pPr>
              <w:spacing w:after="0"/>
              <w:rPr>
                <w:sz w:val="23"/>
                <w:szCs w:val="23"/>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5.1</w:t>
            </w:r>
          </w:p>
        </w:tc>
        <w:tc>
          <w:tcPr>
            <w:tcW w:w="100" w:type="dxa"/>
            <w:vAlign w:val="bottom"/>
            <w:tcBorders>
              <w:top w:val="single" w:sz="8" w:color="CFF0FC"/>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rPr>
              <w:t>46,243</w:t>
            </w:r>
          </w:p>
        </w:tc>
        <w:tc>
          <w:tcPr>
            <w:tcW w:w="0" w:type="dxa"/>
            <w:vAlign w:val="bottom"/>
          </w:tcPr>
          <w:p>
            <w:pPr>
              <w:spacing w:after="0"/>
              <w:rPr>
                <w:sz w:val="1"/>
                <w:szCs w:val="1"/>
                <w:color w:val="auto"/>
              </w:rPr>
            </w:pPr>
          </w:p>
        </w:tc>
      </w:tr>
      <w:tr>
        <w:trPr>
          <w:trHeight w:val="20"/>
        </w:trPr>
        <w:tc>
          <w:tcPr>
            <w:tcW w:w="438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bottom w:val="single" w:sz="8" w:color="auto"/>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4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Exercisable—December 31, 2025</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709,346</w:t>
            </w:r>
          </w:p>
        </w:tc>
        <w:tc>
          <w:tcPr>
            <w:tcW w:w="100" w:type="dxa"/>
            <w:vAlign w:val="bottom"/>
          </w:tcPr>
          <w:p>
            <w:pPr>
              <w:spacing w:after="0"/>
              <w:rPr>
                <w:sz w:val="20"/>
                <w:szCs w:val="20"/>
                <w:color w:val="auto"/>
              </w:rPr>
            </w:pPr>
          </w:p>
        </w:tc>
        <w:tc>
          <w:tcPr>
            <w:tcW w:w="1140" w:type="dxa"/>
            <w:vAlign w:val="bottom"/>
          </w:tcPr>
          <w:p>
            <w:pPr>
              <w:jc w:val="right"/>
              <w:ind w:right="94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10.18</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3.9</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30,383</w:t>
            </w:r>
          </w:p>
        </w:tc>
        <w:tc>
          <w:tcPr>
            <w:tcW w:w="0" w:type="dxa"/>
            <w:vAlign w:val="bottom"/>
          </w:tcPr>
          <w:p>
            <w:pPr>
              <w:spacing w:after="0"/>
              <w:rPr>
                <w:sz w:val="1"/>
                <w:szCs w:val="1"/>
                <w:color w:val="auto"/>
              </w:rPr>
            </w:pPr>
          </w:p>
        </w:tc>
      </w:tr>
      <w:tr>
        <w:trPr>
          <w:trHeight w:val="297"/>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551"/>
        <w:spacing w:after="0" w:line="250" w:lineRule="auto"/>
        <w:rPr>
          <w:sz w:val="20"/>
          <w:szCs w:val="20"/>
          <w:color w:val="auto"/>
        </w:rPr>
      </w:pPr>
      <w:r>
        <w:rPr>
          <w:rFonts w:ascii="Times New Roman" w:cs="Times New Roman" w:eastAsia="Times New Roman" w:hAnsi="Times New Roman"/>
          <w:sz w:val="18"/>
          <w:szCs w:val="18"/>
          <w:color w:val="auto"/>
        </w:rPr>
        <w:t>The fair value of the awards with performance-based vesting conditions was estimated using the Black-Scholes option-pricing model used for the Company’s service-based stock options and assumed that performance goals will be achieved. If such performance conditions are not met, no compensation cost is recognized and any recognized compensation cost is reversed. The Company did not grant any performance based options for the year ended December 31, 2025.</w:t>
      </w:r>
    </w:p>
    <w:p>
      <w:pPr>
        <w:spacing w:after="0" w:line="177" w:lineRule="exact"/>
        <w:rPr>
          <w:sz w:val="20"/>
          <w:szCs w:val="20"/>
          <w:color w:val="auto"/>
        </w:rPr>
      </w:pPr>
    </w:p>
    <w:p>
      <w:pPr>
        <w:ind w:right="320" w:firstLine="551"/>
        <w:spacing w:after="0" w:line="266" w:lineRule="auto"/>
        <w:rPr>
          <w:sz w:val="20"/>
          <w:szCs w:val="20"/>
          <w:color w:val="auto"/>
        </w:rPr>
      </w:pPr>
      <w:r>
        <w:rPr>
          <w:rFonts w:ascii="Times New Roman" w:cs="Times New Roman" w:eastAsia="Times New Roman" w:hAnsi="Times New Roman"/>
          <w:sz w:val="18"/>
          <w:szCs w:val="18"/>
          <w:color w:val="auto"/>
        </w:rPr>
        <w:t>As of December 31, 2025, total unrecognized compensation cost related to the unvested stock option awards containing performance conditions was $185, which is expected to be recognized over the period of approximately 0.2 years.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19"/>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&amp; Performance Based Restricted Stock Awards ("RSUs")</w:t>
      </w:r>
    </w:p>
    <w:p>
      <w:pPr>
        <w:spacing w:after="0" w:line="119" w:lineRule="exact"/>
        <w:rPr>
          <w:sz w:val="20"/>
          <w:szCs w:val="20"/>
          <w:color w:val="auto"/>
        </w:rPr>
      </w:pPr>
    </w:p>
    <w:p>
      <w:pPr>
        <w:jc w:val="both"/>
        <w:ind w:right="20" w:firstLine="486"/>
        <w:spacing w:after="0" w:line="276" w:lineRule="auto"/>
        <w:rPr>
          <w:sz w:val="20"/>
          <w:szCs w:val="20"/>
          <w:color w:val="auto"/>
        </w:rPr>
      </w:pPr>
      <w:r>
        <w:rPr>
          <w:rFonts w:ascii="Times New Roman" w:cs="Times New Roman" w:eastAsia="Times New Roman" w:hAnsi="Times New Roman"/>
          <w:sz w:val="17"/>
          <w:szCs w:val="17"/>
          <w:color w:val="auto"/>
        </w:rPr>
        <w:t>RSUs were granted under the 2021 Plan and primarily vest based on continuous service. The RSUs with service-based vesting conditions awarded to employees have differing vesting schedules as specified in each grant agreement. The RSUs granted to non-employee directors vest in full on the earlier of:</w:t>
      </w:r>
    </w:p>
    <w:p>
      <w:pPr>
        <w:spacing w:after="0" w:line="1" w:lineRule="exact"/>
        <w:rPr>
          <w:sz w:val="20"/>
          <w:szCs w:val="20"/>
          <w:color w:val="auto"/>
        </w:rPr>
      </w:pPr>
    </w:p>
    <w:p>
      <w:pPr>
        <w:ind w:right="80" w:firstLine="8"/>
        <w:spacing w:after="0" w:line="253" w:lineRule="auto"/>
        <w:tabs>
          <w:tab w:leader="none" w:pos="2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day immediately preceding the date of the first Annual Shareholders Meeting following the date of grant; or (ii) the first anniversary of the date of grant. During the twelve months ended December 31, 2025, the Company also granted RSUs that contained performance-based vesting conditions, subject to achievement of various performance goals by the end of 2025 or 2026, specifically net sales growth and Adjusted EBITDA targets. The following table summarizes the restricted stock and RSU activity for the year ended December 31, 2025: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 service based</w:t>
            </w:r>
          </w:p>
        </w:tc>
        <w:tc>
          <w:tcPr>
            <w:tcW w:w="14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performance</w:t>
            </w:r>
          </w:p>
        </w:tc>
        <w:tc>
          <w:tcPr>
            <w:tcW w:w="140" w:type="dxa"/>
            <w:vAlign w:val="bottom"/>
          </w:tcPr>
          <w:p>
            <w:pPr>
              <w:spacing w:after="0"/>
              <w:rPr>
                <w:sz w:val="13"/>
                <w:szCs w:val="13"/>
                <w:color w:val="auto"/>
              </w:rPr>
            </w:pPr>
          </w:p>
        </w:tc>
        <w:tc>
          <w:tcPr>
            <w:tcW w:w="17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r>
      <w:tr>
        <w:trPr>
          <w:trHeight w:val="146"/>
        </w:trPr>
        <w:tc>
          <w:tcPr>
            <w:tcW w:w="3760" w:type="dxa"/>
            <w:vAlign w:val="bottom"/>
          </w:tcPr>
          <w:p>
            <w:pPr>
              <w:spacing w:after="0"/>
              <w:rPr>
                <w:sz w:val="12"/>
                <w:szCs w:val="12"/>
                <w:color w:val="auto"/>
              </w:rPr>
            </w:pPr>
          </w:p>
        </w:tc>
        <w:tc>
          <w:tcPr>
            <w:tcW w:w="194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Restricted Stock or RSU</w:t>
            </w:r>
          </w:p>
        </w:tc>
        <w:tc>
          <w:tcPr>
            <w:tcW w:w="158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19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based Restricted Stock or</w:t>
            </w:r>
          </w:p>
        </w:tc>
        <w:tc>
          <w:tcPr>
            <w:tcW w:w="140" w:type="dxa"/>
            <w:vAlign w:val="bottom"/>
          </w:tcPr>
          <w:p>
            <w:pPr>
              <w:spacing w:after="0"/>
              <w:rPr>
                <w:sz w:val="12"/>
                <w:szCs w:val="12"/>
                <w:color w:val="auto"/>
              </w:rPr>
            </w:pPr>
          </w:p>
        </w:tc>
        <w:tc>
          <w:tcPr>
            <w:tcW w:w="1700" w:type="dxa"/>
            <w:vAlign w:val="bottom"/>
          </w:tcPr>
          <w:p>
            <w:pPr>
              <w:jc w:val="center"/>
              <w:ind w:right="57"/>
              <w:spacing w:after="0" w:line="146" w:lineRule="exact"/>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196"/>
        </w:trPr>
        <w:tc>
          <w:tcPr>
            <w:tcW w:w="376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 based)</w:t>
            </w:r>
          </w:p>
        </w:tc>
        <w:tc>
          <w:tcPr>
            <w:tcW w:w="19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RSU Awards</w:t>
            </w: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(performance based)</w:t>
            </w:r>
          </w:p>
        </w:tc>
      </w:tr>
      <w:tr>
        <w:trPr>
          <w:trHeight w:val="25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 December 31, 2024</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634,803</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r>
      <w:tr>
        <w:trPr>
          <w:trHeight w:val="25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214,468</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r>
      <w:tr>
        <w:trPr>
          <w:trHeight w:val="26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216,411</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0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Forfeited/Cancelled</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24,657</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tcBorders>
              <w:bottom w:val="single" w:sz="8" w:color="CCEEFF"/>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w:t>
            </w:r>
          </w:p>
        </w:tc>
      </w:tr>
      <w:tr>
        <w:trPr>
          <w:trHeight w:val="282"/>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 December 31, 2025</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608,203</w:t>
            </w: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144,191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firstLine="648"/>
        <w:spacing w:after="0" w:line="232" w:lineRule="auto"/>
        <w:rPr>
          <w:sz w:val="20"/>
          <w:szCs w:val="20"/>
          <w:color w:val="auto"/>
        </w:rPr>
      </w:pPr>
      <w:r>
        <w:rPr>
          <w:rFonts w:ascii="Times New Roman" w:cs="Times New Roman" w:eastAsia="Times New Roman" w:hAnsi="Times New Roman"/>
          <w:sz w:val="18"/>
          <w:szCs w:val="18"/>
          <w:color w:val="auto"/>
        </w:rPr>
        <w:t>The aggregate grant date fair value of service and performance based RSUs granted during 2025 and 2024 was $7,219 and $8,609, respectively. At December 31, 2025, there was $6,217 of unrecognized stock compensation expense related to non-vested service-based RSUs, which is expected to be recognized over a weighted average period of 1.8 years and $1,954 of unrecognized stock compensation expense related to non-vested performance based RSUs, which is expected to be recognized over a weighted average period of 1.2 years.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119"/>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934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34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domestic and foreign components of the Company’s income before income taxes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6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center"/>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4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51,898</w:t>
            </w:r>
          </w:p>
        </w:tc>
        <w:tc>
          <w:tcPr>
            <w:tcW w:w="52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42,131</w:t>
            </w:r>
          </w:p>
        </w:tc>
        <w:tc>
          <w:tcPr>
            <w:tcW w:w="8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31,614</w:t>
            </w:r>
          </w:p>
        </w:tc>
      </w:tr>
      <w:tr>
        <w:trPr>
          <w:trHeight w:val="250"/>
        </w:trPr>
        <w:tc>
          <w:tcPr>
            <w:tcW w:w="64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41,073</w:t>
            </w:r>
          </w:p>
        </w:tc>
        <w:tc>
          <w:tcPr>
            <w:tcW w:w="10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28,657</w:t>
            </w:r>
          </w:p>
        </w:tc>
        <w:tc>
          <w:tcPr>
            <w:tcW w:w="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26,306</w:t>
            </w:r>
          </w:p>
        </w:tc>
      </w:tr>
      <w:tr>
        <w:trPr>
          <w:trHeight w:val="270"/>
        </w:trPr>
        <w:tc>
          <w:tcPr>
            <w:tcW w:w="6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92,971</w:t>
            </w:r>
          </w:p>
        </w:tc>
        <w:tc>
          <w:tcPr>
            <w:tcW w:w="100" w:type="dxa"/>
            <w:vAlign w:val="bottom"/>
            <w:tcBorders>
              <w:bottom w:val="single" w:sz="8" w:color="CFF0FC"/>
            </w:tcBorders>
            <w:shd w:val="clear" w:color="auto" w:fill="CFF0FC"/>
          </w:tcPr>
          <w:p>
            <w:pPr>
              <w:spacing w:after="0"/>
              <w:rPr>
                <w:sz w:val="23"/>
                <w:szCs w:val="23"/>
                <w:color w:val="auto"/>
              </w:rPr>
            </w:pP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70,788</w:t>
            </w:r>
          </w:p>
        </w:tc>
        <w:tc>
          <w:tcPr>
            <w:tcW w:w="8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57,920</w:t>
            </w:r>
          </w:p>
        </w:tc>
      </w:tr>
      <w:tr>
        <w:trPr>
          <w:trHeight w:val="20"/>
        </w:trPr>
        <w:tc>
          <w:tcPr>
            <w:tcW w:w="64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80"/>
        </w:trPr>
        <w:tc>
          <w:tcPr>
            <w:tcW w:w="836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The income tax expense for the years ended December 31, 2025, 2024, and 2023 consist of the following:</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49"/>
        </w:trPr>
        <w:tc>
          <w:tcPr>
            <w:tcW w:w="6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
        </w:trPr>
        <w:tc>
          <w:tcPr>
            <w:tcW w:w="6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6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center"/>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4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50"/>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10,057</w:t>
            </w:r>
          </w:p>
        </w:tc>
        <w:tc>
          <w:tcPr>
            <w:tcW w:w="5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w:t>
            </w:r>
          </w:p>
        </w:tc>
      </w:tr>
      <w:tr>
        <w:trPr>
          <w:trHeight w:val="263"/>
        </w:trPr>
        <w:tc>
          <w:tcPr>
            <w:tcW w:w="64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State and local</w:t>
            </w: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10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w:t>
            </w:r>
          </w:p>
        </w:tc>
      </w:tr>
      <w:tr>
        <w:trPr>
          <w:trHeight w:val="250"/>
        </w:trPr>
        <w:tc>
          <w:tcPr>
            <w:tcW w:w="6400" w:type="dxa"/>
            <w:vAlign w:val="bottom"/>
            <w:tcBorders>
              <w:bottom w:val="single" w:sz="8" w:color="CFF0FC"/>
            </w:tcBorders>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0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4,940</w:t>
            </w:r>
          </w:p>
        </w:tc>
      </w:tr>
      <w:tr>
        <w:trPr>
          <w:trHeight w:val="256"/>
        </w:trPr>
        <w:tc>
          <w:tcPr>
            <w:tcW w:w="640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22,015</w:t>
            </w:r>
          </w:p>
        </w:tc>
        <w:tc>
          <w:tcPr>
            <w:tcW w:w="100" w:type="dxa"/>
            <w:vAlign w:val="bottom"/>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14,193</w:t>
            </w:r>
          </w:p>
        </w:tc>
        <w:tc>
          <w:tcPr>
            <w:tcW w:w="8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13,777</w:t>
            </w: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63"/>
        </w:trPr>
        <w:tc>
          <w:tcPr>
            <w:tcW w:w="64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52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w:t>
            </w:r>
          </w:p>
        </w:tc>
      </w:tr>
      <w:tr>
        <w:trPr>
          <w:trHeight w:val="250"/>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 and local</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57"/>
        </w:trPr>
        <w:tc>
          <w:tcPr>
            <w:tcW w:w="64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50"/>
        </w:trPr>
        <w:tc>
          <w:tcPr>
            <w:tcW w:w="64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FF0FC"/>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w:t>
            </w:r>
          </w:p>
        </w:tc>
      </w:tr>
      <w:tr>
        <w:trPr>
          <w:trHeight w:val="270"/>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21,651</w:t>
            </w:r>
          </w:p>
        </w:tc>
        <w:tc>
          <w:tcPr>
            <w:tcW w:w="52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14,836</w:t>
            </w:r>
          </w:p>
        </w:tc>
        <w:tc>
          <w:tcPr>
            <w:tcW w:w="80" w:type="dxa"/>
            <w:vAlign w:val="bottom"/>
            <w:shd w:val="clear" w:color="auto" w:fill="CFF0FC"/>
          </w:tcPr>
          <w:p>
            <w:pPr>
              <w:spacing w:after="0"/>
              <w:rPr>
                <w:sz w:val="23"/>
                <w:szCs w:val="23"/>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11,291</w:t>
            </w:r>
          </w:p>
        </w:tc>
      </w:tr>
      <w:tr>
        <w:trPr>
          <w:trHeight w:val="20"/>
        </w:trPr>
        <w:tc>
          <w:tcPr>
            <w:tcW w:w="64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reconciliation of the U.S. federal statutory rate to the Company’s effective rate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Pr>
          <w:p>
            <w:pPr>
              <w:spacing w:after="0"/>
              <w:rPr>
                <w:sz w:val="16"/>
                <w:szCs w:val="16"/>
                <w:color w:val="auto"/>
              </w:rPr>
            </w:pPr>
          </w:p>
        </w:tc>
      </w:tr>
      <w:tr>
        <w:trPr>
          <w:trHeight w:val="23"/>
        </w:trPr>
        <w:tc>
          <w:tcPr>
            <w:tcW w:w="346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34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471"/>
              <w:spacing w:after="0"/>
              <w:rPr>
                <w:sz w:val="20"/>
                <w:szCs w:val="20"/>
                <w:color w:val="auto"/>
              </w:rPr>
            </w:pPr>
            <w:r>
              <w:rPr>
                <w:rFonts w:ascii="Times New Roman" w:cs="Times New Roman" w:eastAsia="Times New Roman" w:hAnsi="Times New Roman"/>
                <w:sz w:val="18"/>
                <w:szCs w:val="18"/>
                <w:color w:val="auto"/>
              </w:rPr>
              <w:t>Amount</w:t>
            </w:r>
          </w:p>
        </w:tc>
        <w:tc>
          <w:tcPr>
            <w:tcW w:w="12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Percentage</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411"/>
              <w:spacing w:after="0"/>
              <w:rPr>
                <w:sz w:val="20"/>
                <w:szCs w:val="20"/>
                <w:color w:val="auto"/>
              </w:rPr>
            </w:pPr>
            <w:r>
              <w:rPr>
                <w:rFonts w:ascii="Times New Roman" w:cs="Times New Roman" w:eastAsia="Times New Roman" w:hAnsi="Times New Roman"/>
                <w:sz w:val="18"/>
                <w:szCs w:val="18"/>
                <w:color w:val="auto"/>
              </w:rPr>
              <w:t>Amount</w:t>
            </w:r>
          </w:p>
        </w:tc>
        <w:tc>
          <w:tcPr>
            <w:tcW w:w="1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Percentage</w:t>
            </w: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471"/>
              <w:spacing w:after="0"/>
              <w:rPr>
                <w:sz w:val="20"/>
                <w:szCs w:val="20"/>
                <w:color w:val="auto"/>
              </w:rPr>
            </w:pPr>
            <w:r>
              <w:rPr>
                <w:rFonts w:ascii="Times New Roman" w:cs="Times New Roman" w:eastAsia="Times New Roman" w:hAnsi="Times New Roman"/>
                <w:sz w:val="18"/>
                <w:szCs w:val="18"/>
                <w:color w:val="auto"/>
              </w:rPr>
              <w:t>Amount</w:t>
            </w:r>
          </w:p>
        </w:tc>
        <w:tc>
          <w:tcPr>
            <w:tcW w:w="11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98"/>
              </w:rPr>
              <w:t>Percentage</w:t>
            </w:r>
          </w:p>
        </w:tc>
      </w:tr>
      <w:tr>
        <w:trPr>
          <w:trHeight w:val="250"/>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Federal Statutory Rate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19,524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14,865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12,163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8"/>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48"/>
        </w:trPr>
        <w:tc>
          <w:tcPr>
            <w:tcW w:w="3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Effect</w:t>
            </w: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8"/>
                <w:szCs w:val="18"/>
                <w:color w:val="auto"/>
              </w:rPr>
              <w:t>2,945</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231"/>
              <w:spacing w:after="0"/>
              <w:rPr>
                <w:sz w:val="20"/>
                <w:szCs w:val="20"/>
                <w:color w:val="auto"/>
              </w:rPr>
            </w:pPr>
            <w:r>
              <w:rPr>
                <w:rFonts w:ascii="Times New Roman" w:cs="Times New Roman" w:eastAsia="Times New Roman" w:hAnsi="Times New Roman"/>
                <w:sz w:val="18"/>
                <w:szCs w:val="18"/>
                <w:color w:val="auto"/>
              </w:rPr>
              <w:t>2,723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8"/>
                <w:szCs w:val="18"/>
                <w:color w:val="auto"/>
              </w:rPr>
              <w:t>1,048</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3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r>
      <w:tr>
        <w:trPr>
          <w:trHeight w:val="211"/>
        </w:trPr>
        <w:tc>
          <w:tcPr>
            <w:tcW w:w="3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Statutory tax rate difference between</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1"/>
        </w:trPr>
        <w:tc>
          <w:tcPr>
            <w:tcW w:w="3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Singapore and United States</w:t>
            </w:r>
          </w:p>
        </w:tc>
        <w:tc>
          <w:tcPr>
            <w:tcW w:w="200" w:type="dxa"/>
            <w:vAlign w:val="bottom"/>
          </w:tcPr>
          <w:p>
            <w:pPr>
              <w:spacing w:after="0"/>
              <w:rPr>
                <w:sz w:val="20"/>
                <w:szCs w:val="20"/>
                <w:color w:val="auto"/>
              </w:rPr>
            </w:pPr>
          </w:p>
        </w:tc>
        <w:tc>
          <w:tcPr>
            <w:tcW w:w="12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(1,210)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(943)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(840)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63"/>
        </w:trPr>
        <w:tc>
          <w:tcPr>
            <w:tcW w:w="34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8"/>
                <w:szCs w:val="18"/>
                <w:color w:val="auto"/>
              </w:rPr>
              <w:t>331</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191"/>
              <w:spacing w:after="0"/>
              <w:rPr>
                <w:sz w:val="20"/>
                <w:szCs w:val="20"/>
                <w:color w:val="auto"/>
              </w:rPr>
            </w:pPr>
            <w:r>
              <w:rPr>
                <w:rFonts w:ascii="Times New Roman" w:cs="Times New Roman" w:eastAsia="Times New Roman" w:hAnsi="Times New Roman"/>
                <w:sz w:val="18"/>
                <w:szCs w:val="18"/>
                <w:color w:val="auto"/>
              </w:rPr>
              <w:t>(104)</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4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8"/>
                <w:szCs w:val="18"/>
                <w:color w:val="auto"/>
              </w:rPr>
              <w:t>443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50"/>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200" w:type="dxa"/>
            <w:vAlign w:val="bottom"/>
          </w:tcPr>
          <w:p>
            <w:pPr>
              <w:spacing w:after="0"/>
              <w:rPr>
                <w:sz w:val="21"/>
                <w:szCs w:val="21"/>
                <w:color w:val="auto"/>
              </w:rPr>
            </w:pPr>
          </w:p>
        </w:tc>
        <w:tc>
          <w:tcPr>
            <w:tcW w:w="122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366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401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r>
      <w:tr>
        <w:trPr>
          <w:trHeight w:val="250"/>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200" w:type="dxa"/>
            <w:vAlign w:val="bottom"/>
          </w:tcPr>
          <w:p>
            <w:pPr>
              <w:spacing w:after="0"/>
              <w:rPr>
                <w:sz w:val="21"/>
                <w:szCs w:val="21"/>
                <w:color w:val="auto"/>
              </w:rPr>
            </w:pPr>
          </w:p>
        </w:tc>
        <w:tc>
          <w:tcPr>
            <w:tcW w:w="122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4,804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3,615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2,953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63"/>
        </w:trPr>
        <w:tc>
          <w:tcPr>
            <w:tcW w:w="3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211"/>
              <w:spacing w:after="0"/>
              <w:rPr>
                <w:sz w:val="20"/>
                <w:szCs w:val="20"/>
                <w:color w:val="auto"/>
              </w:rPr>
            </w:pPr>
            <w:r>
              <w:rPr>
                <w:rFonts w:ascii="Times New Roman" w:cs="Times New Roman" w:eastAsia="Times New Roman" w:hAnsi="Times New Roman"/>
                <w:sz w:val="18"/>
                <w:szCs w:val="18"/>
                <w:color w:val="auto"/>
              </w:rPr>
              <w:t>(730)</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191"/>
              <w:spacing w:after="0"/>
              <w:rPr>
                <w:sz w:val="20"/>
                <w:szCs w:val="20"/>
                <w:color w:val="auto"/>
              </w:rPr>
            </w:pPr>
            <w:r>
              <w:rPr>
                <w:rFonts w:ascii="Times New Roman" w:cs="Times New Roman" w:eastAsia="Times New Roman" w:hAnsi="Times New Roman"/>
                <w:sz w:val="18"/>
                <w:szCs w:val="18"/>
                <w:color w:val="auto"/>
              </w:rPr>
              <w:t>(727)</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40" w:type="dxa"/>
            <w:vAlign w:val="bottom"/>
            <w:shd w:val="clear" w:color="auto" w:fill="CFF0FC"/>
          </w:tcPr>
          <w:p>
            <w:pPr>
              <w:jc w:val="right"/>
              <w:ind w:right="211"/>
              <w:spacing w:after="0"/>
              <w:rPr>
                <w:sz w:val="20"/>
                <w:szCs w:val="20"/>
                <w:color w:val="auto"/>
              </w:rPr>
            </w:pPr>
            <w:r>
              <w:rPr>
                <w:rFonts w:ascii="Times New Roman" w:cs="Times New Roman" w:eastAsia="Times New Roman" w:hAnsi="Times New Roman"/>
                <w:sz w:val="18"/>
                <w:szCs w:val="18"/>
                <w:color w:val="auto"/>
              </w:rPr>
              <w:t>(188)</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5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3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Federal foreign tax credit</w:t>
            </w: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211"/>
              <w:spacing w:after="0"/>
              <w:rPr>
                <w:sz w:val="20"/>
                <w:szCs w:val="20"/>
                <w:color w:val="auto"/>
              </w:rPr>
            </w:pPr>
            <w:r>
              <w:rPr>
                <w:rFonts w:ascii="Times New Roman" w:cs="Times New Roman" w:eastAsia="Times New Roman" w:hAnsi="Times New Roman"/>
                <w:sz w:val="18"/>
                <w:szCs w:val="18"/>
                <w:color w:val="auto"/>
              </w:rPr>
              <w:t>(4,804)</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191"/>
              <w:spacing w:after="0"/>
              <w:rPr>
                <w:sz w:val="20"/>
                <w:szCs w:val="20"/>
                <w:color w:val="auto"/>
              </w:rPr>
            </w:pPr>
            <w:r>
              <w:rPr>
                <w:rFonts w:ascii="Times New Roman" w:cs="Times New Roman" w:eastAsia="Times New Roman" w:hAnsi="Times New Roman"/>
                <w:sz w:val="18"/>
                <w:szCs w:val="18"/>
                <w:color w:val="auto"/>
              </w:rPr>
              <w:t>(3,927)</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40" w:type="dxa"/>
            <w:vAlign w:val="bottom"/>
            <w:shd w:val="clear" w:color="auto" w:fill="CFF0FC"/>
          </w:tcPr>
          <w:p>
            <w:pPr>
              <w:jc w:val="right"/>
              <w:ind w:right="211"/>
              <w:spacing w:after="0"/>
              <w:rPr>
                <w:sz w:val="20"/>
                <w:szCs w:val="20"/>
                <w:color w:val="auto"/>
              </w:rPr>
            </w:pPr>
            <w:r>
              <w:rPr>
                <w:rFonts w:ascii="Times New Roman" w:cs="Times New Roman" w:eastAsia="Times New Roman" w:hAnsi="Times New Roman"/>
                <w:sz w:val="18"/>
                <w:szCs w:val="18"/>
                <w:color w:val="auto"/>
              </w:rPr>
              <w:t>(2,951)</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5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3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 option exercise windfall</w:t>
            </w: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211"/>
              <w:spacing w:after="0"/>
              <w:rPr>
                <w:sz w:val="20"/>
                <w:szCs w:val="20"/>
                <w:color w:val="auto"/>
              </w:rPr>
            </w:pPr>
            <w:r>
              <w:rPr>
                <w:rFonts w:ascii="Times New Roman" w:cs="Times New Roman" w:eastAsia="Times New Roman" w:hAnsi="Times New Roman"/>
                <w:sz w:val="18"/>
                <w:szCs w:val="18"/>
                <w:color w:val="auto"/>
              </w:rPr>
              <w:t>(2,892)</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191"/>
              <w:spacing w:after="0"/>
              <w:rPr>
                <w:sz w:val="20"/>
                <w:szCs w:val="20"/>
                <w:color w:val="auto"/>
              </w:rPr>
            </w:pPr>
            <w:r>
              <w:rPr>
                <w:rFonts w:ascii="Times New Roman" w:cs="Times New Roman" w:eastAsia="Times New Roman" w:hAnsi="Times New Roman"/>
                <w:sz w:val="18"/>
                <w:szCs w:val="18"/>
                <w:color w:val="auto"/>
              </w:rPr>
              <w:t>(1,383)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40" w:type="dxa"/>
            <w:vAlign w:val="bottom"/>
            <w:shd w:val="clear" w:color="auto" w:fill="CFF0FC"/>
          </w:tcPr>
          <w:p>
            <w:pPr>
              <w:jc w:val="right"/>
              <w:ind w:right="211"/>
              <w:spacing w:after="0"/>
              <w:rPr>
                <w:sz w:val="20"/>
                <w:szCs w:val="20"/>
                <w:color w:val="auto"/>
              </w:rPr>
            </w:pPr>
            <w:r>
              <w:rPr>
                <w:rFonts w:ascii="Times New Roman" w:cs="Times New Roman" w:eastAsia="Times New Roman" w:hAnsi="Times New Roman"/>
                <w:sz w:val="18"/>
                <w:szCs w:val="18"/>
                <w:color w:val="auto"/>
              </w:rPr>
              <w:t>(1,932)</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50"/>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162(m) limitation</w:t>
            </w:r>
          </w:p>
        </w:tc>
        <w:tc>
          <w:tcPr>
            <w:tcW w:w="200" w:type="dxa"/>
            <w:vAlign w:val="bottom"/>
          </w:tcPr>
          <w:p>
            <w:pPr>
              <w:spacing w:after="0"/>
              <w:rPr>
                <w:sz w:val="21"/>
                <w:szCs w:val="21"/>
                <w:color w:val="auto"/>
              </w:rPr>
            </w:pPr>
          </w:p>
        </w:tc>
        <w:tc>
          <w:tcPr>
            <w:tcW w:w="122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2,445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872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660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63"/>
        </w:trPr>
        <w:tc>
          <w:tcPr>
            <w:tcW w:w="3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nontaxable or nondeductible items</w:t>
            </w: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8"/>
                <w:szCs w:val="18"/>
                <w:color w:val="auto"/>
              </w:rPr>
              <w:t>97</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231"/>
              <w:spacing w:after="0"/>
              <w:rPr>
                <w:sz w:val="20"/>
                <w:szCs w:val="20"/>
                <w:color w:val="auto"/>
              </w:rPr>
            </w:pPr>
            <w:r>
              <w:rPr>
                <w:rFonts w:ascii="Times New Roman" w:cs="Times New Roman" w:eastAsia="Times New Roman" w:hAnsi="Times New Roman"/>
                <w:sz w:val="18"/>
                <w:szCs w:val="18"/>
                <w:color w:val="auto"/>
              </w:rPr>
              <w:t>105</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40" w:type="dxa"/>
            <w:vAlign w:val="bottom"/>
            <w:shd w:val="clear" w:color="auto" w:fill="CFF0FC"/>
          </w:tcPr>
          <w:p>
            <w:pPr>
              <w:jc w:val="right"/>
              <w:ind w:right="271"/>
              <w:spacing w:after="0"/>
              <w:rPr>
                <w:sz w:val="20"/>
                <w:szCs w:val="20"/>
                <w:color w:val="auto"/>
              </w:rPr>
            </w:pPr>
            <w:r>
              <w:rPr>
                <w:rFonts w:ascii="Times New Roman" w:cs="Times New Roman" w:eastAsia="Times New Roman" w:hAnsi="Times New Roman"/>
                <w:sz w:val="18"/>
                <w:szCs w:val="18"/>
                <w:color w:val="auto"/>
              </w:rPr>
              <w:t>104</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50"/>
        </w:trPr>
        <w:tc>
          <w:tcPr>
            <w:tcW w:w="34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775</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(661)</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(169)</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5"/>
        </w:trPr>
        <w:tc>
          <w:tcPr>
            <w:tcW w:w="346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Effective Tax Rate</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ind w:right="271"/>
              <w:spacing w:after="0"/>
              <w:rPr>
                <w:sz w:val="20"/>
                <w:szCs w:val="20"/>
                <w:color w:val="auto"/>
              </w:rPr>
            </w:pPr>
            <w:r>
              <w:rPr>
                <w:rFonts w:ascii="Times New Roman" w:cs="Times New Roman" w:eastAsia="Times New Roman" w:hAnsi="Times New Roman"/>
                <w:sz w:val="18"/>
                <w:szCs w:val="18"/>
                <w:color w:val="auto"/>
              </w:rPr>
              <w:t>21,651</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231"/>
              <w:spacing w:after="0"/>
              <w:rPr>
                <w:sz w:val="20"/>
                <w:szCs w:val="20"/>
                <w:color w:val="auto"/>
              </w:rPr>
            </w:pPr>
            <w:r>
              <w:rPr>
                <w:rFonts w:ascii="Times New Roman" w:cs="Times New Roman" w:eastAsia="Times New Roman" w:hAnsi="Times New Roman"/>
                <w:sz w:val="18"/>
                <w:szCs w:val="18"/>
                <w:color w:val="auto"/>
              </w:rPr>
              <w:t>14,836</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ind w:right="271"/>
              <w:spacing w:after="0"/>
              <w:rPr>
                <w:sz w:val="20"/>
                <w:szCs w:val="20"/>
                <w:color w:val="auto"/>
              </w:rPr>
            </w:pPr>
            <w:r>
              <w:rPr>
                <w:rFonts w:ascii="Times New Roman" w:cs="Times New Roman" w:eastAsia="Times New Roman" w:hAnsi="Times New Roman"/>
                <w:sz w:val="18"/>
                <w:szCs w:val="18"/>
                <w:color w:val="auto"/>
              </w:rPr>
              <w:t>11,291</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19.5 %</w:t>
            </w:r>
          </w:p>
        </w:tc>
      </w:tr>
      <w:tr>
        <w:trPr>
          <w:trHeight w:val="20"/>
        </w:trPr>
        <w:tc>
          <w:tcPr>
            <w:tcW w:w="34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r>
    </w:tbl>
    <w:p>
      <w:pPr>
        <w:spacing w:after="0" w:line="19" w:lineRule="exact"/>
        <w:rPr>
          <w:sz w:val="20"/>
          <w:szCs w:val="20"/>
          <w:color w:val="auto"/>
        </w:rPr>
      </w:pPr>
    </w:p>
    <w:p>
      <w:pPr>
        <w:ind w:left="100" w:hanging="92"/>
        <w:spacing w:after="0"/>
        <w:tabs>
          <w:tab w:leader="none" w:pos="10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State taxes in CA, NY, NJ and IL made up the majority (greater than 50 percent) of the tax effect in this category</w:t>
      </w:r>
    </w:p>
    <w:p>
      <w:pPr>
        <w:sectPr>
          <w:pgSz w:w="11900" w:h="16838" w:orient="portrait"/>
          <w:cols w:equalWidth="0" w:num="1">
            <w:col w:w="11120"/>
          </w:cols>
          <w:pgMar w:left="320" w:top="121" w:right="459" w:bottom="4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461"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119"/>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934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34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Deferred tax assets and liabilities at December 31, 2025 and 2024, consist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94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6"/>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8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50"/>
        </w:trPr>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Inventory reserves</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63"/>
        </w:trPr>
        <w:tc>
          <w:tcPr>
            <w:tcW w:w="79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Reserves and accruals</w:t>
            </w:r>
          </w:p>
        </w:tc>
        <w:tc>
          <w:tcPr>
            <w:tcW w:w="86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50"/>
        </w:trPr>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6,268</w:t>
            </w:r>
          </w:p>
        </w:tc>
      </w:tr>
      <w:tr>
        <w:trPr>
          <w:trHeight w:val="263"/>
        </w:trPr>
        <w:tc>
          <w:tcPr>
            <w:tcW w:w="79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86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3,577</w:t>
            </w:r>
          </w:p>
        </w:tc>
      </w:tr>
      <w:tr>
        <w:trPr>
          <w:trHeight w:val="250"/>
        </w:trPr>
        <w:tc>
          <w:tcPr>
            <w:tcW w:w="7940" w:type="dxa"/>
            <w:vAlign w:val="bottom"/>
            <w:tcBorders>
              <w:bottom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Lease liability</w:t>
            </w:r>
          </w:p>
        </w:tc>
        <w:tc>
          <w:tcPr>
            <w:tcW w:w="8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56"/>
        </w:trPr>
        <w:tc>
          <w:tcPr>
            <w:tcW w:w="79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Subtotal</w:t>
            </w:r>
          </w:p>
        </w:tc>
        <w:tc>
          <w:tcPr>
            <w:tcW w:w="86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15,842</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11,887</w:t>
            </w:r>
          </w:p>
        </w:tc>
      </w:tr>
      <w:tr>
        <w:trPr>
          <w:trHeight w:val="250"/>
        </w:trPr>
        <w:tc>
          <w:tcPr>
            <w:tcW w:w="7940" w:type="dxa"/>
            <w:vAlign w:val="bottom"/>
            <w:tcBorders>
              <w:bottom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Valuation allowance</w:t>
            </w:r>
          </w:p>
        </w:tc>
        <w:tc>
          <w:tcPr>
            <w:tcW w:w="8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w:t>
            </w:r>
          </w:p>
        </w:tc>
      </w:tr>
      <w:tr>
        <w:trPr>
          <w:trHeight w:val="257"/>
        </w:trPr>
        <w:tc>
          <w:tcPr>
            <w:tcW w:w="79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86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12,191</w:t>
            </w:r>
          </w:p>
        </w:tc>
        <w:tc>
          <w:tcPr>
            <w:tcW w:w="10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8,300</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63"/>
        </w:trPr>
        <w:tc>
          <w:tcPr>
            <w:tcW w:w="79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Prepaid insurance</w:t>
            </w:r>
          </w:p>
        </w:tc>
        <w:tc>
          <w:tcPr>
            <w:tcW w:w="86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50"/>
        </w:trPr>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Intangibles</w:t>
            </w: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r>
      <w:tr>
        <w:trPr>
          <w:trHeight w:val="263"/>
        </w:trPr>
        <w:tc>
          <w:tcPr>
            <w:tcW w:w="79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Right-of-use assets</w:t>
            </w:r>
          </w:p>
        </w:tc>
        <w:tc>
          <w:tcPr>
            <w:tcW w:w="86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50"/>
        </w:trPr>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Fixed assets</w:t>
            </w:r>
          </w:p>
        </w:tc>
        <w:tc>
          <w:tcPr>
            <w:tcW w:w="8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63"/>
        </w:trPr>
        <w:tc>
          <w:tcPr>
            <w:tcW w:w="79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net</w:t>
            </w:r>
          </w:p>
        </w:tc>
        <w:tc>
          <w:tcPr>
            <w:tcW w:w="86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43"/>
        </w:trPr>
        <w:tc>
          <w:tcPr>
            <w:tcW w:w="7940" w:type="dxa"/>
            <w:vAlign w:val="bottom"/>
            <w:tcBorders>
              <w:bottom w:val="single" w:sz="8" w:color="CFF0FC"/>
            </w:tcBorders>
          </w:tcPr>
          <w:p>
            <w:pPr>
              <w:ind w:left="5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8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w:t>
            </w:r>
          </w:p>
        </w:tc>
      </w:tr>
      <w:tr>
        <w:trPr>
          <w:trHeight w:val="275"/>
        </w:trPr>
        <w:tc>
          <w:tcPr>
            <w:tcW w:w="794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Net deferred tax assets (liability)</w:t>
            </w: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6,100</w:t>
            </w:r>
          </w:p>
        </w:tc>
      </w:tr>
      <w:tr>
        <w:trPr>
          <w:trHeight w:val="20"/>
        </w:trPr>
        <w:tc>
          <w:tcPr>
            <w:tcW w:w="79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firstLine="551"/>
        <w:spacing w:after="0" w:line="246" w:lineRule="auto"/>
        <w:rPr>
          <w:sz w:val="20"/>
          <w:szCs w:val="20"/>
          <w:color w:val="auto"/>
        </w:rPr>
      </w:pPr>
      <w:r>
        <w:rPr>
          <w:rFonts w:ascii="Times New Roman" w:cs="Times New Roman" w:eastAsia="Times New Roman" w:hAnsi="Times New Roman"/>
          <w:sz w:val="18"/>
          <w:szCs w:val="18"/>
          <w:color w:val="auto"/>
        </w:rPr>
        <w:t>A valuation allowance of $3,651 and $3,587 was recorded against the non-U.S. deferred tax asset balance as of December 31, 2025 and 2024, respectively. As of each reporting date, management considers new evidence, both positive and negative, that could affect its view of the future realization of deferred tax assets. As of December 31, 2025 and 2024, management determined that there is sufficient positive evidence to conclude that it is more likely than not that the U.S. deferred taxes are realizable. A valuation allowance has been established against the net operating loss carryforwards which have been generated by the Company's foreign jurisdictions.</w:t>
      </w:r>
    </w:p>
    <w:p>
      <w:pPr>
        <w:spacing w:after="0" w:line="195" w:lineRule="exact"/>
        <w:rPr>
          <w:sz w:val="20"/>
          <w:szCs w:val="20"/>
          <w:color w:val="auto"/>
        </w:rPr>
      </w:pPr>
    </w:p>
    <w:p>
      <w:pPr>
        <w:ind w:right="200" w:firstLine="551"/>
        <w:spacing w:after="0" w:line="250" w:lineRule="auto"/>
        <w:rPr>
          <w:sz w:val="20"/>
          <w:szCs w:val="20"/>
          <w:color w:val="auto"/>
        </w:rPr>
      </w:pPr>
      <w:r>
        <w:rPr>
          <w:rFonts w:ascii="Times New Roman" w:cs="Times New Roman" w:eastAsia="Times New Roman" w:hAnsi="Times New Roman"/>
          <w:sz w:val="18"/>
          <w:szCs w:val="18"/>
          <w:color w:val="auto"/>
        </w:rPr>
        <w:t>As of December 31, 2025 and 2024, the Company had no U.S. state and federal net operating loss carryforwards. As of December 31, 2025 and 2024, the Company had net operating loss carryforwards related to foreign operations of $17,572 and $18,309, respectively. These net operating loss carryforwards have various lives remaining ranging from 10 years to indefinite carryforward periods.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income tax uncertainties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9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7"/>
        </w:trPr>
        <w:tc>
          <w:tcPr>
            <w:tcW w:w="9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 as of January 1, 2025</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50"/>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based on tax positions related to prior years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63"/>
        </w:trPr>
        <w:tc>
          <w:tcPr>
            <w:tcW w:w="9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36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as of December 31, 2025</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7"/>
        </w:trPr>
        <w:tc>
          <w:tcPr>
            <w:tcW w:w="9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ind w:right="160" w:firstLine="551"/>
        <w:spacing w:after="0" w:line="250" w:lineRule="auto"/>
        <w:rPr>
          <w:sz w:val="20"/>
          <w:szCs w:val="20"/>
          <w:color w:val="auto"/>
        </w:rPr>
      </w:pPr>
      <w:r>
        <w:rPr>
          <w:rFonts w:ascii="Times New Roman" w:cs="Times New Roman" w:eastAsia="Times New Roman" w:hAnsi="Times New Roman"/>
          <w:sz w:val="18"/>
          <w:szCs w:val="18"/>
          <w:color w:val="auto"/>
        </w:rPr>
        <w:t>As of December 31, 2025 and 2024, there were $89 and $106 liabilities for income tax uncertainties recorded in the Company’s consolidated balance sheets. The Company recognized interest and penalties related to income tax uncertainties of $31 and $37 in its consolidated statements of operations for years ended December 31, 2025 and 2024, respectively. The Company is subject to income tax examinations by the IRS and various state and local jurisdictions for the open tax years between December 31, 2022 and December 31, 2025.</w:t>
      </w:r>
    </w:p>
    <w:p>
      <w:pPr>
        <w:sectPr>
          <w:pgSz w:w="11900" w:h="16838" w:orient="portrait"/>
          <w:cols w:equalWidth="0" w:num="1">
            <w:col w:w="11120"/>
          </w:cols>
          <w:pgMar w:left="320" w:top="12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99"/>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934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34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paid for income taxes (net of refunds)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Pr>
          <w:p>
            <w:pPr>
              <w:spacing w:after="0"/>
              <w:rPr>
                <w:sz w:val="16"/>
                <w:szCs w:val="16"/>
                <w:color w:val="auto"/>
              </w:rPr>
            </w:pPr>
          </w:p>
        </w:tc>
      </w:tr>
      <w:tr>
        <w:trPr>
          <w:trHeight w:val="23"/>
        </w:trPr>
        <w:tc>
          <w:tcPr>
            <w:tcW w:w="7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6"/>
        </w:trPr>
        <w:tc>
          <w:tcPr>
            <w:tcW w:w="7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7"/>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20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10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6,200</w:t>
            </w:r>
          </w:p>
        </w:tc>
      </w:tr>
      <w:tr>
        <w:trPr>
          <w:trHeight w:val="25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r>
      <w:tr>
        <w:trPr>
          <w:trHeight w:val="282"/>
        </w:trPr>
        <w:tc>
          <w:tcPr>
            <w:tcW w:w="7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1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w:t>
            </w:r>
          </w:p>
        </w:tc>
      </w:tr>
      <w:tr>
        <w:trPr>
          <w:trHeight w:val="20"/>
        </w:trPr>
        <w:tc>
          <w:tcPr>
            <w:tcW w:w="73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r>
      <w:tr>
        <w:trPr>
          <w:trHeight w:val="237"/>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taxes paid (net of refunds)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w:t>
            </w:r>
          </w:p>
        </w:tc>
        <w:tc>
          <w:tcPr>
            <w:tcW w:w="2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03415"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03415" cy="16319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Income Taxes Paid (net of refunds) exceeded 5 percent of total income taxes paid (net of refunds) in the following jurisdictions: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63"/>
        </w:trPr>
        <w:tc>
          <w:tcPr>
            <w:tcW w:w="56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California</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22"/>
                <w:szCs w:val="22"/>
                <w:color w:val="auto"/>
              </w:rPr>
            </w:pPr>
          </w:p>
        </w:tc>
        <w:tc>
          <w:tcPr>
            <w:tcW w:w="4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50"/>
        </w:trPr>
        <w:tc>
          <w:tcPr>
            <w:tcW w:w="5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New Jersey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63"/>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32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r>
      <w:tr>
        <w:trPr>
          <w:trHeight w:val="250"/>
        </w:trPr>
        <w:tc>
          <w:tcPr>
            <w:tcW w:w="5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Singapore</w:t>
            </w:r>
          </w:p>
        </w:tc>
        <w:tc>
          <w:tcPr>
            <w:tcW w:w="23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4,010</w:t>
            </w:r>
          </w:p>
        </w:tc>
        <w:tc>
          <w:tcPr>
            <w:tcW w:w="7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r>
      <w:tr>
        <w:trPr>
          <w:trHeight w:val="263"/>
        </w:trPr>
        <w:tc>
          <w:tcPr>
            <w:tcW w:w="56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United Kingdom</w:t>
            </w:r>
          </w:p>
        </w:tc>
        <w:tc>
          <w:tcPr>
            <w:tcW w:w="232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8"/>
              </w:rPr>
              <w:t>1,214</w:t>
            </w:r>
          </w:p>
        </w:tc>
        <w:tc>
          <w:tcPr>
            <w:tcW w:w="76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400" w:type="dxa"/>
            <w:vAlign w:val="bottom"/>
            <w:shd w:val="clear" w:color="auto" w:fill="CFF0FC"/>
          </w:tcPr>
          <w:p>
            <w:pPr>
              <w:spacing w:after="0"/>
              <w:rPr>
                <w:sz w:val="22"/>
                <w:szCs w:val="22"/>
                <w:color w:val="auto"/>
              </w:rPr>
            </w:pPr>
          </w:p>
        </w:tc>
        <w:tc>
          <w:tcPr>
            <w:tcW w:w="8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*Jurisdiction below the threshold for period presented.</w:t>
            </w:r>
          </w:p>
        </w:tc>
        <w:tc>
          <w:tcPr>
            <w:tcW w:w="2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306" w:lineRule="exact"/>
        <w:rPr>
          <w:sz w:val="20"/>
          <w:szCs w:val="20"/>
          <w:color w:val="auto"/>
        </w:rPr>
      </w:pPr>
    </w:p>
    <w:p>
      <w:pPr>
        <w:jc w:val="both"/>
        <w:ind w:right="140" w:firstLine="551"/>
        <w:spacing w:after="0" w:line="258" w:lineRule="auto"/>
        <w:rPr>
          <w:sz w:val="20"/>
          <w:szCs w:val="20"/>
          <w:color w:val="auto"/>
        </w:rPr>
      </w:pPr>
      <w:r>
        <w:rPr>
          <w:rFonts w:ascii="Times New Roman" w:cs="Times New Roman" w:eastAsia="Times New Roman" w:hAnsi="Times New Roman"/>
          <w:sz w:val="18"/>
          <w:szCs w:val="18"/>
          <w:color w:val="auto"/>
        </w:rPr>
        <w:t>As of December 31, 2025 and 2024, income taxes on undistributed earnings of the Company’s foreign subsidiaries have not been provided for as the Company plans to indefinitely reinvest these amounts. The cumulative undistributed foreign earnings were not material as of December 31, 2025 and 2024.</w:t>
      </w:r>
    </w:p>
    <w:p>
      <w:pPr>
        <w:spacing w:after="0" w:line="169" w:lineRule="exact"/>
        <w:rPr>
          <w:sz w:val="20"/>
          <w:szCs w:val="20"/>
          <w:color w:val="auto"/>
        </w:rPr>
      </w:pPr>
    </w:p>
    <w:p>
      <w:pPr>
        <w:ind w:firstLine="551"/>
        <w:spacing w:after="0" w:line="258" w:lineRule="auto"/>
        <w:rPr>
          <w:sz w:val="20"/>
          <w:szCs w:val="20"/>
          <w:color w:val="auto"/>
        </w:rPr>
      </w:pPr>
      <w:r>
        <w:rPr>
          <w:rFonts w:ascii="Times New Roman" w:cs="Times New Roman" w:eastAsia="Times New Roman" w:hAnsi="Times New Roman"/>
          <w:sz w:val="18"/>
          <w:szCs w:val="18"/>
          <w:color w:val="auto"/>
        </w:rPr>
        <w:t>On July 4, 2025, the United States enacted tax reform legislation through the passage of H.R.1, One Big Beautiful Bill Act, which changes existing U.S. tax laws, including extending or making permanent certain provisions of the 2017 Tax Cuts and Jobs Act, and repealing certain clean energy initiatives, in addition to other changes. The impact of these changes was not material as of December 31, 2025.</w:t>
      </w:r>
    </w:p>
    <w:p>
      <w:pPr>
        <w:spacing w:after="0" w:line="3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EARNINGS PER SHARE</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Basic and diluted earnings per share is calculated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20" w:type="dxa"/>
            <w:vAlign w:val="bottom"/>
            <w:tcBorders>
              <w:bottom w:val="single" w:sz="8" w:color="CFF0FC"/>
            </w:tcBorders>
          </w:tcPr>
          <w:p>
            <w:pPr>
              <w:spacing w:after="0"/>
              <w:rPr>
                <w:sz w:val="2"/>
                <w:szCs w:val="2"/>
                <w:color w:val="auto"/>
              </w:rPr>
            </w:pPr>
          </w:p>
        </w:tc>
        <w:tc>
          <w:tcPr>
            <w:tcW w:w="840" w:type="dxa"/>
            <w:vAlign w:val="bottom"/>
            <w:tcBorders>
              <w:bottom w:val="single" w:sz="8" w:color="CFF0FC"/>
            </w:tcBorders>
          </w:tcPr>
          <w:p>
            <w:pPr>
              <w:spacing w:after="0"/>
              <w:rPr>
                <w:sz w:val="2"/>
                <w:szCs w:val="2"/>
                <w:color w:val="auto"/>
              </w:rPr>
            </w:pPr>
          </w:p>
        </w:tc>
        <w:tc>
          <w:tcPr>
            <w:tcW w:w="57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w w:val="98"/>
              </w:rPr>
              <w:t>Numerator:</w:t>
            </w:r>
          </w:p>
        </w:tc>
        <w:tc>
          <w:tcPr>
            <w:tcW w:w="57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The Vita Coco Company, Inc.</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71,320</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46,629</w:t>
            </w: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6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number of common shares used in earnings per share—basic</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56,913,810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56,729,370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56,427,890</w:t>
            </w: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65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Effect of conversion of stock options and RSU's</w:t>
            </w:r>
          </w:p>
        </w:tc>
        <w:tc>
          <w:tcPr>
            <w:tcW w:w="3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3,053,881</w:t>
            </w:r>
          </w:p>
        </w:tc>
        <w:tc>
          <w:tcPr>
            <w:tcW w:w="12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2,557,192</w:t>
            </w:r>
          </w:p>
        </w:tc>
        <w:tc>
          <w:tcPr>
            <w:tcW w:w="10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2,319,448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number of common shares used in earnings per share—diluted</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59,967,691</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59,286,562</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58,747,338</w:t>
            </w:r>
          </w:p>
        </w:tc>
        <w:tc>
          <w:tcPr>
            <w:tcW w:w="0" w:type="dxa"/>
            <w:vAlign w:val="bottom"/>
          </w:tcPr>
          <w:p>
            <w:pPr>
              <w:spacing w:after="0"/>
              <w:rPr>
                <w:sz w:val="1"/>
                <w:szCs w:val="1"/>
                <w:color w:val="auto"/>
              </w:rPr>
            </w:pPr>
          </w:p>
        </w:tc>
      </w:tr>
      <w:tr>
        <w:trPr>
          <w:trHeight w:val="21"/>
        </w:trPr>
        <w:tc>
          <w:tcPr>
            <w:tcW w:w="20" w:type="dxa"/>
            <w:vAlign w:val="bottom"/>
            <w:tcBorders>
              <w:bottom w:val="single" w:sz="8" w:color="CFF0FC"/>
            </w:tcBorders>
          </w:tcPr>
          <w:p>
            <w:pPr>
              <w:spacing w:after="0" w:line="20" w:lineRule="exact"/>
              <w:rPr>
                <w:sz w:val="1"/>
                <w:szCs w:val="1"/>
                <w:color w:val="auto"/>
              </w:rPr>
            </w:pPr>
          </w:p>
        </w:tc>
        <w:tc>
          <w:tcPr>
            <w:tcW w:w="840" w:type="dxa"/>
            <w:vAlign w:val="bottom"/>
            <w:tcBorders>
              <w:bottom w:val="single" w:sz="8" w:color="CFF0FC"/>
            </w:tcBorders>
          </w:tcPr>
          <w:p>
            <w:pPr>
              <w:spacing w:after="0" w:line="20" w:lineRule="exact"/>
              <w:rPr>
                <w:sz w:val="1"/>
                <w:szCs w:val="1"/>
                <w:color w:val="auto"/>
              </w:rPr>
            </w:pPr>
          </w:p>
        </w:tc>
        <w:tc>
          <w:tcPr>
            <w:tcW w:w="572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CFF0FC"/>
            </w:tcBorders>
            <w:shd w:val="clear" w:color="auto" w:fill="CFF0FC"/>
          </w:tcPr>
          <w:p>
            <w:pPr>
              <w:spacing w:after="0"/>
              <w:rPr>
                <w:sz w:val="23"/>
                <w:szCs w:val="23"/>
                <w:color w:val="auto"/>
              </w:rPr>
            </w:pPr>
          </w:p>
        </w:tc>
        <w:tc>
          <w:tcPr>
            <w:tcW w:w="65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share—basic</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per share—diluted</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6560" w:type="dxa"/>
            <w:vAlign w:val="bottom"/>
            <w:gridSpan w:val="2"/>
            <w:vMerge w:val="continue"/>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440" w:firstLine="551"/>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number of common shares outstanding, as they would be anti-dilutive: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80" w:type="dxa"/>
            <w:vAlign w:val="bottom"/>
          </w:tcPr>
          <w:p>
            <w:pPr>
              <w:spacing w:after="0"/>
              <w:rPr>
                <w:sz w:val="16"/>
                <w:szCs w:val="16"/>
                <w:color w:val="auto"/>
              </w:rPr>
            </w:pPr>
          </w:p>
        </w:tc>
      </w:tr>
      <w:tr>
        <w:trPr>
          <w:trHeight w:val="23"/>
        </w:trPr>
        <w:tc>
          <w:tcPr>
            <w:tcW w:w="65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6"/>
        </w:trPr>
        <w:tc>
          <w:tcPr>
            <w:tcW w:w="658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58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3"/>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and restricted stock awards</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188,440</w:t>
            </w:r>
          </w:p>
        </w:tc>
        <w:tc>
          <w:tcPr>
            <w:tcW w:w="1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210,933</w:t>
            </w:r>
          </w:p>
        </w:tc>
        <w:tc>
          <w:tcPr>
            <w:tcW w:w="10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310,953</w:t>
            </w:r>
          </w:p>
        </w:tc>
      </w:tr>
      <w:tr>
        <w:trPr>
          <w:trHeight w:val="20"/>
        </w:trPr>
        <w:tc>
          <w:tcPr>
            <w:tcW w:w="658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EMPLOYEE BENEFIT PLAN</w:t>
      </w:r>
    </w:p>
    <w:p>
      <w:pPr>
        <w:spacing w:after="0" w:line="108" w:lineRule="exact"/>
        <w:rPr>
          <w:sz w:val="20"/>
          <w:szCs w:val="20"/>
          <w:color w:val="auto"/>
        </w:rPr>
      </w:pPr>
    </w:p>
    <w:p>
      <w:pPr>
        <w:ind w:right="20" w:firstLine="551"/>
        <w:spacing w:after="0" w:line="250" w:lineRule="auto"/>
        <w:rPr>
          <w:sz w:val="20"/>
          <w:szCs w:val="20"/>
          <w:color w:val="auto"/>
        </w:rPr>
      </w:pPr>
      <w:r>
        <w:rPr>
          <w:rFonts w:ascii="Times New Roman" w:cs="Times New Roman" w:eastAsia="Times New Roman" w:hAnsi="Times New Roman"/>
          <w:sz w:val="18"/>
          <w:szCs w:val="18"/>
          <w:color w:val="auto"/>
        </w:rPr>
        <w:t>Employees of the Company may participate in a defined contribution plan which qualifies under Section 401(k) of the Internal Revenue Code. Participating employees may contribute into a traditional plan with pretax salary or into a Roth plan with after tax salary up to statutory limits. The Company matches contributions up to 3% of each employee’s earnings, which vest over two years. Matching contributions were $1,082, $845 and $616 for the years ended December 31, 2025, 2024, and 2023, respectively.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SEGMENT REPORTING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two operating and reportable segments:</w:t>
      </w:r>
    </w:p>
    <w:p>
      <w:pPr>
        <w:spacing w:after="0" w:line="104" w:lineRule="exact"/>
        <w:rPr>
          <w:sz w:val="20"/>
          <w:szCs w:val="20"/>
          <w:color w:val="auto"/>
        </w:rPr>
      </w:pPr>
    </w:p>
    <w:p>
      <w:pPr>
        <w:ind w:left="820" w:right="120" w:hanging="245"/>
        <w:spacing w:after="0" w:line="250" w:lineRule="auto"/>
        <w:tabs>
          <w:tab w:leader="none" w:pos="8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Americas—The Americas segment is comprised primarily of the U.S. and Canada and derives its revenues from the marketing and distribution of various coconut water and non-coconut water products (e.g., coconut oil and milk). The Company’s sustainably packaged water (</w:t>
      </w:r>
      <w:r>
        <w:rPr>
          <w:rFonts w:ascii="Times New Roman" w:cs="Times New Roman" w:eastAsia="Times New Roman" w:hAnsi="Times New Roman"/>
          <w:sz w:val="18"/>
          <w:szCs w:val="18"/>
          <w:i w:val="1"/>
          <w:iCs w:val="1"/>
          <w:color w:val="auto"/>
        </w:rPr>
        <w:t>Ever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Ever</w:t>
      </w:r>
      <w:r>
        <w:rPr>
          <w:rFonts w:ascii="Times New Roman" w:cs="Times New Roman" w:eastAsia="Times New Roman" w:hAnsi="Times New Roman"/>
          <w:sz w:val="18"/>
          <w:szCs w:val="18"/>
          <w:color w:val="auto"/>
        </w:rPr>
        <w:t>) and protein infused fitness drink (</w:t>
      </w:r>
      <w:r>
        <w:rPr>
          <w:rFonts w:ascii="Times New Roman" w:cs="Times New Roman" w:eastAsia="Times New Roman" w:hAnsi="Times New Roman"/>
          <w:sz w:val="18"/>
          <w:szCs w:val="18"/>
          <w:i w:val="1"/>
          <w:iCs w:val="1"/>
          <w:color w:val="auto"/>
        </w:rPr>
        <w:t>PWR LIFT</w:t>
      </w:r>
      <w:r>
        <w:rPr>
          <w:rFonts w:ascii="Times New Roman" w:cs="Times New Roman" w:eastAsia="Times New Roman" w:hAnsi="Times New Roman"/>
          <w:sz w:val="18"/>
          <w:szCs w:val="18"/>
          <w:color w:val="auto"/>
        </w:rPr>
        <w:t>), guayusa leaf products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are or were, in the case of</w:t>
      </w:r>
      <w:r>
        <w:rPr>
          <w:rFonts w:ascii="Times New Roman" w:cs="Times New Roman" w:eastAsia="Times New Roman" w:hAnsi="Times New Roman"/>
          <w:sz w:val="18"/>
          <w:szCs w:val="18"/>
          <w:i w:val="1"/>
          <w:iCs w:val="1"/>
          <w:color w:val="auto"/>
        </w:rPr>
        <w:t xml:space="preserve"> Runa</w:t>
      </w:r>
      <w:r>
        <w:rPr>
          <w:rFonts w:ascii="Times New Roman" w:cs="Times New Roman" w:eastAsia="Times New Roman" w:hAnsi="Times New Roman"/>
          <w:sz w:val="18"/>
          <w:szCs w:val="18"/>
          <w:color w:val="auto"/>
        </w:rPr>
        <w:t>, marketed only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Americas segment. As of December 2023, the Company ceased offering the </w:t>
      </w:r>
      <w:r>
        <w:rPr>
          <w:rFonts w:ascii="Times New Roman" w:cs="Times New Roman" w:eastAsia="Times New Roman" w:hAnsi="Times New Roman"/>
          <w:sz w:val="18"/>
          <w:szCs w:val="18"/>
          <w:i w:val="1"/>
          <w:iCs w:val="1"/>
          <w:color w:val="auto"/>
        </w:rPr>
        <w:t>Runa</w:t>
      </w:r>
      <w:r>
        <w:rPr>
          <w:rFonts w:ascii="Times New Roman" w:cs="Times New Roman" w:eastAsia="Times New Roman" w:hAnsi="Times New Roman"/>
          <w:sz w:val="18"/>
          <w:szCs w:val="18"/>
          <w:color w:val="auto"/>
        </w:rPr>
        <w:t xml:space="preserve"> brand.</w:t>
      </w:r>
    </w:p>
    <w:p>
      <w:pPr>
        <w:spacing w:after="0" w:line="69" w:lineRule="exact"/>
        <w:rPr>
          <w:rFonts w:ascii="Times New Roman" w:cs="Times New Roman" w:eastAsia="Times New Roman" w:hAnsi="Times New Roman"/>
          <w:sz w:val="18"/>
          <w:szCs w:val="18"/>
          <w:color w:val="auto"/>
        </w:rPr>
      </w:pPr>
    </w:p>
    <w:p>
      <w:pPr>
        <w:ind w:left="820" w:right="80" w:hanging="245"/>
        <w:spacing w:after="0" w:line="258" w:lineRule="auto"/>
        <w:tabs>
          <w:tab w:leader="none" w:pos="8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International—The International segment is comprised primarily of Europe, Middle East, and Asia Pacific, which includes the Company’s procurement arm and derives its revenues from the marketing and distribution of various coconut water and non-coconut water products, which in some cases may be shipped directly to customers outside of Asia Pacific regions.</w:t>
      </w:r>
    </w:p>
    <w:p>
      <w:pPr>
        <w:spacing w:after="0" w:line="169" w:lineRule="exact"/>
        <w:rPr>
          <w:sz w:val="20"/>
          <w:szCs w:val="20"/>
          <w:color w:val="auto"/>
        </w:rPr>
      </w:pPr>
    </w:p>
    <w:p>
      <w:pPr>
        <w:ind w:right="340" w:firstLine="551"/>
        <w:spacing w:after="0" w:line="250" w:lineRule="auto"/>
        <w:rPr>
          <w:sz w:val="20"/>
          <w:szCs w:val="20"/>
          <w:color w:val="auto"/>
        </w:rPr>
      </w:pPr>
      <w:r>
        <w:rPr>
          <w:rFonts w:ascii="Times New Roman" w:cs="Times New Roman" w:eastAsia="Times New Roman" w:hAnsi="Times New Roman"/>
          <w:sz w:val="18"/>
          <w:szCs w:val="18"/>
          <w:color w:val="auto"/>
        </w:rPr>
        <w:t>The Company’s Chief Executive Officer is the chief operating decision maker ("CODM") and manages and allocates resources between the Americas and International segments. Consistent with this decision-making process, the CODM uses financial information disaggregated between the Americas and International segment for purposes of evaluating performance, forecasting future period financial results, allocating resources and setting incentive targets. The CODM evaluates segment business performance based primarily on net sales and gross profit. The CODM considers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budget-to-actual variances on a monthly basis for both profit measures when making decisions about allocating capital and personnel to the segments and also uses segment gross profit for evaluating product pricing.</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intercompany transactions between the segments have been eliminated.</w:t>
      </w:r>
    </w:p>
    <w:p>
      <w:pPr>
        <w:spacing w:after="0" w:line="2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Information about the Company’s operations by operating segment as of and for the years ended December 31, 2025, 2024, and 2023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20" w:type="dxa"/>
            <w:vAlign w:val="bottom"/>
            <w:tcBorders>
              <w:bottom w:val="single" w:sz="8" w:color="CFF0FC"/>
            </w:tcBorders>
          </w:tcPr>
          <w:p>
            <w:pPr>
              <w:spacing w:after="0"/>
              <w:rPr>
                <w:sz w:val="2"/>
                <w:szCs w:val="2"/>
                <w:color w:val="auto"/>
              </w:rPr>
            </w:pPr>
          </w:p>
        </w:tc>
        <w:tc>
          <w:tcPr>
            <w:tcW w:w="880" w:type="dxa"/>
            <w:vAlign w:val="bottom"/>
            <w:tcBorders>
              <w:bottom w:val="single" w:sz="8" w:color="CFF0FC"/>
            </w:tcBorders>
          </w:tcPr>
          <w:p>
            <w:pPr>
              <w:spacing w:after="0"/>
              <w:rPr>
                <w:sz w:val="2"/>
                <w:szCs w:val="2"/>
                <w:color w:val="auto"/>
              </w:rPr>
            </w:pPr>
          </w:p>
        </w:tc>
        <w:tc>
          <w:tcPr>
            <w:tcW w:w="560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FF0FC"/>
          </w:tcPr>
          <w:p>
            <w:pPr>
              <w:spacing w:after="0"/>
              <w:rPr>
                <w:sz w:val="21"/>
                <w:szCs w:val="21"/>
                <w:color w:val="auto"/>
              </w:rPr>
            </w:pPr>
          </w:p>
        </w:tc>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508,773</w:t>
            </w:r>
          </w:p>
        </w:tc>
        <w:tc>
          <w:tcPr>
            <w:tcW w:w="80" w:type="dxa"/>
            <w:vAlign w:val="bottom"/>
            <w:shd w:val="clear" w:color="auto" w:fill="CFF0FC"/>
          </w:tcPr>
          <w:p>
            <w:pPr>
              <w:spacing w:after="0"/>
              <w:rPr>
                <w:sz w:val="21"/>
                <w:szCs w:val="21"/>
                <w:color w:val="auto"/>
              </w:rPr>
            </w:pPr>
          </w:p>
        </w:tc>
        <w:tc>
          <w:tcPr>
            <w:tcW w:w="2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101,007</w:t>
            </w:r>
          </w:p>
        </w:tc>
        <w:tc>
          <w:tcPr>
            <w:tcW w:w="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609,780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321,464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65,721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387,185</w:t>
            </w: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187,309</w:t>
            </w:r>
          </w:p>
        </w:tc>
        <w:tc>
          <w:tcPr>
            <w:tcW w:w="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35,286</w:t>
            </w:r>
          </w:p>
        </w:tc>
        <w:tc>
          <w:tcPr>
            <w:tcW w:w="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segment assets</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302,185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158,973</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461,158</w:t>
            </w:r>
          </w:p>
        </w:tc>
        <w:tc>
          <w:tcPr>
            <w:tcW w:w="0" w:type="dxa"/>
            <w:vAlign w:val="bottom"/>
          </w:tcPr>
          <w:p>
            <w:pPr>
              <w:spacing w:after="0"/>
              <w:rPr>
                <w:sz w:val="1"/>
                <w:szCs w:val="1"/>
                <w:color w:val="auto"/>
              </w:rPr>
            </w:pPr>
          </w:p>
        </w:tc>
      </w:tr>
      <w:tr>
        <w:trPr>
          <w:trHeight w:val="570"/>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20" w:type="dxa"/>
            <w:vAlign w:val="bottom"/>
            <w:tcBorders>
              <w:bottom w:val="single" w:sz="8" w:color="CFF0FC"/>
            </w:tcBorders>
          </w:tcPr>
          <w:p>
            <w:pPr>
              <w:spacing w:after="0"/>
              <w:rPr>
                <w:sz w:val="2"/>
                <w:szCs w:val="2"/>
                <w:color w:val="auto"/>
              </w:rPr>
            </w:pPr>
          </w:p>
        </w:tc>
        <w:tc>
          <w:tcPr>
            <w:tcW w:w="880" w:type="dxa"/>
            <w:vAlign w:val="bottom"/>
            <w:tcBorders>
              <w:bottom w:val="single" w:sz="8" w:color="CFF0FC"/>
            </w:tcBorders>
          </w:tcPr>
          <w:p>
            <w:pPr>
              <w:spacing w:after="0"/>
              <w:rPr>
                <w:sz w:val="2"/>
                <w:szCs w:val="2"/>
                <w:color w:val="auto"/>
              </w:rPr>
            </w:pPr>
          </w:p>
        </w:tc>
        <w:tc>
          <w:tcPr>
            <w:tcW w:w="560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FF0FC"/>
          </w:tcPr>
          <w:p>
            <w:pPr>
              <w:spacing w:after="0"/>
              <w:rPr>
                <w:sz w:val="21"/>
                <w:szCs w:val="21"/>
                <w:color w:val="auto"/>
              </w:rPr>
            </w:pPr>
          </w:p>
        </w:tc>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442,343</w:t>
            </w:r>
          </w:p>
        </w:tc>
        <w:tc>
          <w:tcPr>
            <w:tcW w:w="80" w:type="dxa"/>
            <w:vAlign w:val="bottom"/>
            <w:shd w:val="clear" w:color="auto" w:fill="CFF0FC"/>
          </w:tcPr>
          <w:p>
            <w:pPr>
              <w:spacing w:after="0"/>
              <w:rPr>
                <w:sz w:val="21"/>
                <w:szCs w:val="21"/>
                <w:color w:val="auto"/>
              </w:rPr>
            </w:pPr>
          </w:p>
        </w:tc>
        <w:tc>
          <w:tcPr>
            <w:tcW w:w="2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73,670</w:t>
            </w:r>
          </w:p>
        </w:tc>
        <w:tc>
          <w:tcPr>
            <w:tcW w:w="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516,013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268,787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48,443</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317,230</w:t>
            </w: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173,556</w:t>
            </w:r>
          </w:p>
        </w:tc>
        <w:tc>
          <w:tcPr>
            <w:tcW w:w="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25,227</w:t>
            </w:r>
          </w:p>
        </w:tc>
        <w:tc>
          <w:tcPr>
            <w:tcW w:w="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198,783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segment assets</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241,894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120,487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362,381</w:t>
            </w: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430,245</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63,367</w:t>
            </w:r>
          </w:p>
        </w:tc>
        <w:tc>
          <w:tcPr>
            <w:tcW w:w="4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493,612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267,983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44,900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312,883</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162,262</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18,467</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segment assets</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209,984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75,698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285,682</w:t>
            </w:r>
          </w:p>
        </w:tc>
        <w:tc>
          <w:tcPr>
            <w:tcW w:w="0" w:type="dxa"/>
            <w:vAlign w:val="bottom"/>
          </w:tcPr>
          <w:p>
            <w:pPr>
              <w:spacing w:after="0"/>
              <w:rPr>
                <w:sz w:val="1"/>
                <w:szCs w:val="1"/>
                <w:color w:val="auto"/>
              </w:rPr>
            </w:pPr>
          </w:p>
        </w:tc>
      </w:tr>
      <w:tr>
        <w:trPr>
          <w:trHeight w:val="58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Reconciliation</w:t>
            </w: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ind w:right="515"/>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center"/>
              <w:ind w:right="193"/>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FF0FC"/>
            </w:tcBorders>
          </w:tcPr>
          <w:p>
            <w:pPr>
              <w:spacing w:after="0"/>
              <w:rPr>
                <w:sz w:val="2"/>
                <w:szCs w:val="2"/>
                <w:color w:val="auto"/>
              </w:rPr>
            </w:pPr>
          </w:p>
        </w:tc>
        <w:tc>
          <w:tcPr>
            <w:tcW w:w="880" w:type="dxa"/>
            <w:vAlign w:val="bottom"/>
            <w:tcBorders>
              <w:top w:val="single" w:sz="8" w:color="auto"/>
              <w:bottom w:val="single" w:sz="8" w:color="CFF0FC"/>
            </w:tcBorders>
          </w:tcPr>
          <w:p>
            <w:pPr>
              <w:spacing w:after="0"/>
              <w:rPr>
                <w:sz w:val="2"/>
                <w:szCs w:val="2"/>
                <w:color w:val="auto"/>
              </w:rPr>
            </w:pPr>
          </w:p>
        </w:tc>
        <w:tc>
          <w:tcPr>
            <w:tcW w:w="5600" w:type="dxa"/>
            <w:vAlign w:val="bottom"/>
            <w:tcBorders>
              <w:bottom w:val="single" w:sz="8" w:color="CFF0FC"/>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FF0FC"/>
          </w:tcPr>
          <w:p>
            <w:pPr>
              <w:spacing w:after="0"/>
              <w:rPr>
                <w:sz w:val="21"/>
                <w:szCs w:val="21"/>
                <w:color w:val="auto"/>
              </w:rPr>
            </w:pPr>
          </w:p>
        </w:tc>
        <w:tc>
          <w:tcPr>
            <w:tcW w:w="6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222,595</w:t>
            </w:r>
          </w:p>
        </w:tc>
        <w:tc>
          <w:tcPr>
            <w:tcW w:w="80" w:type="dxa"/>
            <w:vAlign w:val="bottom"/>
            <w:shd w:val="clear" w:color="auto" w:fill="CFF0FC"/>
          </w:tcPr>
          <w:p>
            <w:pPr>
              <w:spacing w:after="0"/>
              <w:rPr>
                <w:sz w:val="21"/>
                <w:szCs w:val="21"/>
                <w:color w:val="auto"/>
              </w:rPr>
            </w:pPr>
          </w:p>
        </w:tc>
        <w:tc>
          <w:tcPr>
            <w:tcW w:w="2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198,783</w:t>
            </w:r>
          </w:p>
        </w:tc>
        <w:tc>
          <w:tcPr>
            <w:tcW w:w="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180,729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Less:</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64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0" w:type="dxa"/>
            <w:vAlign w:val="bottom"/>
            <w:tcBorders>
              <w:bottom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140,063</w:t>
            </w:r>
          </w:p>
        </w:tc>
        <w:tc>
          <w:tcPr>
            <w:tcW w:w="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6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124,963</w:t>
            </w:r>
          </w:p>
        </w:tc>
        <w:tc>
          <w:tcPr>
            <w:tcW w:w="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Income from operations</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82,532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73,820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56,493</w:t>
            </w: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64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Less:</w:t>
            </w:r>
          </w:p>
        </w:tc>
        <w:tc>
          <w:tcPr>
            <w:tcW w:w="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Unrealized gain/(loss) on derivative instruments</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4,737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64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Foreign currency loss</w:t>
            </w:r>
          </w:p>
        </w:tc>
        <w:tc>
          <w:tcPr>
            <w:tcW w:w="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(1,037)</w:t>
            </w:r>
          </w:p>
        </w:tc>
        <w:tc>
          <w:tcPr>
            <w:tcW w:w="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6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Interest income, net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6,548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0" w:type="dxa"/>
            <w:vAlign w:val="bottom"/>
          </w:tcPr>
          <w:p>
            <w:pPr>
              <w:spacing w:after="0"/>
              <w:rPr>
                <w:sz w:val="1"/>
                <w:szCs w:val="1"/>
                <w:color w:val="auto"/>
              </w:rPr>
            </w:pPr>
          </w:p>
        </w:tc>
      </w:tr>
      <w:tr>
        <w:trPr>
          <w:trHeight w:val="263"/>
        </w:trPr>
        <w:tc>
          <w:tcPr>
            <w:tcW w:w="20" w:type="dxa"/>
            <w:vAlign w:val="bottom"/>
            <w:shd w:val="clear" w:color="auto" w:fill="CFF0FC"/>
          </w:tcPr>
          <w:p>
            <w:pPr>
              <w:spacing w:after="0"/>
              <w:rPr>
                <w:sz w:val="22"/>
                <w:szCs w:val="22"/>
                <w:color w:val="auto"/>
              </w:rPr>
            </w:pPr>
          </w:p>
        </w:tc>
        <w:tc>
          <w:tcPr>
            <w:tcW w:w="648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Borders>
              <w:bottom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0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3"/>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92,971</w:t>
            </w:r>
          </w:p>
        </w:tc>
        <w:tc>
          <w:tcPr>
            <w:tcW w:w="80" w:type="dxa"/>
            <w:vAlign w:val="bottom"/>
          </w:tcPr>
          <w:p>
            <w:pPr>
              <w:spacing w:after="0"/>
              <w:rPr>
                <w:sz w:val="21"/>
                <w:szCs w:val="21"/>
                <w:color w:val="auto"/>
              </w:rPr>
            </w:pPr>
          </w:p>
        </w:tc>
        <w:tc>
          <w:tcPr>
            <w:tcW w:w="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70,788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Data:</w:t>
      </w:r>
    </w:p>
    <w:p>
      <w:pPr>
        <w:spacing w:after="0" w:line="121" w:lineRule="exact"/>
        <w:rPr>
          <w:sz w:val="20"/>
          <w:szCs w:val="20"/>
          <w:color w:val="auto"/>
        </w:rPr>
      </w:pPr>
    </w:p>
    <w:p>
      <w:pPr>
        <w:ind w:right="380" w:firstLine="551"/>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related to the Company’s net revenues by country, which is presented on the basis of the location that revenue from customers is recorded: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360" w:type="dxa"/>
            <w:vAlign w:val="bottom"/>
          </w:tcPr>
          <w:p>
            <w:pPr>
              <w:spacing w:after="0"/>
              <w:rPr>
                <w:sz w:val="13"/>
                <w:szCs w:val="13"/>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4"/>
        </w:trPr>
        <w:tc>
          <w:tcPr>
            <w:tcW w:w="20" w:type="dxa"/>
            <w:vAlign w:val="bottom"/>
            <w:tcBorders>
              <w:bottom w:val="single" w:sz="8" w:color="CFF0FC"/>
            </w:tcBorders>
          </w:tcPr>
          <w:p>
            <w:pPr>
              <w:spacing w:after="0"/>
              <w:rPr>
                <w:sz w:val="2"/>
                <w:szCs w:val="2"/>
                <w:color w:val="auto"/>
              </w:rPr>
            </w:pPr>
          </w:p>
        </w:tc>
        <w:tc>
          <w:tcPr>
            <w:tcW w:w="1200" w:type="dxa"/>
            <w:vAlign w:val="bottom"/>
            <w:tcBorders>
              <w:top w:val="single" w:sz="8" w:color="auto"/>
              <w:bottom w:val="single" w:sz="8" w:color="CFF0FC"/>
            </w:tcBorders>
          </w:tcPr>
          <w:p>
            <w:pPr>
              <w:spacing w:after="0"/>
              <w:rPr>
                <w:sz w:val="2"/>
                <w:szCs w:val="2"/>
                <w:color w:val="auto"/>
              </w:rPr>
            </w:pPr>
          </w:p>
        </w:tc>
        <w:tc>
          <w:tcPr>
            <w:tcW w:w="1060" w:type="dxa"/>
            <w:vAlign w:val="bottom"/>
            <w:tcBorders>
              <w:top w:val="single" w:sz="8" w:color="auto"/>
              <w:bottom w:val="single" w:sz="8" w:color="CFF0FC"/>
            </w:tcBorders>
          </w:tcPr>
          <w:p>
            <w:pPr>
              <w:spacing w:after="0"/>
              <w:rPr>
                <w:sz w:val="2"/>
                <w:szCs w:val="2"/>
                <w:color w:val="auto"/>
              </w:rPr>
            </w:pPr>
          </w:p>
        </w:tc>
        <w:tc>
          <w:tcPr>
            <w:tcW w:w="416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FF0FC"/>
          </w:tcPr>
          <w:p>
            <w:pPr>
              <w:spacing w:after="0"/>
              <w:rPr>
                <w:sz w:val="21"/>
                <w:szCs w:val="21"/>
                <w:color w:val="auto"/>
              </w:rPr>
            </w:pPr>
          </w:p>
        </w:tc>
        <w:tc>
          <w:tcPr>
            <w:tcW w:w="64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471,497</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414,350</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401,974</w:t>
            </w:r>
          </w:p>
        </w:tc>
      </w:tr>
      <w:tr>
        <w:trPr>
          <w:trHeight w:val="257"/>
        </w:trPr>
        <w:tc>
          <w:tcPr>
            <w:tcW w:w="20" w:type="dxa"/>
            <w:vAlign w:val="bottom"/>
          </w:tcPr>
          <w:p>
            <w:pPr>
              <w:spacing w:after="0"/>
              <w:rPr>
                <w:sz w:val="22"/>
                <w:szCs w:val="22"/>
                <w:color w:val="auto"/>
              </w:rPr>
            </w:pPr>
          </w:p>
        </w:tc>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66,743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53,276</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44,330</w:t>
            </w:r>
          </w:p>
        </w:tc>
      </w:tr>
      <w:tr>
        <w:trPr>
          <w:trHeight w:val="257"/>
        </w:trPr>
        <w:tc>
          <w:tcPr>
            <w:tcW w:w="20" w:type="dxa"/>
            <w:vAlign w:val="bottom"/>
            <w:shd w:val="clear" w:color="auto" w:fill="CFF0FC"/>
          </w:tcPr>
          <w:p>
            <w:pPr>
              <w:spacing w:after="0"/>
              <w:rPr>
                <w:sz w:val="22"/>
                <w:szCs w:val="22"/>
                <w:color w:val="auto"/>
              </w:rPr>
            </w:pPr>
          </w:p>
        </w:tc>
        <w:tc>
          <w:tcPr>
            <w:tcW w:w="64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 countries(1)</w:t>
            </w:r>
          </w:p>
        </w:tc>
        <w:tc>
          <w:tcPr>
            <w:tcW w:w="36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71,540</w:t>
            </w:r>
          </w:p>
        </w:tc>
        <w:tc>
          <w:tcPr>
            <w:tcW w:w="100" w:type="dxa"/>
            <w:vAlign w:val="bottom"/>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48,387</w:t>
            </w:r>
          </w:p>
        </w:tc>
        <w:tc>
          <w:tcPr>
            <w:tcW w:w="16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47,308</w:t>
            </w:r>
          </w:p>
        </w:tc>
      </w:tr>
      <w:tr>
        <w:trPr>
          <w:trHeight w:val="243"/>
        </w:trPr>
        <w:tc>
          <w:tcPr>
            <w:tcW w:w="20" w:type="dxa"/>
            <w:vAlign w:val="bottom"/>
          </w:tcPr>
          <w:p>
            <w:pPr>
              <w:spacing w:after="0"/>
              <w:rPr>
                <w:sz w:val="21"/>
                <w:szCs w:val="21"/>
                <w:color w:val="auto"/>
              </w:rPr>
            </w:pPr>
          </w:p>
        </w:tc>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609,780</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516,013</w:t>
            </w:r>
          </w:p>
        </w:tc>
        <w:tc>
          <w:tcPr>
            <w:tcW w:w="16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493,612</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76" w:lineRule="exact"/>
        <w:rPr>
          <w:sz w:val="20"/>
          <w:szCs w:val="20"/>
          <w:color w:val="auto"/>
        </w:rPr>
      </w:pPr>
    </w:p>
    <w:p>
      <w:pPr>
        <w:ind w:left="560" w:right="2280" w:hanging="552"/>
        <w:spacing w:after="0" w:line="532" w:lineRule="auto"/>
        <w:tabs>
          <w:tab w:leader="none" w:pos="585" w:val="left"/>
        </w:tabs>
        <w:numPr>
          <w:ilvl w:val="0"/>
          <w:numId w:val="32"/>
        </w:numPr>
        <w:rPr>
          <w:rFonts w:ascii="Arial" w:cs="Arial" w:eastAsia="Arial" w:hAnsi="Arial"/>
          <w:sz w:val="16"/>
          <w:szCs w:val="16"/>
          <w:color w:val="auto"/>
        </w:rPr>
      </w:pPr>
      <w:r>
        <w:rPr>
          <w:rFonts w:ascii="Times New Roman" w:cs="Times New Roman" w:eastAsia="Times New Roman" w:hAnsi="Times New Roman"/>
          <w:sz w:val="18"/>
          <w:szCs w:val="18"/>
          <w:color w:val="auto"/>
        </w:rPr>
        <w:t>No individual country is greater than 10% of total net sales for the years ended December 31, 2025, 2024, and 2023. The following table provides information related to the Company’s property and equipment, net by country: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2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6"/>
                <w:szCs w:val="16"/>
                <w:color w:val="auto"/>
              </w:rPr>
            </w:pPr>
          </w:p>
        </w:tc>
        <w:tc>
          <w:tcPr>
            <w:tcW w:w="13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1220" w:type="dxa"/>
            <w:vAlign w:val="bottom"/>
            <w:tcBorders>
              <w:bottom w:val="single" w:sz="8" w:color="CFF0FC"/>
            </w:tcBorders>
          </w:tcPr>
          <w:p>
            <w:pPr>
              <w:spacing w:after="0"/>
              <w:rPr>
                <w:sz w:val="2"/>
                <w:szCs w:val="2"/>
                <w:color w:val="auto"/>
              </w:rPr>
            </w:pPr>
          </w:p>
        </w:tc>
        <w:tc>
          <w:tcPr>
            <w:tcW w:w="694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5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63"/>
        </w:trPr>
        <w:tc>
          <w:tcPr>
            <w:tcW w:w="8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4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5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other countries(1)</w:t>
            </w:r>
          </w:p>
        </w:tc>
        <w:tc>
          <w:tcPr>
            <w:tcW w:w="14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75"/>
        </w:trPr>
        <w:tc>
          <w:tcPr>
            <w:tcW w:w="8160" w:type="dxa"/>
            <w:vAlign w:val="bottom"/>
            <w:tcBorders>
              <w:top w:val="single" w:sz="8" w:color="CFF0FC"/>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9,298</w:t>
            </w:r>
          </w:p>
        </w:tc>
        <w:tc>
          <w:tcPr>
            <w:tcW w:w="120" w:type="dxa"/>
            <w:vAlign w:val="bottom"/>
            <w:tcBorders>
              <w:top w:val="single" w:sz="8" w:color="CFF0FC"/>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2,351</w:t>
            </w:r>
          </w:p>
        </w:tc>
      </w:tr>
      <w:tr>
        <w:trPr>
          <w:trHeight w:val="20"/>
        </w:trPr>
        <w:tc>
          <w:tcPr>
            <w:tcW w:w="1220" w:type="dxa"/>
            <w:vAlign w:val="bottom"/>
            <w:tcBorders>
              <w:top w:val="single" w:sz="8" w:color="CFF0FC"/>
            </w:tcBorders>
          </w:tcPr>
          <w:p>
            <w:pPr>
              <w:spacing w:after="0" w:line="20" w:lineRule="exact"/>
              <w:rPr>
                <w:sz w:val="1"/>
                <w:szCs w:val="1"/>
                <w:color w:val="auto"/>
              </w:rPr>
            </w:pPr>
          </w:p>
        </w:tc>
        <w:tc>
          <w:tcPr>
            <w:tcW w:w="69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r>
      <w:tr>
        <w:trPr>
          <w:trHeight w:val="169"/>
        </w:trPr>
        <w:tc>
          <w:tcPr>
            <w:tcW w:w="1220" w:type="dxa"/>
            <w:vAlign w:val="bottom"/>
            <w:tcBorders>
              <w:bottom w:val="single" w:sz="8" w:color="auto"/>
            </w:tcBorders>
          </w:tcPr>
          <w:p>
            <w:pPr>
              <w:spacing w:after="0"/>
              <w:rPr>
                <w:sz w:val="14"/>
                <w:szCs w:val="14"/>
                <w:color w:val="auto"/>
              </w:rPr>
            </w:pPr>
          </w:p>
        </w:tc>
        <w:tc>
          <w:tcPr>
            <w:tcW w:w="6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bl>
    <w:p>
      <w:pPr>
        <w:spacing w:after="0" w:line="63" w:lineRule="exact"/>
        <w:rPr>
          <w:sz w:val="20"/>
          <w:szCs w:val="20"/>
          <w:color w:val="auto"/>
        </w:rPr>
      </w:pPr>
    </w:p>
    <w:p>
      <w:pPr>
        <w:ind w:left="580" w:hanging="572"/>
        <w:spacing w:after="0"/>
        <w:tabs>
          <w:tab w:leader="none" w:pos="580" w:val="left"/>
        </w:tabs>
        <w:numPr>
          <w:ilvl w:val="0"/>
          <w:numId w:val="33"/>
        </w:numPr>
        <w:rPr>
          <w:rFonts w:ascii="Arial" w:cs="Arial" w:eastAsia="Arial" w:hAnsi="Arial"/>
          <w:sz w:val="16"/>
          <w:szCs w:val="16"/>
          <w:color w:val="auto"/>
        </w:rPr>
      </w:pPr>
      <w:r>
        <w:rPr>
          <w:rFonts w:ascii="Times New Roman" w:cs="Times New Roman" w:eastAsia="Times New Roman" w:hAnsi="Times New Roman"/>
          <w:sz w:val="18"/>
          <w:szCs w:val="18"/>
          <w:color w:val="auto"/>
        </w:rPr>
        <w:t>No individual country is greater than 10% of total property and equipment, net as of December 31, 2025 and 2024.</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6"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19"/>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RELATED-PARTY TRANSACTIONS</w:t>
      </w:r>
    </w:p>
    <w:p>
      <w:pPr>
        <w:spacing w:after="0" w:line="106"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Director Nominee Agreements </w:t>
      </w:r>
      <w:r>
        <w:rPr>
          <w:rFonts w:ascii="Times New Roman" w:cs="Times New Roman" w:eastAsia="Times New Roman" w:hAnsi="Times New Roman"/>
          <w:sz w:val="18"/>
          <w:szCs w:val="18"/>
          <w:color w:val="auto"/>
        </w:rPr>
        <w:t>- On May 24, 2022, a member of the Board appointed as a nominee under the Investor Rights Agreement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Verlinvest Beverages SA ("Verlinvest"), a stockholder of the Company, entered into a nominee agreement instructing the Company to pay all cash and equity compensation earned in connection with his board of director service to Verlinvest. Based on the aforementioned nominee agreement, until the termination of the agreement, RSUs granted to this director were held by him as a nominee for Verlinvest and, upon vesting of the RSUs, the shares were transferred to Verlinvest. The nominee agreement terminated on June 3, 2025 and is no longer in effect. Following termination of the agreement, the director receives all cash and equity compensation directly. The nominee agreement was primarily between the director and Verlinvest. The Company was a party to this arrangement solely to agree to the manner in which it would satisfy the compensation obligations to this director. As of December 31, 2025, there are no active members of the Board subject to this nominee agreement.</w:t>
      </w:r>
    </w:p>
    <w:p>
      <w:pPr>
        <w:spacing w:after="0" w:line="63" w:lineRule="exact"/>
        <w:rPr>
          <w:sz w:val="20"/>
          <w:szCs w:val="20"/>
          <w:color w:val="auto"/>
        </w:rPr>
      </w:pPr>
    </w:p>
    <w:p>
      <w:pPr>
        <w:ind w:right="80" w:firstLine="486"/>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Registration Rights and Underwriting Agreements </w:t>
      </w:r>
      <w:r>
        <w:rPr>
          <w:rFonts w:ascii="Times New Roman" w:cs="Times New Roman" w:eastAsia="Times New Roman" w:hAnsi="Times New Roman"/>
          <w:sz w:val="18"/>
          <w:szCs w:val="18"/>
          <w:color w:val="auto"/>
        </w:rPr>
        <w:t>- Under the Registration Rights agreement by and among the Company, Verlinvest Beverages SA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("Verlinvest") and certain other investors, in connection with each demand registration, piggyback or shelf offering, the Company agreed to reimburse the holders of registrable securities for the reasonable fees and disbursements of not more than one law firm. As part of the two secondary offerings during 2023, the Company also entered into underwriting agreements, to which Verlinvest was a party. In connection with the secondary share offerings by Verlinvest in May 2023 and November 2023, Verlinvest agreed to waive its right to reimbursement of legal fees for its counsel, and those expenses, in the amounts of $140 and $324, respectively, were not reimbursed by the Company.</w:t>
      </w:r>
    </w:p>
    <w:p>
      <w:pPr>
        <w:spacing w:after="0" w:line="89" w:lineRule="exact"/>
        <w:rPr>
          <w:sz w:val="20"/>
          <w:szCs w:val="20"/>
          <w:color w:val="auto"/>
        </w:rPr>
      </w:pPr>
    </w:p>
    <w:p>
      <w:pPr>
        <w:ind w:firstLine="551"/>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Distribution Agreement with Stockholder </w:t>
      </w:r>
      <w:r>
        <w:rPr>
          <w:rFonts w:ascii="Times New Roman" w:cs="Times New Roman" w:eastAsia="Times New Roman" w:hAnsi="Times New Roman"/>
          <w:sz w:val="18"/>
          <w:szCs w:val="18"/>
          <w:color w:val="auto"/>
        </w:rPr>
        <w:t>– On October 1, 2019 the Company entered into a distribution agreement with one of its stockholders.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agreement granted the stockholder the right to sell, resell and distribute designated products supplied by the Company within a specified territory. During the year ended December 31, 2023, the stockholder's ownership in the Company became less than 5%. Additionally, the distribution agreement with this stockholder ended during 2024. Revenue recognized related to this distribution agreement was $258</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$1,642, and $4,048 for the years ended December 31, 2025, 2024, and 2023, respectively. The amounts due from the stockholder in Accounts Receivable, net were $0</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and $83 as of</w:t>
      </w:r>
    </w:p>
    <w:p>
      <w:pPr>
        <w:spacing w:after="0" w:line="3"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7"/>
          <w:szCs w:val="17"/>
          <w:color w:val="auto"/>
        </w:rPr>
        <w:t>December 31, 2025, and 2024 respectively. There were $0 amounts payable to the stockholder in Accounts payable as of December 31, 2025 and 2024. Related to this distribution arrangement, the Company and the stockholder had a service agreement in which the Company shared in the compensation</w:t>
      </w:r>
    </w:p>
    <w:p>
      <w:pPr>
        <w:spacing w:after="0" w:line="1" w:lineRule="exact"/>
        <w:rPr>
          <w:sz w:val="20"/>
          <w:szCs w:val="20"/>
          <w:color w:val="auto"/>
        </w:rPr>
      </w:pPr>
    </w:p>
    <w:p>
      <w:pPr>
        <w:ind w:right="380"/>
        <w:spacing w:after="0" w:line="292" w:lineRule="auto"/>
        <w:rPr>
          <w:sz w:val="20"/>
          <w:szCs w:val="20"/>
          <w:color w:val="auto"/>
        </w:rPr>
      </w:pPr>
      <w:r>
        <w:rPr>
          <w:rFonts w:ascii="Times New Roman" w:cs="Times New Roman" w:eastAsia="Times New Roman" w:hAnsi="Times New Roman"/>
          <w:sz w:val="18"/>
          <w:szCs w:val="18"/>
          <w:color w:val="auto"/>
        </w:rPr>
        <w:t>costs of the stockholder’s employee managing the China market. The Company recorded $10, $181, and $151 for the years ended December 31, 2025, 2024, and 2023, respectively, in selling, general, and administrative expenses for this service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LEASES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January 2016, the Company entered into an operating lease for office space in New York, New York, which was set to expire in January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was extended to October 31, 2025 to allow for a smooth transition to the Company's new New York office.</w:t>
      </w:r>
    </w:p>
    <w:p>
      <w:pPr>
        <w:spacing w:after="0" w:line="9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August 2024, the Company signed a lease agreement for a new office in New York, New York. The operating lease commenced on January 1, 2025, and terminates in December 2034, with an option to extend for an additional two years. Total undiscounted future payments for this new office lease are $15,766. The Company recognized ROU assets and lease liabilities of $10,002 and $11,692, respectively, upon lease commencement on the Company’s consolidated balance sheet. Additionally, upon signing the agreement, the Company was required to establish a letter of credit of $920 which may be used in case of delinquency. As of December 31, 2025, the Company accounted for this letter of credit as restricted cash included in Prepaid and other current assets on the consolidated balance sheet.</w:t>
      </w:r>
    </w:p>
    <w:p>
      <w:pPr>
        <w:spacing w:after="0" w:line="79" w:lineRule="exact"/>
        <w:rPr>
          <w:sz w:val="20"/>
          <w:szCs w:val="20"/>
          <w:color w:val="auto"/>
        </w:rPr>
      </w:pPr>
    </w:p>
    <w:p>
      <w:pPr>
        <w:ind w:right="400" w:firstLine="648"/>
        <w:spacing w:after="0" w:line="284" w:lineRule="auto"/>
        <w:rPr>
          <w:sz w:val="20"/>
          <w:szCs w:val="20"/>
          <w:color w:val="auto"/>
        </w:rPr>
      </w:pPr>
      <w:r>
        <w:rPr>
          <w:rFonts w:ascii="Times New Roman" w:cs="Times New Roman" w:eastAsia="Times New Roman" w:hAnsi="Times New Roman"/>
          <w:sz w:val="17"/>
          <w:szCs w:val="17"/>
          <w:color w:val="auto"/>
        </w:rPr>
        <w:t>In November 2024, the Company signed a lease agreement for a new office in London, United Kingdom. The operating lease commenced on January 2, 2025 and terminates in December 2029. Total undiscounted future payments for this new office lease are $1,152</w:t>
      </w:r>
      <w:r>
        <w:rPr>
          <w:rFonts w:ascii="Arial" w:cs="Arial" w:eastAsia="Arial" w:hAnsi="Arial"/>
          <w:sz w:val="20"/>
          <w:szCs w:val="20"/>
          <w:color w:val="auto"/>
        </w:rPr>
        <w:t>.</w:t>
      </w:r>
      <w:r>
        <w:rPr>
          <w:rFonts w:ascii="Times New Roman" w:cs="Times New Roman" w:eastAsia="Times New Roman" w:hAnsi="Times New Roman"/>
          <w:sz w:val="17"/>
          <w:szCs w:val="17"/>
          <w:color w:val="auto"/>
        </w:rPr>
        <w:t xml:space="preserve"> The Company recognized</w:t>
      </w:r>
    </w:p>
    <w:p>
      <w:pPr>
        <w:ind w:right="740"/>
        <w:spacing w:after="0" w:line="266" w:lineRule="auto"/>
        <w:rPr>
          <w:sz w:val="20"/>
          <w:szCs w:val="20"/>
          <w:color w:val="auto"/>
        </w:rPr>
      </w:pPr>
      <w:r>
        <w:rPr>
          <w:rFonts w:ascii="Times New Roman" w:cs="Times New Roman" w:eastAsia="Times New Roman" w:hAnsi="Times New Roman"/>
          <w:sz w:val="18"/>
          <w:szCs w:val="18"/>
          <w:color w:val="auto"/>
        </w:rPr>
        <w:t>ROU assets and lease liabilities of $1,140 and $1,252 respectively, upon lease commencement on the Company’s consolidated balance sheet</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The Company agreed to establish a security deposit of $117, which is refundable at the end of the lease period.</w:t>
      </w:r>
    </w:p>
    <w:p>
      <w:pPr>
        <w:spacing w:after="0" w:line="64" w:lineRule="exact"/>
        <w:rPr>
          <w:sz w:val="20"/>
          <w:szCs w:val="20"/>
          <w:color w:val="auto"/>
        </w:rPr>
      </w:pPr>
    </w:p>
    <w:p>
      <w:pPr>
        <w:jc w:val="both"/>
        <w:ind w:right="60" w:firstLine="648"/>
        <w:spacing w:after="0" w:line="296" w:lineRule="auto"/>
        <w:rPr>
          <w:sz w:val="20"/>
          <w:szCs w:val="20"/>
          <w:color w:val="auto"/>
        </w:rPr>
      </w:pPr>
      <w:r>
        <w:rPr>
          <w:rFonts w:ascii="Times New Roman" w:cs="Times New Roman" w:eastAsia="Times New Roman" w:hAnsi="Times New Roman"/>
          <w:sz w:val="18"/>
          <w:szCs w:val="18"/>
          <w:color w:val="auto"/>
        </w:rPr>
        <w:t>In April 2025, the Company signed an agreement for a new office in Singapore. The operating lease commenced on April 1, 2025 and terminates in June 2030. Total undiscounted future payments for this new office lease are $1,675. The Company recognized ROU assets and lease liabilities of $1,564 and $1,564 respectively, upon lease commencement on the Company’s consolidated balance sheet</w:t>
      </w:r>
      <w:r>
        <w:rPr>
          <w:rFonts w:ascii="Arial" w:cs="Arial" w:eastAsia="Arial" w:hAnsi="Arial"/>
          <w:sz w:val="21"/>
          <w:szCs w:val="21"/>
          <w:color w:val="auto"/>
        </w:rPr>
        <w:t>.</w:t>
      </w:r>
    </w:p>
    <w:p>
      <w:pPr>
        <w:spacing w:after="0" w:line="135"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did not have any additional operating leases that have not yet commenced with future undiscounted lease payments.</w:t>
      </w:r>
    </w:p>
    <w:p>
      <w:pPr>
        <w:spacing w:after="0" w:line="162" w:lineRule="exact"/>
        <w:rPr>
          <w:sz w:val="20"/>
          <w:szCs w:val="20"/>
          <w:color w:val="auto"/>
        </w:rPr>
      </w:pPr>
    </w:p>
    <w:p>
      <w:pPr>
        <w:ind w:right="640" w:firstLine="486"/>
        <w:spacing w:after="0" w:line="282" w:lineRule="auto"/>
        <w:rPr>
          <w:sz w:val="20"/>
          <w:szCs w:val="20"/>
          <w:color w:val="auto"/>
        </w:rPr>
      </w:pPr>
      <w:r>
        <w:rPr>
          <w:rFonts w:ascii="Times New Roman" w:cs="Times New Roman" w:eastAsia="Times New Roman" w:hAnsi="Times New Roman"/>
          <w:sz w:val="18"/>
          <w:szCs w:val="18"/>
          <w:color w:val="auto"/>
        </w:rPr>
        <w:t>The components of lease cost, which are included within operating expenses in the accompanying consolidated statements of operations, are summarized in the following table (in thousands). Any variable lease costs are immaterial.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120" w:type="dxa"/>
            <w:vAlign w:val="bottom"/>
          </w:tcPr>
          <w:p>
            <w:pPr>
              <w:spacing w:after="0"/>
              <w:rPr>
                <w:sz w:val="20"/>
                <w:szCs w:val="20"/>
                <w:color w:val="auto"/>
              </w:rPr>
            </w:pPr>
          </w:p>
        </w:tc>
        <w:tc>
          <w:tcPr>
            <w:tcW w:w="25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2024</w:t>
            </w:r>
          </w:p>
        </w:tc>
      </w:tr>
      <w:tr>
        <w:trPr>
          <w:trHeight w:val="27"/>
        </w:trPr>
        <w:tc>
          <w:tcPr>
            <w:tcW w:w="5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28"/>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r>
      <w:tr>
        <w:trPr>
          <w:trHeight w:val="22"/>
        </w:trPr>
        <w:tc>
          <w:tcPr>
            <w:tcW w:w="5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56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supplemental balance sheet information for the Company’s operating leases: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Line Item in Balance Sheet</w:t>
            </w:r>
          </w:p>
        </w:tc>
        <w:tc>
          <w:tcPr>
            <w:tcW w:w="2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21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0" w:type="dxa"/>
            <w:vAlign w:val="bottom"/>
          </w:tcPr>
          <w:p>
            <w:pPr>
              <w:spacing w:after="0"/>
              <w:rPr>
                <w:sz w:val="1"/>
                <w:szCs w:val="1"/>
                <w:color w:val="auto"/>
              </w:rPr>
            </w:pPr>
          </w:p>
        </w:tc>
      </w:tr>
      <w:tr>
        <w:trPr>
          <w:trHeight w:val="27"/>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Noncurrent assets:</w:t>
            </w:r>
          </w:p>
        </w:tc>
        <w:tc>
          <w:tcPr>
            <w:tcW w:w="2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60" w:type="dxa"/>
            <w:vAlign w:val="bottom"/>
            <w:vMerge w:val="continue"/>
          </w:tcPr>
          <w:p>
            <w:pPr>
              <w:spacing w:after="0"/>
              <w:rPr>
                <w:sz w:val="22"/>
                <w:szCs w:val="22"/>
                <w:color w:val="auto"/>
              </w:rPr>
            </w:pPr>
          </w:p>
        </w:tc>
        <w:tc>
          <w:tcPr>
            <w:tcW w:w="2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Right-of-use assets, net</w:t>
            </w:r>
          </w:p>
        </w:tc>
        <w:tc>
          <w:tcPr>
            <w:tcW w:w="88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11,592</w:t>
            </w:r>
          </w:p>
        </w:tc>
        <w:tc>
          <w:tcPr>
            <w:tcW w:w="100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8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2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88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1,727</w:t>
            </w:r>
          </w:p>
        </w:tc>
        <w:tc>
          <w:tcPr>
            <w:tcW w:w="100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8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Noncurrent liabilities:</w:t>
            </w:r>
          </w:p>
        </w:tc>
        <w:tc>
          <w:tcPr>
            <w:tcW w:w="2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 portion of operating lease liabilities</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Other long-term Liabilities</w:t>
            </w:r>
          </w:p>
        </w:tc>
        <w:tc>
          <w:tcPr>
            <w:tcW w:w="88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13,087</w:t>
            </w:r>
          </w:p>
        </w:tc>
        <w:tc>
          <w:tcPr>
            <w:tcW w:w="100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60" w:firstLine="486"/>
        <w:spacing w:after="0" w:line="266" w:lineRule="auto"/>
        <w:rPr>
          <w:sz w:val="20"/>
          <w:szCs w:val="20"/>
          <w:color w:val="auto"/>
        </w:rPr>
      </w:pPr>
      <w:r>
        <w:rPr>
          <w:rFonts w:ascii="Times New Roman" w:cs="Times New Roman" w:eastAsia="Times New Roman" w:hAnsi="Times New Roman"/>
          <w:sz w:val="18"/>
          <w:szCs w:val="18"/>
          <w:color w:val="auto"/>
        </w:rPr>
        <w:t>The following summarizes the weighted average remaining lease term and weighted average discount rate related to the Company’s right-of-use assets and lease liabilities recorded on the balance sheet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w w:val="99"/>
              </w:rPr>
              <w:t>THE VITA COCO COMPANY, INC. AND SUBSIDIARIES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03"/>
        </w:trPr>
        <w:tc>
          <w:tcPr>
            <w:tcW w:w="8340" w:type="dxa"/>
            <w:vAlign w:val="bottom"/>
          </w:tcPr>
          <w:p>
            <w:pPr>
              <w:jc w:val="center"/>
              <w:ind w:left="2810"/>
              <w:spacing w:after="0" w:line="202"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7"/>
        </w:trPr>
        <w:tc>
          <w:tcPr>
            <w:tcW w:w="834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 2025, 2024 AND 2023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34"/>
        </w:trPr>
        <w:tc>
          <w:tcPr>
            <w:tcW w:w="8340" w:type="dxa"/>
            <w:vAlign w:val="bottom"/>
          </w:tcPr>
          <w:p>
            <w:pPr>
              <w:jc w:val="center"/>
              <w:ind w:left="2810"/>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94"/>
        </w:trPr>
        <w:tc>
          <w:tcPr>
            <w:tcW w:w="83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r>
      <w:tr>
        <w:trPr>
          <w:trHeight w:val="763"/>
        </w:trPr>
        <w:tc>
          <w:tcPr>
            <w:tcW w:w="8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terms</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r>
      <w:tr>
        <w:trPr>
          <w:trHeight w:val="234"/>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792"/>
        </w:trPr>
        <w:tc>
          <w:tcPr>
            <w:tcW w:w="8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table summarizes supplemental cash flow information for the Company’s operating leases: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57"/>
        </w:trPr>
        <w:tc>
          <w:tcPr>
            <w:tcW w:w="8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37"/>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following table presents the maturity of the Company’s operating lease liabilities as of December 31, 2025:</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2027</w: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25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2029</w: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Maturity of Lease Payments</w:t>
      </w:r>
    </w:p>
    <w:p>
      <w:pPr>
        <w:spacing w:after="0" w:line="67"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2,265</w:t>
      </w:r>
    </w:p>
    <w:p>
      <w:pPr>
        <w:spacing w:after="0" w:line="6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2,289</w:t>
      </w:r>
    </w:p>
    <w:p>
      <w:pPr>
        <w:spacing w:after="0" w:line="7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2,317</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2,344</w:t>
      </w:r>
    </w:p>
    <w:p>
      <w:pPr>
        <w:spacing w:after="0" w:line="7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1,948</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7,429</w:t>
      </w:r>
    </w:p>
    <w:p>
      <w:pPr>
        <w:spacing w:after="0" w:line="25" w:lineRule="exact"/>
        <w:rPr>
          <w:sz w:val="20"/>
          <w:szCs w:val="20"/>
          <w:color w:val="auto"/>
        </w:rPr>
      </w:pPr>
    </w:p>
    <w:p>
      <w:pPr>
        <w:sectPr>
          <w:pgSz w:w="11900" w:h="16838" w:orient="portrait"/>
          <w:cols w:equalWidth="0" w:num="2">
            <w:col w:w="8540" w:space="280"/>
            <w:col w:w="24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52"/>
        </w:trPr>
        <w:tc>
          <w:tcPr>
            <w:tcW w:w="3580" w:type="dxa"/>
            <w:vAlign w:val="bottom"/>
            <w:tcBorders>
              <w:top w:val="single" w:sz="8" w:color="CCEEFF"/>
            </w:tcBorders>
            <w:shd w:val="clear" w:color="auto" w:fill="CCEEFF"/>
          </w:tcPr>
          <w:p>
            <w:pPr>
              <w:jc w:val="right"/>
              <w:ind w:right="1850"/>
              <w:spacing w:after="0"/>
              <w:rPr>
                <w:sz w:val="20"/>
                <w:szCs w:val="20"/>
                <w:color w:val="auto"/>
              </w:rPr>
            </w:pPr>
            <w:r>
              <w:rPr>
                <w:rFonts w:ascii="Times New Roman" w:cs="Times New Roman" w:eastAsia="Times New Roman" w:hAnsi="Times New Roman"/>
                <w:sz w:val="18"/>
                <w:szCs w:val="18"/>
                <w:color w:val="auto"/>
              </w:rPr>
              <w:t>Total lease payments</w:t>
            </w:r>
          </w:p>
        </w:tc>
        <w:tc>
          <w:tcPr>
            <w:tcW w:w="522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18,592</w:t>
            </w:r>
          </w:p>
        </w:tc>
        <w:tc>
          <w:tcPr>
            <w:tcW w:w="0" w:type="dxa"/>
            <w:vAlign w:val="bottom"/>
          </w:tcPr>
          <w:p>
            <w:pPr>
              <w:spacing w:after="0"/>
              <w:rPr>
                <w:sz w:val="1"/>
                <w:szCs w:val="1"/>
                <w:color w:val="auto"/>
              </w:rPr>
            </w:pPr>
          </w:p>
        </w:tc>
      </w:tr>
      <w:tr>
        <w:trPr>
          <w:trHeight w:val="234"/>
        </w:trPr>
        <w:tc>
          <w:tcPr>
            <w:tcW w:w="358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Less: imputed interest</w:t>
            </w:r>
          </w:p>
        </w:tc>
        <w:tc>
          <w:tcPr>
            <w:tcW w:w="5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0" w:type="dxa"/>
            <w:vAlign w:val="bottom"/>
          </w:tcPr>
          <w:p>
            <w:pPr>
              <w:spacing w:after="0"/>
              <w:rPr>
                <w:sz w:val="1"/>
                <w:szCs w:val="1"/>
                <w:color w:val="auto"/>
              </w:rPr>
            </w:pPr>
          </w:p>
        </w:tc>
      </w:tr>
      <w:tr>
        <w:trPr>
          <w:trHeight w:val="22"/>
        </w:trPr>
        <w:tc>
          <w:tcPr>
            <w:tcW w:w="3580" w:type="dxa"/>
            <w:vAlign w:val="bottom"/>
            <w:tcBorders>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3580" w:type="dxa"/>
            <w:vAlign w:val="bottom"/>
            <w:tcBorders>
              <w:bottom w:val="single" w:sz="8" w:color="CCEEFF"/>
            </w:tcBorders>
            <w:shd w:val="clear" w:color="auto" w:fill="CCEEFF"/>
          </w:tcPr>
          <w:p>
            <w:pPr>
              <w:jc w:val="right"/>
              <w:ind w:right="1870"/>
              <w:spacing w:after="0"/>
              <w:rPr>
                <w:sz w:val="20"/>
                <w:szCs w:val="20"/>
                <w:color w:val="auto"/>
              </w:rPr>
            </w:pPr>
            <w:r>
              <w:rPr>
                <w:rFonts w:ascii="Times New Roman" w:cs="Times New Roman" w:eastAsia="Times New Roman" w:hAnsi="Times New Roman"/>
                <w:sz w:val="18"/>
                <w:szCs w:val="18"/>
                <w:color w:val="auto"/>
              </w:rPr>
              <w:t>Total lease liabilities</w:t>
            </w:r>
          </w:p>
        </w:tc>
        <w:tc>
          <w:tcPr>
            <w:tcW w:w="5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14,814</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bottom w:val="single" w:sz="8" w:color="CCEEFF"/>
            </w:tcBorders>
            <w:vMerge w:val="restart"/>
          </w:tcPr>
          <w:p>
            <w:pPr>
              <w:jc w:val="right"/>
              <w:ind w:right="2990"/>
              <w:spacing w:after="0"/>
              <w:rPr>
                <w:sz w:val="20"/>
                <w:szCs w:val="20"/>
                <w:color w:val="auto"/>
              </w:rPr>
            </w:pPr>
            <w:r>
              <w:rPr>
                <w:rFonts w:ascii="Times New Roman" w:cs="Times New Roman" w:eastAsia="Times New Roman" w:hAnsi="Times New Roman"/>
                <w:sz w:val="18"/>
                <w:szCs w:val="18"/>
                <w:color w:val="auto"/>
              </w:rPr>
              <w:t>93</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580" w:type="dxa"/>
            <w:vAlign w:val="bottom"/>
          </w:tcPr>
          <w:p>
            <w:pPr>
              <w:spacing w:after="0"/>
              <w:rPr>
                <w:sz w:val="24"/>
                <w:szCs w:val="24"/>
                <w:color w:val="auto"/>
              </w:rPr>
            </w:pPr>
          </w:p>
        </w:tc>
        <w:tc>
          <w:tcPr>
            <w:tcW w:w="52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580" w:type="dxa"/>
            <w:vAlign w:val="bottom"/>
            <w:tcBorders>
              <w:bottom w:val="single" w:sz="8" w:color="9A9A9A"/>
            </w:tcBorders>
          </w:tcPr>
          <w:p>
            <w:pPr>
              <w:spacing w:after="0"/>
              <w:rPr>
                <w:sz w:val="8"/>
                <w:szCs w:val="8"/>
                <w:color w:val="auto"/>
              </w:rPr>
            </w:pPr>
          </w:p>
        </w:tc>
        <w:tc>
          <w:tcPr>
            <w:tcW w:w="52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THE VITA COCO COMPANY, INC. AND SUBSIDIARIES</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19"/>
        <w:spacing w:after="0" w:line="234" w:lineRule="auto"/>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INVESTMENT IN UNCONSOLIDATED JOINT VENTURE</w:t>
      </w:r>
    </w:p>
    <w:p>
      <w:pPr>
        <w:spacing w:after="0" w:line="229" w:lineRule="exact"/>
        <w:rPr>
          <w:sz w:val="20"/>
          <w:szCs w:val="20"/>
          <w:color w:val="auto"/>
        </w:rPr>
      </w:pPr>
    </w:p>
    <w:p>
      <w:pPr>
        <w:ind w:right="200" w:firstLine="648"/>
        <w:spacing w:after="0" w:line="242" w:lineRule="auto"/>
        <w:rPr>
          <w:sz w:val="20"/>
          <w:szCs w:val="20"/>
          <w:color w:val="auto"/>
        </w:rPr>
      </w:pPr>
      <w:r>
        <w:rPr>
          <w:rFonts w:ascii="Times New Roman" w:cs="Times New Roman" w:eastAsia="Times New Roman" w:hAnsi="Times New Roman"/>
          <w:sz w:val="18"/>
          <w:szCs w:val="18"/>
          <w:color w:val="auto"/>
        </w:rPr>
        <w:t>In accordance with ASC 323, Investments - Equity Method and Joint Ventures, investments in entities over which the Company does not have a controlling financial interest but has significant influence are accounted for using the equity method, with the Company’s share of earnings or losses reported in the consolidated statements of operations.</w:t>
      </w:r>
    </w:p>
    <w:p>
      <w:pPr>
        <w:spacing w:after="0" w:line="197" w:lineRule="exact"/>
        <w:rPr>
          <w:sz w:val="20"/>
          <w:szCs w:val="20"/>
          <w:color w:val="auto"/>
        </w:rPr>
      </w:pPr>
    </w:p>
    <w:p>
      <w:pPr>
        <w:ind w:right="60" w:firstLine="648"/>
        <w:spacing w:after="0" w:line="196" w:lineRule="exact"/>
        <w:rPr>
          <w:sz w:val="20"/>
          <w:szCs w:val="20"/>
          <w:color w:val="auto"/>
        </w:rPr>
      </w:pPr>
      <w:r>
        <w:rPr>
          <w:rFonts w:ascii="Times New Roman" w:cs="Times New Roman" w:eastAsia="Times New Roman" w:hAnsi="Times New Roman"/>
          <w:sz w:val="18"/>
          <w:szCs w:val="18"/>
          <w:color w:val="auto"/>
        </w:rPr>
        <w:t>Through one of its subsidiaries, the Company has a 60% joint venture interest in a company, Coco Ventures Limited, which provides for the development, marketing, distribution and branding of coconut water-based products under the Vita Coco brand in China. Coco Ventures Limited purchases coconut water products from the Company. The Company acquired this interest on August 2, 2024, the date on which the Company obtained significant influence, for $585 to be paid in cash within one year. Per the joint venture agreement, the Company shall contribute its portion of capital funding per the operational funding requirement of the joint venture's business operations. The Company recorded the initial investment in the joint venture upon cash payment. Since the Company is deemed not to have a controlling interest in Coco Ventures Limited, the Company’s investment is accounted for using the equity method of accounting in accordance with ASC 323. As of December 31, 2025, the Company recognized an investment of $587 in Coco Ventures Limited. This amount includes $104 contributed during 2025 and $483 that was legally committed as of 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end and subsequently funded on January 2, 2026. Coco Ventures Limited commenced operations in February 2025. The equity method investment is recorded in other assets on the consolidated balance sheet.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89" w:lineRule="exact"/>
        <w:rPr>
          <w:sz w:val="20"/>
          <w:szCs w:val="20"/>
          <w:color w:val="auto"/>
        </w:rPr>
      </w:pPr>
    </w:p>
    <w:p>
      <w:pPr>
        <w:ind w:right="40" w:firstLine="648"/>
        <w:spacing w:after="0" w:line="222"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w:t>
      </w:r>
    </w:p>
    <w:p>
      <w:pPr>
        <w:spacing w:after="0" w:line="2"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procedures must reflect the fact that there are resource constraints and that management is required to apply judgment in evaluating the benefits of possible controls and procedures relative to their costs.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ind w:right="60" w:firstLine="648"/>
        <w:spacing w:after="0" w:line="229" w:lineRule="auto"/>
        <w:rPr>
          <w:sz w:val="20"/>
          <w:szCs w:val="20"/>
          <w:color w:val="auto"/>
        </w:rPr>
      </w:pPr>
      <w:r>
        <w:rPr>
          <w:rFonts w:ascii="Times New Roman" w:cs="Times New Roman" w:eastAsia="Times New Roman" w:hAnsi="Times New Roman"/>
          <w:sz w:val="17"/>
          <w:szCs w:val="17"/>
          <w:color w:val="auto"/>
        </w:rPr>
        <w:t>Our management, with the participation of our principal executive officer and principal financial officer, evaluated, as of the end of the period covered by this Annual Report on Form 10-K, the effectiveness of our disclosure controls and procedures (as defined in Rules 13a-15(e) and 15d-15(e) under the Exchange Act). Based on that evaluation, our principal executive officer and principal financial officer concluded that, as of December 31, 2025,</w:t>
      </w:r>
    </w:p>
    <w:p>
      <w:pPr>
        <w:spacing w:after="0"/>
        <w:rPr>
          <w:sz w:val="20"/>
          <w:szCs w:val="20"/>
          <w:color w:val="auto"/>
        </w:rPr>
      </w:pPr>
      <w:r>
        <w:rPr>
          <w:rFonts w:ascii="Times New Roman" w:cs="Times New Roman" w:eastAsia="Times New Roman" w:hAnsi="Times New Roman"/>
          <w:sz w:val="18"/>
          <w:szCs w:val="18"/>
          <w:color w:val="auto"/>
        </w:rPr>
        <w:t>our disclosure controls and procedures were effective at the reasonable assurance level.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0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management of the Company is responsible for establishing and maintaining adequate internal control over financial reporting (as defined in Rule 13a-15(f) and 15d-15(f) under the Exchange Act). Internal control over financial reporting is a process designed to provide reasonable assurance regarding the reliability of financial reporting and the preparation of financial statements in accordance with accounting principles generally accepted in the United States of America.</w:t>
      </w:r>
    </w:p>
    <w:p>
      <w:pPr>
        <w:spacing w:after="0" w:line="218"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conducted an assessment of the effectiveness of the Company’s internal control over financial reporting based on criteria established in “Internal Control—Integrated Framework (2013)” issued by the Committee of Sponsoring Organizations of the Treadway Commission ("COSO"). Based on this assessment, the management of the Company concluded that the Company’s internal control over financial reporting was effective as of December 31, 2025. The Company's internal control over financial reporting as of December 31, 2025 has been audited by Deloitte &amp; Touche LLP as stated in their report which appears herein.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0" w:firstLine="648"/>
        <w:spacing w:after="0" w:line="236"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Rules 13a-15(f) and 15d-15(f) under the Exchange Act) during the quarter ended December 31, 2025 that have materially affected, or are reasonably likely to materially affect, our internal control over financial</w:t>
      </w:r>
    </w:p>
    <w:p>
      <w:pPr>
        <w:spacing w:after="0"/>
        <w:rPr>
          <w:sz w:val="20"/>
          <w:szCs w:val="20"/>
          <w:color w:val="auto"/>
        </w:rPr>
      </w:pPr>
      <w:r>
        <w:rPr>
          <w:rFonts w:ascii="Times New Roman" w:cs="Times New Roman" w:eastAsia="Times New Roman" w:hAnsi="Times New Roman"/>
          <w:sz w:val="18"/>
          <w:szCs w:val="18"/>
          <w:color w:val="auto"/>
        </w:rPr>
        <w:t>reporting.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 accordance with the disclosure requirements set forth in Item 408(a) of Regulation S-K, the following table discloses any officer (as defined in Rule 16a-1(f) under the Exchange Act), director, or entity controlled by such officer or director who adopted or terminated a contract, instruction, or written plan for the sale of securities of the Company intended to satisfy the affirmative defense of Rule 10b5-1(c) during the quarterly period ended December 31, 2025:</w:t>
      </w:r>
    </w:p>
    <w:p>
      <w:pPr>
        <w:spacing w:after="0" w:line="250"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5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Action Taken</w:t>
            </w:r>
          </w:p>
        </w:tc>
        <w:tc>
          <w:tcPr>
            <w:tcW w:w="16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Date of Action</w:t>
            </w:r>
          </w:p>
        </w:tc>
        <w:tc>
          <w:tcPr>
            <w:tcW w:w="3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Duration of Trading Aggregate Number of</w:t>
            </w:r>
          </w:p>
        </w:tc>
      </w:tr>
      <w:tr>
        <w:trPr>
          <w:trHeight w:val="245"/>
        </w:trPr>
        <w:tc>
          <w:tcPr>
            <w:tcW w:w="15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 be Sold</w:t>
            </w:r>
          </w:p>
        </w:tc>
      </w:tr>
      <w:tr>
        <w:trPr>
          <w:trHeight w:val="198"/>
        </w:trPr>
        <w:tc>
          <w:tcPr>
            <w:tcW w:w="15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The Michael Kirban</w:t>
            </w:r>
          </w:p>
        </w:tc>
        <w:tc>
          <w:tcPr>
            <w:tcW w:w="18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A trust controlled by</w:t>
            </w:r>
          </w:p>
        </w:tc>
        <w:tc>
          <w:tcPr>
            <w:tcW w:w="14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Adoption</w:t>
            </w:r>
          </w:p>
        </w:tc>
        <w:tc>
          <w:tcPr>
            <w:tcW w:w="1660" w:type="dxa"/>
            <w:vAlign w:val="bottom"/>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8"/>
              </w:rPr>
              <w:t>December 10, 2025</w:t>
            </w:r>
          </w:p>
        </w:tc>
        <w:tc>
          <w:tcPr>
            <w:tcW w:w="16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March 10, 2026 to</w:t>
            </w:r>
          </w:p>
        </w:tc>
        <w:tc>
          <w:tcPr>
            <w:tcW w:w="17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Up to 100,000 shares</w:t>
            </w:r>
          </w:p>
        </w:tc>
      </w:tr>
      <w:tr>
        <w:trPr>
          <w:trHeight w:val="189"/>
        </w:trPr>
        <w:tc>
          <w:tcPr>
            <w:tcW w:w="15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Revocable Trust</w:t>
            </w:r>
          </w:p>
        </w:tc>
        <w:tc>
          <w:tcPr>
            <w:tcW w:w="180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Michael Kirban (Co-</w:t>
            </w:r>
          </w:p>
        </w:tc>
        <w:tc>
          <w:tcPr>
            <w:tcW w:w="14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March 10, 2027</w:t>
            </w:r>
          </w:p>
        </w:tc>
        <w:tc>
          <w:tcPr>
            <w:tcW w:w="17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of Common Stock</w:t>
            </w:r>
          </w:p>
        </w:tc>
      </w:tr>
      <w:tr>
        <w:trPr>
          <w:trHeight w:val="203"/>
        </w:trPr>
        <w:tc>
          <w:tcPr>
            <w:tcW w:w="1560" w:type="dxa"/>
            <w:vAlign w:val="bottom"/>
          </w:tcPr>
          <w:p>
            <w:pPr>
              <w:spacing w:after="0"/>
              <w:rPr>
                <w:sz w:val="17"/>
                <w:szCs w:val="17"/>
                <w:color w:val="auto"/>
              </w:rPr>
            </w:pPr>
          </w:p>
        </w:tc>
        <w:tc>
          <w:tcPr>
            <w:tcW w:w="180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Founder and</w:t>
            </w:r>
          </w:p>
        </w:tc>
        <w:tc>
          <w:tcPr>
            <w:tcW w:w="1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4"/>
        </w:trPr>
        <w:tc>
          <w:tcPr>
            <w:tcW w:w="1560" w:type="dxa"/>
            <w:vAlign w:val="bottom"/>
          </w:tcPr>
          <w:p>
            <w:pPr>
              <w:spacing w:after="0"/>
              <w:rPr>
                <w:sz w:val="20"/>
                <w:szCs w:val="20"/>
                <w:color w:val="auto"/>
              </w:rPr>
            </w:pPr>
          </w:p>
        </w:tc>
        <w:tc>
          <w:tcPr>
            <w:tcW w:w="1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Chairman)</w:t>
            </w:r>
          </w:p>
        </w:tc>
        <w:tc>
          <w:tcPr>
            <w:tcW w:w="1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38"/>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Martin Roper</w:t>
            </w:r>
          </w:p>
        </w:tc>
        <w:tc>
          <w:tcPr>
            <w:tcW w:w="1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6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December 10, 2025</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2026 to</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Up to 250,000 shares</w:t>
            </w:r>
          </w:p>
        </w:tc>
      </w:tr>
      <w:tr>
        <w:trPr>
          <w:trHeight w:val="189"/>
        </w:trPr>
        <w:tc>
          <w:tcPr>
            <w:tcW w:w="1560" w:type="dxa"/>
            <w:vAlign w:val="bottom"/>
          </w:tcPr>
          <w:p>
            <w:pPr>
              <w:spacing w:after="0"/>
              <w:rPr>
                <w:sz w:val="16"/>
                <w:szCs w:val="16"/>
                <w:color w:val="auto"/>
              </w:rPr>
            </w:pPr>
          </w:p>
        </w:tc>
        <w:tc>
          <w:tcPr>
            <w:tcW w:w="180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Officer</w:t>
            </w:r>
          </w:p>
        </w:tc>
        <w:tc>
          <w:tcPr>
            <w:tcW w:w="14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December 15, 2026</w:t>
            </w:r>
          </w:p>
        </w:tc>
        <w:tc>
          <w:tcPr>
            <w:tcW w:w="17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of Common Stock</w:t>
            </w:r>
          </w:p>
        </w:tc>
      </w:tr>
      <w:tr>
        <w:trPr>
          <w:trHeight w:val="203"/>
        </w:trPr>
        <w:tc>
          <w:tcPr>
            <w:tcW w:w="15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subject to a daily</w:t>
            </w:r>
          </w:p>
        </w:tc>
      </w:tr>
      <w:tr>
        <w:trPr>
          <w:trHeight w:val="203"/>
        </w:trPr>
        <w:tc>
          <w:tcPr>
            <w:tcW w:w="15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maximum of 25,000</w:t>
            </w:r>
          </w:p>
        </w:tc>
      </w:tr>
      <w:tr>
        <w:trPr>
          <w:trHeight w:val="234"/>
        </w:trPr>
        <w:tc>
          <w:tcPr>
            <w:tcW w:w="15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r>
      <w:tr>
        <w:trPr>
          <w:trHeight w:val="238"/>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Jane Morreau</w:t>
            </w:r>
          </w:p>
        </w:tc>
        <w:tc>
          <w:tcPr>
            <w:tcW w:w="1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6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November 8, 2025</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23, 2026 to</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Up to 15,000 shares of</w:t>
            </w:r>
          </w:p>
        </w:tc>
      </w:tr>
      <w:tr>
        <w:trPr>
          <w:trHeight w:val="234"/>
        </w:trPr>
        <w:tc>
          <w:tcPr>
            <w:tcW w:w="15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6, 2026</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25"/>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Corey Baker</w:t>
            </w:r>
          </w:p>
        </w:tc>
        <w:tc>
          <w:tcPr>
            <w:tcW w:w="1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Financial</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6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December 12, 2025</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13, 2026 to</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Up to 10,000 shares of</w:t>
            </w:r>
          </w:p>
        </w:tc>
      </w:tr>
      <w:tr>
        <w:trPr>
          <w:trHeight w:val="189"/>
        </w:trPr>
        <w:tc>
          <w:tcPr>
            <w:tcW w:w="1560" w:type="dxa"/>
            <w:vAlign w:val="bottom"/>
          </w:tcPr>
          <w:p>
            <w:pPr>
              <w:spacing w:after="0"/>
              <w:rPr>
                <w:sz w:val="16"/>
                <w:szCs w:val="16"/>
                <w:color w:val="auto"/>
              </w:rPr>
            </w:pPr>
          </w:p>
        </w:tc>
        <w:tc>
          <w:tcPr>
            <w:tcW w:w="180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Officer</w:t>
            </w:r>
          </w:p>
        </w:tc>
        <w:tc>
          <w:tcPr>
            <w:tcW w:w="14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October 30, 2026</w:t>
            </w:r>
          </w:p>
        </w:tc>
        <w:tc>
          <w:tcPr>
            <w:tcW w:w="17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Common Stock,</w:t>
            </w:r>
          </w:p>
        </w:tc>
      </w:tr>
      <w:tr>
        <w:trPr>
          <w:trHeight w:val="202"/>
        </w:trPr>
        <w:tc>
          <w:tcPr>
            <w:tcW w:w="15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subject to a daily</w:t>
            </w:r>
          </w:p>
        </w:tc>
      </w:tr>
      <w:tr>
        <w:trPr>
          <w:trHeight w:val="203"/>
        </w:trPr>
        <w:tc>
          <w:tcPr>
            <w:tcW w:w="15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7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maximum of 2,000</w:t>
            </w:r>
          </w:p>
        </w:tc>
      </w:tr>
      <w:tr>
        <w:trPr>
          <w:trHeight w:val="234"/>
        </w:trPr>
        <w:tc>
          <w:tcPr>
            <w:tcW w:w="15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r>
      <w:tr>
        <w:trPr>
          <w:trHeight w:val="238"/>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Jonathan Burth</w:t>
            </w:r>
          </w:p>
        </w:tc>
        <w:tc>
          <w:tcPr>
            <w:tcW w:w="1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Operating</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6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December 15, 2025</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16, 2026 to</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Up to 200,000 shares</w:t>
            </w:r>
          </w:p>
        </w:tc>
      </w:tr>
      <w:tr>
        <w:trPr>
          <w:trHeight w:val="234"/>
        </w:trPr>
        <w:tc>
          <w:tcPr>
            <w:tcW w:w="1560" w:type="dxa"/>
            <w:vAlign w:val="bottom"/>
          </w:tcPr>
          <w:p>
            <w:pPr>
              <w:spacing w:after="0"/>
              <w:rPr>
                <w:sz w:val="20"/>
                <w:szCs w:val="20"/>
                <w:color w:val="auto"/>
              </w:rPr>
            </w:pPr>
          </w:p>
        </w:tc>
        <w:tc>
          <w:tcPr>
            <w:tcW w:w="1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Officer</w:t>
            </w:r>
          </w:p>
        </w:tc>
        <w:tc>
          <w:tcPr>
            <w:tcW w:w="1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29, 2027</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Common Stock</w:t>
            </w:r>
          </w:p>
        </w:tc>
      </w:tr>
      <w:tr>
        <w:trPr>
          <w:trHeight w:val="225"/>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Jane Prior</w:t>
            </w:r>
          </w:p>
        </w:tc>
        <w:tc>
          <w:tcPr>
            <w:tcW w:w="1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Marketing</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6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December 4, 2025</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5, 2026 to</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Up to 50,000 shares of</w:t>
            </w:r>
          </w:p>
        </w:tc>
      </w:tr>
      <w:tr>
        <w:trPr>
          <w:trHeight w:val="234"/>
        </w:trPr>
        <w:tc>
          <w:tcPr>
            <w:tcW w:w="1560" w:type="dxa"/>
            <w:vAlign w:val="bottom"/>
          </w:tcPr>
          <w:p>
            <w:pPr>
              <w:spacing w:after="0"/>
              <w:rPr>
                <w:sz w:val="20"/>
                <w:szCs w:val="20"/>
                <w:color w:val="auto"/>
              </w:rPr>
            </w:pPr>
          </w:p>
        </w:tc>
        <w:tc>
          <w:tcPr>
            <w:tcW w:w="1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Officer</w:t>
            </w:r>
          </w:p>
        </w:tc>
        <w:tc>
          <w:tcPr>
            <w:tcW w:w="1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31, 2026</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r>
      <w:tr>
        <w:trPr>
          <w:trHeight w:val="225"/>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Van Es</w:t>
            </w:r>
          </w:p>
        </w:tc>
        <w:tc>
          <w:tcPr>
            <w:tcW w:w="1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Commercial</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6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December 15, 2025</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16, 2026 to</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Up to 24,000 shares of</w:t>
            </w:r>
          </w:p>
        </w:tc>
      </w:tr>
      <w:tr>
        <w:trPr>
          <w:trHeight w:val="234"/>
        </w:trPr>
        <w:tc>
          <w:tcPr>
            <w:tcW w:w="1560" w:type="dxa"/>
            <w:vAlign w:val="bottom"/>
          </w:tcPr>
          <w:p>
            <w:pPr>
              <w:spacing w:after="0"/>
              <w:rPr>
                <w:sz w:val="20"/>
                <w:szCs w:val="20"/>
                <w:color w:val="auto"/>
              </w:rPr>
            </w:pPr>
          </w:p>
        </w:tc>
        <w:tc>
          <w:tcPr>
            <w:tcW w:w="1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Officer</w:t>
            </w:r>
          </w:p>
        </w:tc>
        <w:tc>
          <w:tcPr>
            <w:tcW w:w="1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30, 2027</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r>
    </w:tbl>
    <w:p>
      <w:pPr>
        <w:spacing w:after="0" w:line="76" w:lineRule="exact"/>
        <w:rPr>
          <w:sz w:val="20"/>
          <w:szCs w:val="20"/>
          <w:color w:val="auto"/>
        </w:rPr>
      </w:pPr>
    </w:p>
    <w:p>
      <w:pPr>
        <w:jc w:val="both"/>
        <w:ind w:right="80" w:firstLine="648"/>
        <w:spacing w:after="0" w:line="250" w:lineRule="auto"/>
        <w:rPr>
          <w:sz w:val="20"/>
          <w:szCs w:val="20"/>
          <w:color w:val="auto"/>
        </w:rPr>
      </w:pPr>
      <w:r>
        <w:rPr>
          <w:rFonts w:ascii="Times New Roman" w:cs="Times New Roman" w:eastAsia="Times New Roman" w:hAnsi="Times New Roman"/>
          <w:sz w:val="18"/>
          <w:szCs w:val="18"/>
          <w:color w:val="auto"/>
        </w:rPr>
        <w:t>Other than as disclosed above, no other officer, director or entity controlled by such officer or director adopted, modified or terminated a contract, instruction or written plan for the purchase or sale of securities of the Company intended to satisfy the affirmative defense of Rule 10b5-1(c) or a non-Rule 10b5-1 trading arrangement.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8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our 2026 Annual Meeting of Stockholders, and such required information is incorporated herein by reference.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8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our 2026 Annual Meeting of Stockholders, and such information is incorporated herein by reference.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8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our 2026 Annual Meeting of Stockholders, and such information is incorporated herein by reference.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8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our 2026 Annual Meeting of Stockholders, and such information is incorporated herein by reference.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8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our 2026 Annual Meeting of Stockholders, and such information is incorporated herein by reference.</w:t>
      </w:r>
    </w:p>
    <w:p>
      <w:pPr>
        <w:spacing w:after="0" w:line="200" w:lineRule="exact"/>
        <w:rPr>
          <w:sz w:val="20"/>
          <w:szCs w:val="20"/>
          <w:color w:val="auto"/>
        </w:rPr>
      </w:pPr>
    </w:p>
    <w:p>
      <w:pPr>
        <w:spacing w:after="0" w:line="36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8" w:right="5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listing of the consolidated financial statements included in Item 8 of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Separate financial schedules have been omitted because such information is inapplicable or is included in the financial statements or notes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Exhibits.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Annual Report on Form 10-K.</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Filed/</w:t>
            </w:r>
          </w:p>
        </w:tc>
        <w:tc>
          <w:tcPr>
            <w:tcW w:w="0" w:type="dxa"/>
            <w:vAlign w:val="bottom"/>
          </w:tcPr>
          <w:p>
            <w:pPr>
              <w:spacing w:after="0"/>
              <w:rPr>
                <w:sz w:val="1"/>
                <w:szCs w:val="1"/>
                <w:color w:val="auto"/>
              </w:rPr>
            </w:pPr>
          </w:p>
        </w:tc>
      </w:tr>
      <w:tr>
        <w:trPr>
          <w:trHeight w:val="23"/>
        </w:trPr>
        <w:tc>
          <w:tcPr>
            <w:tcW w:w="1020" w:type="dxa"/>
            <w:vAlign w:val="bottom"/>
            <w:gridSpan w:val="2"/>
            <w:vMerge w:val="restart"/>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0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0" w:type="dxa"/>
            <w:vAlign w:val="bottom"/>
            <w:gridSpan w:val="10"/>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0" w:type="dxa"/>
            <w:vAlign w:val="bottom"/>
            <w:vMerge w:val="restart"/>
          </w:tcPr>
          <w:p>
            <w:pPr>
              <w:spacing w:after="0"/>
              <w:rPr>
                <w:sz w:val="10"/>
                <w:szCs w:val="10"/>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10"/>
                <w:szCs w:val="10"/>
                <w:color w:val="auto"/>
              </w:rPr>
            </w:pPr>
          </w:p>
        </w:tc>
        <w:tc>
          <w:tcPr>
            <w:tcW w:w="12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vMerge w:val="restart"/>
          </w:tcPr>
          <w:p>
            <w:pPr>
              <w:spacing w:after="0"/>
              <w:rPr>
                <w:sz w:val="10"/>
                <w:szCs w:val="10"/>
                <w:color w:val="auto"/>
              </w:rPr>
            </w:pPr>
          </w:p>
        </w:tc>
        <w:tc>
          <w:tcPr>
            <w:tcW w:w="7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vMerge w:val="restart"/>
          </w:tcPr>
          <w:p>
            <w:pPr>
              <w:spacing w:after="0"/>
              <w:rPr>
                <w:sz w:val="10"/>
                <w:szCs w:val="10"/>
                <w:color w:val="auto"/>
              </w:rPr>
            </w:pP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60" w:type="dxa"/>
            <w:vAlign w:val="bottom"/>
            <w:vMerge w:val="restart"/>
          </w:tcPr>
          <w:p>
            <w:pPr>
              <w:spacing w:after="0"/>
              <w:rPr>
                <w:sz w:val="10"/>
                <w:szCs w:val="10"/>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Furnished Herewith</w:t>
            </w:r>
          </w:p>
        </w:tc>
        <w:tc>
          <w:tcPr>
            <w:tcW w:w="0" w:type="dxa"/>
            <w:vAlign w:val="bottom"/>
          </w:tcPr>
          <w:p>
            <w:pPr>
              <w:spacing w:after="0"/>
              <w:rPr>
                <w:sz w:val="1"/>
                <w:szCs w:val="1"/>
                <w:color w:val="auto"/>
              </w:rPr>
            </w:pPr>
          </w:p>
        </w:tc>
      </w:tr>
      <w:tr>
        <w:trPr>
          <w:trHeight w:val="196"/>
        </w:trPr>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10"/>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gridSpan w:val="13"/>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Second Amended and Restated Certificate of</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1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10/25/21</w:t>
            </w:r>
          </w:p>
        </w:tc>
        <w:tc>
          <w:tcPr>
            <w:tcW w:w="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60" w:type="dxa"/>
            <w:vAlign w:val="bottom"/>
            <w:gridSpan w:val="13"/>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Incorporation of The Vita Coco Company, Inc.</w:t>
              </w:r>
            </w:hyperlink>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4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Amended and Restated Bylaws of The Vita Coco</w:t>
              </w:r>
            </w:hyperlink>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1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10/25/21</w:t>
            </w: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Company, Inc.</w:t>
              </w:r>
            </w:hyperlink>
          </w:p>
        </w:tc>
        <w:tc>
          <w:tcPr>
            <w:tcW w:w="246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60" w:type="dxa"/>
            <w:vAlign w:val="bottom"/>
            <w:gridSpan w:val="13"/>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Specimen Common Stock Certificate of The Vita Coco</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333-259825</w:t>
            </w:r>
          </w:p>
        </w:tc>
        <w:tc>
          <w:tcPr>
            <w:tcW w:w="1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9/27/21</w:t>
            </w: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7"/>
              </w:rPr>
            </w:pPr>
            <w:hyperlink r:id="rId164">
              <w:r>
                <w:rPr>
                  <w:rFonts w:ascii="Times New Roman" w:cs="Times New Roman" w:eastAsia="Times New Roman" w:hAnsi="Times New Roman"/>
                  <w:sz w:val="18"/>
                  <w:szCs w:val="18"/>
                  <w:color w:val="0000FF"/>
                  <w:w w:val="97"/>
                </w:rPr>
                <w:t>Company, Inc.</w:t>
              </w:r>
            </w:hyperlink>
          </w:p>
        </w:tc>
        <w:tc>
          <w:tcPr>
            <w:tcW w:w="2900" w:type="dxa"/>
            <w:vAlign w:val="bottom"/>
            <w:tcBorders>
              <w:top w:val="single" w:sz="8" w:color="0000FF"/>
            </w:tcBorders>
            <w:gridSpan w:val="7"/>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Description of Capital Stock.</w:t>
              </w:r>
            </w:hyperlink>
          </w:p>
        </w:tc>
        <w:tc>
          <w:tcPr>
            <w:tcW w:w="2060" w:type="dxa"/>
            <w:vAlign w:val="bottom"/>
            <w:gridSpan w:val="10"/>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1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3/14/23</w:t>
            </w:r>
          </w:p>
        </w:tc>
        <w:tc>
          <w:tcPr>
            <w:tcW w:w="1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60" w:type="dxa"/>
            <w:vAlign w:val="bottom"/>
            <w:gridSpan w:val="13"/>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Registration Rights Agreement, by and among The Vita</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1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10/25/21</w:t>
            </w: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Coco Company, Inc. and certain security holders of The</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tcBorders>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Vita Coco Company, Inc., dated as of October 20, 2021.</w:t>
              </w:r>
            </w:hyperlink>
          </w:p>
        </w:tc>
        <w:tc>
          <w:tcPr>
            <w:tcW w:w="20" w:type="dxa"/>
            <w:vAlign w:val="bottom"/>
            <w:tcBorders>
              <w:bottom w:val="single" w:sz="8" w:color="0000FF"/>
            </w:tcBorders>
          </w:tcPr>
          <w:p>
            <w:pPr>
              <w:spacing w:after="0"/>
              <w:rPr>
                <w:sz w:val="13"/>
                <w:szCs w:val="13"/>
                <w:color w:val="auto"/>
              </w:rPr>
            </w:pPr>
          </w:p>
        </w:tc>
        <w:tc>
          <w:tcPr>
            <w:tcW w:w="10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Investor Rights Agreement, among The Vita Coco</w:t>
              </w:r>
            </w:hyperlink>
          </w:p>
        </w:tc>
        <w:tc>
          <w:tcPr>
            <w:tcW w:w="540" w:type="dxa"/>
            <w:vAlign w:val="bottom"/>
            <w:gridSpan w:val="6"/>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1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10/25/21</w:t>
            </w: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gridSpan w:val="7"/>
          </w:tcPr>
          <w:p>
            <w:pPr>
              <w:spacing w:after="0" w:line="157" w:lineRule="exact"/>
              <w:rPr>
                <w:rFonts w:ascii="Times New Roman" w:cs="Times New Roman" w:eastAsia="Times New Roman" w:hAnsi="Times New Roman"/>
                <w:sz w:val="18"/>
                <w:szCs w:val="18"/>
                <w:u w:val="single" w:color="auto"/>
                <w:color w:val="0000FF"/>
                <w:w w:val="98"/>
              </w:rPr>
            </w:pPr>
            <w:hyperlink r:id="rId167">
              <w:r>
                <w:rPr>
                  <w:rFonts w:ascii="Times New Roman" w:cs="Times New Roman" w:eastAsia="Times New Roman" w:hAnsi="Times New Roman"/>
                  <w:sz w:val="18"/>
                  <w:szCs w:val="18"/>
                  <w:u w:val="single" w:color="auto"/>
                  <w:color w:val="0000FF"/>
                  <w:w w:val="98"/>
                </w:rPr>
                <w:t>Company, Inc., Verlinvest Beverages SA, Michael</w:t>
              </w:r>
            </w:hyperlink>
          </w:p>
        </w:tc>
        <w:tc>
          <w:tcPr>
            <w:tcW w:w="540" w:type="dxa"/>
            <w:vAlign w:val="bottom"/>
            <w:gridSpan w:val="6"/>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040"/>
        <w:spacing w:after="0"/>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Kirban and Ira Liran, dated as of October 20, 2021.</w:t>
        </w:r>
      </w:hyperlink>
    </w:p>
    <w:p>
      <w:pPr>
        <w:sectPr>
          <w:pgSz w:w="11900" w:h="16838" w:orient="portrait"/>
          <w:cols w:equalWidth="0" w:num="1">
            <w:col w:w="11240"/>
          </w:cols>
          <w:pgMar w:left="320" w:top="108" w:right="339" w:bottom="1440" w:gutter="0" w:footer="0" w:header="0"/>
        </w:sectPr>
      </w:pP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4.5</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320" w:type="dxa"/>
            <w:vAlign w:val="bottom"/>
            <w:tcBorders>
              <w:bottom w:val="single" w:sz="8" w:color="0000FF"/>
            </w:tcBorders>
          </w:tcPr>
          <w:p>
            <w:pPr>
              <w:spacing w:after="0" w:line="190" w:lineRule="exact"/>
              <w:rPr>
                <w:rFonts w:ascii="Times New Roman" w:cs="Times New Roman" w:eastAsia="Times New Roman" w:hAnsi="Times New Roman"/>
                <w:sz w:val="18"/>
                <w:szCs w:val="18"/>
                <w:color w:val="0000FF"/>
                <w:w w:val="98"/>
              </w:rPr>
            </w:pPr>
            <w:hyperlink r:id="rId168">
              <w:r>
                <w:rPr>
                  <w:rFonts w:ascii="Times New Roman" w:cs="Times New Roman" w:eastAsia="Times New Roman" w:hAnsi="Times New Roman"/>
                  <w:sz w:val="18"/>
                  <w:szCs w:val="18"/>
                  <w:color w:val="0000FF"/>
                  <w:w w:val="98"/>
                </w:rPr>
                <w:t>Form of Indenture</w:t>
              </w:r>
            </w:hyperlink>
          </w:p>
        </w:tc>
        <w:tc>
          <w:tcPr>
            <w:tcW w:w="2580" w:type="dxa"/>
            <w:vAlign w:val="bottom"/>
            <w:gridSpan w:val="3"/>
          </w:tcPr>
          <w:p>
            <w:pPr>
              <w:spacing w:after="0"/>
              <w:rPr>
                <w:sz w:val="18"/>
                <w:szCs w:val="18"/>
                <w:color w:val="auto"/>
              </w:rPr>
            </w:pPr>
          </w:p>
        </w:tc>
        <w:tc>
          <w:tcPr>
            <w:tcW w:w="880" w:type="dxa"/>
            <w:vAlign w:val="bottom"/>
          </w:tcPr>
          <w:p>
            <w:pPr>
              <w:ind w:left="280"/>
              <w:spacing w:after="0" w:line="190" w:lineRule="exact"/>
              <w:rPr>
                <w:sz w:val="20"/>
                <w:szCs w:val="20"/>
                <w:color w:val="auto"/>
              </w:rPr>
            </w:pPr>
            <w:r>
              <w:rPr>
                <w:rFonts w:ascii="Times New Roman" w:cs="Times New Roman" w:eastAsia="Times New Roman" w:hAnsi="Times New Roman"/>
                <w:sz w:val="18"/>
                <w:szCs w:val="18"/>
                <w:color w:val="auto"/>
              </w:rPr>
              <w:t>S-3</w:t>
            </w:r>
          </w:p>
        </w:tc>
        <w:tc>
          <w:tcPr>
            <w:tcW w:w="1440" w:type="dxa"/>
            <w:vAlign w:val="bottom"/>
          </w:tcPr>
          <w:p>
            <w:pPr>
              <w:jc w:val="right"/>
              <w:ind w:right="150"/>
              <w:spacing w:after="0" w:line="190" w:lineRule="exact"/>
              <w:rPr>
                <w:sz w:val="20"/>
                <w:szCs w:val="20"/>
                <w:color w:val="auto"/>
              </w:rPr>
            </w:pPr>
            <w:r>
              <w:rPr>
                <w:rFonts w:ascii="Times New Roman" w:cs="Times New Roman" w:eastAsia="Times New Roman" w:hAnsi="Times New Roman"/>
                <w:sz w:val="18"/>
                <w:szCs w:val="18"/>
                <w:color w:val="auto"/>
              </w:rPr>
              <w:t>333-271583</w:t>
            </w:r>
          </w:p>
        </w:tc>
        <w:tc>
          <w:tcPr>
            <w:tcW w:w="700" w:type="dxa"/>
            <w:vAlign w:val="bottom"/>
          </w:tcPr>
          <w:p>
            <w:pPr>
              <w:jc w:val="right"/>
              <w:ind w:right="110"/>
              <w:spacing w:after="0" w:line="190" w:lineRule="exact"/>
              <w:rPr>
                <w:sz w:val="20"/>
                <w:szCs w:val="20"/>
                <w:color w:val="auto"/>
              </w:rPr>
            </w:pPr>
            <w:r>
              <w:rPr>
                <w:rFonts w:ascii="Times New Roman" w:cs="Times New Roman" w:eastAsia="Times New Roman" w:hAnsi="Times New Roman"/>
                <w:sz w:val="18"/>
                <w:szCs w:val="18"/>
                <w:color w:val="auto"/>
              </w:rPr>
              <w:t>4.4</w:t>
            </w:r>
          </w:p>
        </w:tc>
        <w:tc>
          <w:tcPr>
            <w:tcW w:w="700" w:type="dxa"/>
            <w:vAlign w:val="bottom"/>
          </w:tcPr>
          <w:p>
            <w:pPr>
              <w:ind w:left="160"/>
              <w:spacing w:after="0" w:line="190" w:lineRule="exact"/>
              <w:rPr>
                <w:sz w:val="20"/>
                <w:szCs w:val="20"/>
                <w:color w:val="auto"/>
              </w:rPr>
            </w:pPr>
            <w:r>
              <w:rPr>
                <w:rFonts w:ascii="Times New Roman" w:cs="Times New Roman" w:eastAsia="Times New Roman" w:hAnsi="Times New Roman"/>
                <w:sz w:val="18"/>
                <w:szCs w:val="18"/>
                <w:color w:val="auto"/>
              </w:rPr>
              <w:t>5/2/23</w:t>
            </w:r>
          </w:p>
        </w:tc>
      </w:tr>
      <w:tr>
        <w:trPr>
          <w:trHeight w:val="236"/>
        </w:trPr>
        <w:tc>
          <w:tcPr>
            <w:tcW w:w="39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Amendment to Credit Agreement, by and between All</w:t>
              </w:r>
            </w:hyperlink>
          </w:p>
        </w:tc>
        <w:tc>
          <w:tcPr>
            <w:tcW w:w="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259825</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w:t>
            </w:r>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4"/>
              </w:rPr>
              <w:t>9/27/21</w:t>
            </w:r>
          </w:p>
        </w:tc>
      </w:tr>
      <w:tr>
        <w:trPr>
          <w:trHeight w:val="156"/>
        </w:trPr>
        <w:tc>
          <w:tcPr>
            <w:tcW w:w="3900" w:type="dxa"/>
            <w:vAlign w:val="bottom"/>
            <w:gridSpan w:val="4"/>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Market Inc., the Guarantors, and Wells Fargo Bank,</w:t>
              </w:r>
            </w:hyperlink>
          </w:p>
        </w:tc>
        <w:tc>
          <w:tcPr>
            <w:tcW w:w="8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6"/>
        </w:trPr>
        <w:tc>
          <w:tcPr>
            <w:tcW w:w="37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National Association, dated as of January 11, 2021.</w:t>
              </w:r>
            </w:hyperlink>
          </w:p>
        </w:tc>
        <w:tc>
          <w:tcPr>
            <w:tcW w:w="2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23" w:lineRule="exact"/>
        <w:rPr>
          <w:sz w:val="20"/>
          <w:szCs w:val="20"/>
          <w:color w:val="auto"/>
        </w:rPr>
      </w:pPr>
    </w:p>
    <w:p>
      <w:pPr>
        <w:sectPr>
          <w:pgSz w:w="11900" w:h="16838" w:orient="portrait"/>
          <w:cols w:equalWidth="0" w:num="2">
            <w:col w:w="440" w:space="600"/>
            <w:col w:w="10200"/>
          </w:cols>
          <w:pgMar w:left="320" w:top="108" w:right="339" w:bottom="1440" w:gutter="0" w:footer="0" w:header="0"/>
          <w:type w:val="continuous"/>
        </w:sectPr>
      </w:pP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w:t>
      </w: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10.5+</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10.6†</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10.7†</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080" w:type="dxa"/>
            <w:vAlign w:val="bottom"/>
            <w:gridSpan w:val="16"/>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Second Amendment to Credit Agreement, by and</w:t>
              </w:r>
            </w:hyperlink>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S-1</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w:t>
            </w: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259825</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w:t>
            </w:r>
          </w:p>
        </w:tc>
        <w:tc>
          <w:tcPr>
            <w:tcW w:w="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9/27/21</w:t>
            </w:r>
          </w:p>
        </w:tc>
      </w:tr>
      <w:tr>
        <w:trPr>
          <w:trHeight w:val="20"/>
        </w:trPr>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55"/>
        </w:trPr>
        <w:tc>
          <w:tcPr>
            <w:tcW w:w="4080" w:type="dxa"/>
            <w:vAlign w:val="bottom"/>
            <w:gridSpan w:val="16"/>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between All Market Inc., the Guarantors, and Wells</w:t>
              </w:r>
            </w:hyperlink>
          </w:p>
        </w:tc>
        <w:tc>
          <w:tcPr>
            <w:tcW w:w="7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6"/>
        </w:trPr>
        <w:tc>
          <w:tcPr>
            <w:tcW w:w="372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Fargo Bank, National Association, dated as of May</w:t>
              </w:r>
            </w:hyperlink>
          </w:p>
        </w:tc>
        <w:tc>
          <w:tcPr>
            <w:tcW w:w="260" w:type="dxa"/>
            <w:vAlign w:val="bottom"/>
            <w:gridSpan w:val="5"/>
          </w:tcPr>
          <w:p>
            <w:pPr>
              <w:jc w:val="right"/>
              <w:ind w:right="20"/>
              <w:spacing w:after="0" w:line="156" w:lineRule="exact"/>
              <w:rPr>
                <w:rFonts w:ascii="Times New Roman" w:cs="Times New Roman" w:eastAsia="Times New Roman" w:hAnsi="Times New Roman"/>
                <w:sz w:val="18"/>
                <w:szCs w:val="18"/>
                <w:color w:val="0000FF"/>
                <w:w w:val="97"/>
              </w:rPr>
            </w:pPr>
            <w:hyperlink r:id="rId170">
              <w:r>
                <w:rPr>
                  <w:rFonts w:ascii="Times New Roman" w:cs="Times New Roman" w:eastAsia="Times New Roman" w:hAnsi="Times New Roman"/>
                  <w:sz w:val="18"/>
                  <w:szCs w:val="18"/>
                  <w:color w:val="0000FF"/>
                  <w:w w:val="97"/>
                </w:rPr>
                <w:t>21,</w:t>
              </w:r>
            </w:hyperlink>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9"/>
        </w:trPr>
        <w:tc>
          <w:tcPr>
            <w:tcW w:w="40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3"/>
              </w:rPr>
            </w:pPr>
            <w:hyperlink r:id="rId170">
              <w:r>
                <w:rPr>
                  <w:rFonts w:ascii="Times New Roman" w:cs="Times New Roman" w:eastAsia="Times New Roman" w:hAnsi="Times New Roman"/>
                  <w:sz w:val="18"/>
                  <w:szCs w:val="18"/>
                  <w:color w:val="0000FF"/>
                  <w:w w:val="93"/>
                </w:rPr>
                <w:t>2021.</w:t>
              </w:r>
            </w:hyperlink>
          </w:p>
        </w:tc>
        <w:tc>
          <w:tcPr>
            <w:tcW w:w="4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8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9"/>
        </w:trPr>
        <w:tc>
          <w:tcPr>
            <w:tcW w:w="344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Third Amendment to Credit Agreement, by and</w:t>
              </w:r>
            </w:hyperlink>
          </w:p>
        </w:tc>
        <w:tc>
          <w:tcPr>
            <w:tcW w:w="640" w:type="dxa"/>
            <w:vAlign w:val="bottom"/>
            <w:gridSpan w:val="9"/>
          </w:tcPr>
          <w:p>
            <w:pPr>
              <w:spacing w:after="0"/>
              <w:rPr>
                <w:sz w:val="18"/>
                <w:szCs w:val="18"/>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10-K</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001-10950</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10.3</w:t>
            </w:r>
          </w:p>
        </w:tc>
        <w:tc>
          <w:tcPr>
            <w:tcW w:w="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3/14/22</w:t>
            </w:r>
          </w:p>
        </w:tc>
      </w:tr>
      <w:tr>
        <w:trPr>
          <w:trHeight w:val="156"/>
        </w:trPr>
        <w:tc>
          <w:tcPr>
            <w:tcW w:w="4080" w:type="dxa"/>
            <w:vAlign w:val="bottom"/>
            <w:gridSpan w:val="16"/>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between The Vita Coco Company, Inc., the Guarantors,</w:t>
              </w:r>
            </w:hyperlink>
          </w:p>
        </w:tc>
        <w:tc>
          <w:tcPr>
            <w:tcW w:w="7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5"/>
        </w:trPr>
        <w:tc>
          <w:tcPr>
            <w:tcW w:w="39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and Wells Fargo Bank, National Association, dated as</w:t>
              </w:r>
            </w:hyperlink>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9"/>
        </w:trPr>
        <w:tc>
          <w:tcPr>
            <w:tcW w:w="388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of November 2, 2021</w:t>
              </w:r>
              <w:r>
                <w:rPr>
                  <w:rFonts w:ascii="Times New Roman" w:cs="Times New Roman" w:eastAsia="Times New Roman" w:hAnsi="Times New Roman"/>
                  <w:sz w:val="18"/>
                  <w:szCs w:val="18"/>
                  <w:color w:val="000000"/>
                </w:rPr>
                <w:t>.</w:t>
              </w:r>
            </w:hyperlink>
          </w:p>
        </w:tc>
        <w:tc>
          <w:tcPr>
            <w:tcW w:w="200" w:type="dxa"/>
            <w:vAlign w:val="bottom"/>
            <w:gridSpan w:val="3"/>
          </w:tcPr>
          <w:p>
            <w:pPr>
              <w:spacing w:after="0"/>
              <w:rPr>
                <w:sz w:val="14"/>
                <w:szCs w:val="14"/>
                <w:color w:val="auto"/>
              </w:rPr>
            </w:pP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37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Fourth Amendment to the Credit Agreement, by and</w:t>
              </w:r>
            </w:hyperlink>
          </w:p>
        </w:tc>
        <w:tc>
          <w:tcPr>
            <w:tcW w:w="300" w:type="dxa"/>
            <w:vAlign w:val="bottom"/>
            <w:gridSpan w:val="5"/>
          </w:tcPr>
          <w:p>
            <w:pPr>
              <w:spacing w:after="0"/>
              <w:rPr>
                <w:sz w:val="18"/>
                <w:szCs w:val="18"/>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10-K</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001-40950</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3/14/23</w:t>
            </w:r>
          </w:p>
        </w:tc>
      </w:tr>
      <w:tr>
        <w:trPr>
          <w:trHeight w:val="155"/>
        </w:trPr>
        <w:tc>
          <w:tcPr>
            <w:tcW w:w="4080" w:type="dxa"/>
            <w:vAlign w:val="bottom"/>
            <w:gridSpan w:val="16"/>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between The Vita Coco Company, Inc., the Guarantors,</w:t>
              </w:r>
            </w:hyperlink>
          </w:p>
        </w:tc>
        <w:tc>
          <w:tcPr>
            <w:tcW w:w="7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6"/>
        </w:trPr>
        <w:tc>
          <w:tcPr>
            <w:tcW w:w="39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and Wells Fargo Bank, National Association, dated as</w:t>
              </w:r>
            </w:hyperlink>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9"/>
        </w:trPr>
        <w:tc>
          <w:tcPr>
            <w:tcW w:w="388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of December 5, 2022.</w:t>
              </w:r>
            </w:hyperlink>
          </w:p>
        </w:tc>
        <w:tc>
          <w:tcPr>
            <w:tcW w:w="200" w:type="dxa"/>
            <w:vAlign w:val="bottom"/>
            <w:gridSpan w:val="3"/>
          </w:tcPr>
          <w:p>
            <w:pPr>
              <w:spacing w:after="0"/>
              <w:rPr>
                <w:sz w:val="14"/>
                <w:szCs w:val="14"/>
                <w:color w:val="auto"/>
              </w:rPr>
            </w:pP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4080" w:type="dxa"/>
            <w:vAlign w:val="bottom"/>
            <w:gridSpan w:val="16"/>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Fifth Amendment to the Credit Agreement, by and</w:t>
              </w:r>
            </w:hyperlink>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10-K</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001-40950</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10.5</w:t>
            </w:r>
          </w:p>
        </w:tc>
        <w:tc>
          <w:tcPr>
            <w:tcW w:w="9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02/26/2025</w:t>
            </w:r>
          </w:p>
        </w:tc>
      </w:tr>
      <w:tr>
        <w:trPr>
          <w:trHeight w:val="20"/>
        </w:trPr>
        <w:tc>
          <w:tcPr>
            <w:tcW w:w="3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55"/>
        </w:trPr>
        <w:tc>
          <w:tcPr>
            <w:tcW w:w="4080" w:type="dxa"/>
            <w:vAlign w:val="bottom"/>
            <w:gridSpan w:val="16"/>
          </w:tcPr>
          <w:p>
            <w:pPr>
              <w:spacing w:after="0" w:line="15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between The Vita Coco Company, Inc., the Guarantors,</w:t>
              </w:r>
            </w:hyperlink>
          </w:p>
        </w:tc>
        <w:tc>
          <w:tcPr>
            <w:tcW w:w="7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5"/>
        </w:trPr>
        <w:tc>
          <w:tcPr>
            <w:tcW w:w="39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and Wells Fargo Bank, National Association, dated as</w:t>
              </w:r>
            </w:hyperlink>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9"/>
        </w:trPr>
        <w:tc>
          <w:tcPr>
            <w:tcW w:w="388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of February 14, 2025.</w:t>
              </w:r>
            </w:hyperlink>
          </w:p>
        </w:tc>
        <w:tc>
          <w:tcPr>
            <w:tcW w:w="200" w:type="dxa"/>
            <w:vAlign w:val="bottom"/>
            <w:gridSpan w:val="3"/>
          </w:tcPr>
          <w:p>
            <w:pPr>
              <w:spacing w:after="0"/>
              <w:rPr>
                <w:sz w:val="14"/>
                <w:szCs w:val="14"/>
                <w:color w:val="auto"/>
              </w:rPr>
            </w:pPr>
          </w:p>
        </w:tc>
        <w:tc>
          <w:tcPr>
            <w:tcW w:w="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4080" w:type="dxa"/>
            <w:vAlign w:val="bottom"/>
            <w:gridSpan w:val="16"/>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All Market Inc. 2014 Stock Option And Restricted</w:t>
              </w:r>
            </w:hyperlink>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S-1/A</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333-259825</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10.3</w:t>
            </w:r>
          </w:p>
        </w:tc>
        <w:tc>
          <w:tcPr>
            <w:tcW w:w="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10/12/21</w:t>
            </w:r>
          </w:p>
        </w:tc>
      </w:tr>
      <w:tr>
        <w:trPr>
          <w:trHeight w:val="156"/>
        </w:trPr>
        <w:tc>
          <w:tcPr>
            <w:tcW w:w="8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7"/>
              </w:rPr>
            </w:pPr>
            <w:hyperlink r:id="rId174">
              <w:r>
                <w:rPr>
                  <w:rFonts w:ascii="Times New Roman" w:cs="Times New Roman" w:eastAsia="Times New Roman" w:hAnsi="Times New Roman"/>
                  <w:sz w:val="18"/>
                  <w:szCs w:val="18"/>
                  <w:color w:val="0000FF"/>
                  <w:w w:val="97"/>
                </w:rPr>
                <w:t>Stock Plan.</w:t>
              </w:r>
            </w:hyperlink>
          </w:p>
        </w:tc>
        <w:tc>
          <w:tcPr>
            <w:tcW w:w="2820" w:type="dxa"/>
            <w:vAlign w:val="bottom"/>
            <w:tcBorders>
              <w:top w:val="single" w:sz="8" w:color="0000FF"/>
            </w:tcBorders>
            <w:gridSpan w:val="6"/>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4"/>
          </w:tcPr>
          <w:p>
            <w:pPr>
              <w:spacing w:after="0"/>
              <w:rPr>
                <w:sz w:val="13"/>
                <w:szCs w:val="13"/>
                <w:color w:val="auto"/>
              </w:rPr>
            </w:pPr>
          </w:p>
        </w:tc>
        <w:tc>
          <w:tcPr>
            <w:tcW w:w="7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23"/>
        </w:trPr>
        <w:tc>
          <w:tcPr>
            <w:tcW w:w="4080" w:type="dxa"/>
            <w:vAlign w:val="bottom"/>
            <w:gridSpan w:val="16"/>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The Vita Coco Company, Inc. 2021 Incentive Award</w:t>
              </w:r>
            </w:hyperlink>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10-K</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001-40950</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10.5</w:t>
            </w:r>
          </w:p>
        </w:tc>
        <w:tc>
          <w:tcPr>
            <w:tcW w:w="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3/14/22</w:t>
            </w:r>
          </w:p>
        </w:tc>
      </w:tr>
      <w:tr>
        <w:trPr>
          <w:trHeight w:val="155"/>
        </w:trPr>
        <w:tc>
          <w:tcPr>
            <w:tcW w:w="380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Plan</w:t>
              </w:r>
              <w:r>
                <w:rPr>
                  <w:rFonts w:ascii="Times New Roman" w:cs="Times New Roman" w:eastAsia="Times New Roman" w:hAnsi="Times New Roman"/>
                  <w:sz w:val="18"/>
                  <w:szCs w:val="18"/>
                  <w:color w:val="000000"/>
                </w:rPr>
                <w:t>.</w:t>
              </w:r>
            </w:hyperlink>
          </w:p>
        </w:tc>
        <w:tc>
          <w:tcPr>
            <w:tcW w:w="280" w:type="dxa"/>
            <w:vAlign w:val="bottom"/>
            <w:gridSpan w:val="4"/>
          </w:tcPr>
          <w:p>
            <w:pPr>
              <w:spacing w:after="0"/>
              <w:rPr>
                <w:sz w:val="13"/>
                <w:szCs w:val="13"/>
                <w:color w:val="auto"/>
              </w:rPr>
            </w:pPr>
          </w:p>
        </w:tc>
        <w:tc>
          <w:tcPr>
            <w:tcW w:w="7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760" w:type="dxa"/>
            <w:vAlign w:val="bottom"/>
            <w:gridSpan w:val="7"/>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4080" w:type="dxa"/>
            <w:vAlign w:val="bottom"/>
            <w:gridSpan w:val="16"/>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The Vita Coco Company, Inc. 2021 Employee Stock</w:t>
              </w:r>
            </w:hyperlink>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S-1/A</w:t>
            </w:r>
          </w:p>
        </w:tc>
        <w:tc>
          <w:tcPr>
            <w:tcW w:w="14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333-259825</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10.5</w:t>
            </w:r>
          </w:p>
        </w:tc>
        <w:tc>
          <w:tcPr>
            <w:tcW w:w="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10/12/21</w:t>
            </w:r>
          </w:p>
        </w:tc>
      </w:tr>
      <w:tr>
        <w:trPr>
          <w:trHeight w:val="155"/>
        </w:trPr>
        <w:tc>
          <w:tcPr>
            <w:tcW w:w="378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Purchase Plan</w:t>
              </w:r>
              <w:r>
                <w:rPr>
                  <w:rFonts w:ascii="Times New Roman" w:cs="Times New Roman" w:eastAsia="Times New Roman" w:hAnsi="Times New Roman"/>
                  <w:sz w:val="18"/>
                  <w:szCs w:val="18"/>
                  <w:color w:val="000000"/>
                </w:rPr>
                <w:t>.</w:t>
              </w:r>
            </w:hyperlink>
          </w:p>
        </w:tc>
        <w:tc>
          <w:tcPr>
            <w:tcW w:w="300" w:type="dxa"/>
            <w:vAlign w:val="bottom"/>
            <w:gridSpan w:val="5"/>
          </w:tcPr>
          <w:p>
            <w:pPr>
              <w:spacing w:after="0"/>
              <w:rPr>
                <w:sz w:val="13"/>
                <w:szCs w:val="13"/>
                <w:color w:val="auto"/>
              </w:rPr>
            </w:pPr>
          </w:p>
        </w:tc>
        <w:tc>
          <w:tcPr>
            <w:tcW w:w="7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3" w:lineRule="exact"/>
        <w:rPr>
          <w:sz w:val="20"/>
          <w:szCs w:val="20"/>
          <w:color w:val="auto"/>
        </w:rPr>
      </w:pPr>
    </w:p>
    <w:p>
      <w:pPr>
        <w:sectPr>
          <w:pgSz w:w="11900" w:h="16838" w:orient="portrait"/>
          <w:cols w:equalWidth="0" w:num="2">
            <w:col w:w="440" w:space="600"/>
            <w:col w:w="1020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Form of Stock Option Grant Notice</w:t>
            </w:r>
          </w:p>
        </w:tc>
        <w:tc>
          <w:tcPr>
            <w:tcW w:w="656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560" w:type="dxa"/>
            <w:vAlign w:val="bottom"/>
            <w:vMerge w:val="restart"/>
          </w:tcPr>
          <w:p>
            <w:pPr>
              <w:jc w:val="right"/>
              <w:ind w:right="89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Form of Restricted Stock Grant Notice</w:t>
            </w:r>
          </w:p>
        </w:tc>
        <w:tc>
          <w:tcPr>
            <w:tcW w:w="6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52"/>
        </w:trPr>
        <w:tc>
          <w:tcPr>
            <w:tcW w:w="1040" w:type="dxa"/>
            <w:vAlign w:val="bottom"/>
          </w:tcPr>
          <w:p>
            <w:pPr>
              <w:spacing w:after="0"/>
              <w:rPr>
                <w:sz w:val="24"/>
                <w:szCs w:val="24"/>
                <w:color w:val="auto"/>
              </w:rPr>
            </w:pPr>
          </w:p>
        </w:tc>
        <w:tc>
          <w:tcPr>
            <w:tcW w:w="25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656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88"/>
        </w:trPr>
        <w:tc>
          <w:tcPr>
            <w:tcW w:w="1040" w:type="dxa"/>
            <w:vAlign w:val="bottom"/>
            <w:tcBorders>
              <w:bottom w:val="single" w:sz="8" w:color="9A9A9A"/>
            </w:tcBorders>
          </w:tcPr>
          <w:p>
            <w:pPr>
              <w:spacing w:after="0"/>
              <w:rPr>
                <w:sz w:val="7"/>
                <w:szCs w:val="7"/>
                <w:color w:val="auto"/>
              </w:rPr>
            </w:pPr>
          </w:p>
        </w:tc>
        <w:tc>
          <w:tcPr>
            <w:tcW w:w="2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6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7"/>
          <w:szCs w:val="17"/>
          <w:color w:val="auto"/>
        </w:rPr>
        <w:t>Table of Contents</w:t>
      </w:r>
    </w:p>
    <w:p>
      <w:pPr>
        <w:sectPr>
          <w:pgSz w:w="11900" w:h="16838" w:orient="portrait"/>
          <w:cols w:equalWidth="0" w:num="1">
            <w:col w:w="10280"/>
          </w:cols>
          <w:pgMar w:left="320" w:top="108"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10.11†</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10.12†</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10.13†</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10.14†</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10.15†</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10.16†</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10.17</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10.18+†</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10.19</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10.20</w:t>
      </w:r>
      <w:r>
        <w:rPr>
          <w:rFonts w:ascii="Times New Roman" w:cs="Times New Roman" w:eastAsia="Times New Roman" w:hAnsi="Times New Roman"/>
          <w:sz w:val="21"/>
          <w:szCs w:val="21"/>
          <w:color w:val="auto"/>
        </w:rPr>
        <w:t>+†</w:t>
      </w:r>
    </w:p>
    <w:p>
      <w:pPr>
        <w:spacing w:after="0" w:line="3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10.21</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X</w:t>
      </w: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10.22</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X</w:t>
      </w: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10.23</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X</w:t>
      </w: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10.24</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X</w:t>
      </w: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10.25</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19.1</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21.1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120" w:type="dxa"/>
            <w:vAlign w:val="bottom"/>
            <w:gridSpan w:val="32"/>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Amended and Restated Employment Agreement, by and</w:t>
              </w:r>
            </w:hyperlink>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11/17/21</w:t>
            </w:r>
          </w:p>
        </w:tc>
        <w:tc>
          <w:tcPr>
            <w:tcW w:w="0" w:type="dxa"/>
            <w:vAlign w:val="bottom"/>
          </w:tcPr>
          <w:p>
            <w:pPr>
              <w:spacing w:after="0"/>
              <w:rPr>
                <w:sz w:val="1"/>
                <w:szCs w:val="1"/>
                <w:color w:val="auto"/>
              </w:rPr>
            </w:pPr>
          </w:p>
        </w:tc>
      </w:tr>
      <w:tr>
        <w:trPr>
          <w:trHeight w:val="156"/>
        </w:trPr>
        <w:tc>
          <w:tcPr>
            <w:tcW w:w="408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between The Vita Coco Company, Inc. and Michael</w:t>
              </w:r>
            </w:hyperlink>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72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Kirban, dated October 20, 2021.</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gridSpan w:val="32"/>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First Amendment to Employment Agreement, by and</w:t>
              </w:r>
            </w:hyperlink>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11/10/22</w:t>
            </w:r>
          </w:p>
        </w:tc>
        <w:tc>
          <w:tcPr>
            <w:tcW w:w="0" w:type="dxa"/>
            <w:vAlign w:val="bottom"/>
          </w:tcPr>
          <w:p>
            <w:pPr>
              <w:spacing w:after="0"/>
              <w:rPr>
                <w:sz w:val="1"/>
                <w:szCs w:val="1"/>
                <w:color w:val="auto"/>
              </w:rPr>
            </w:pPr>
          </w:p>
        </w:tc>
      </w:tr>
      <w:tr>
        <w:trPr>
          <w:trHeight w:val="156"/>
        </w:trPr>
        <w:tc>
          <w:tcPr>
            <w:tcW w:w="38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between The Vita Coco Company, Inc. and Michael</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72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Kirban, effective as of May 2, 2022.</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gridSpan w:val="32"/>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Second Amendment to Amended and Restated</w:t>
              </w:r>
            </w:hyperlink>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05/02/2024</w:t>
            </w:r>
          </w:p>
        </w:tc>
        <w:tc>
          <w:tcPr>
            <w:tcW w:w="0" w:type="dxa"/>
            <w:vAlign w:val="bottom"/>
          </w:tcPr>
          <w:p>
            <w:pPr>
              <w:spacing w:after="0"/>
              <w:rPr>
                <w:sz w:val="1"/>
                <w:szCs w:val="1"/>
                <w:color w:val="auto"/>
              </w:rPr>
            </w:pPr>
          </w:p>
        </w:tc>
      </w:tr>
      <w:tr>
        <w:trPr>
          <w:trHeight w:val="155"/>
        </w:trPr>
        <w:tc>
          <w:tcPr>
            <w:tcW w:w="336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Employment Agreement, by and between The</w:t>
              </w:r>
            </w:hyperlink>
          </w:p>
        </w:tc>
        <w:tc>
          <w:tcPr>
            <w:tcW w:w="340" w:type="dxa"/>
            <w:vAlign w:val="bottom"/>
            <w:tcBorders>
              <w:bottom w:val="single" w:sz="8" w:color="0000FF"/>
            </w:tcBorders>
            <w:gridSpan w:val="8"/>
          </w:tcPr>
          <w:p>
            <w:pPr>
              <w:jc w:val="center"/>
              <w:ind w:right="40"/>
              <w:spacing w:after="0" w:line="156" w:lineRule="exact"/>
              <w:rPr>
                <w:rFonts w:ascii="Times New Roman" w:cs="Times New Roman" w:eastAsia="Times New Roman" w:hAnsi="Times New Roman"/>
                <w:sz w:val="18"/>
                <w:szCs w:val="18"/>
                <w:color w:val="0000FF"/>
                <w:w w:val="96"/>
              </w:rPr>
            </w:pPr>
            <w:hyperlink r:id="rId181">
              <w:r>
                <w:rPr>
                  <w:rFonts w:ascii="Times New Roman" w:cs="Times New Roman" w:eastAsia="Times New Roman" w:hAnsi="Times New Roman"/>
                  <w:sz w:val="18"/>
                  <w:szCs w:val="18"/>
                  <w:color w:val="0000FF"/>
                  <w:w w:val="96"/>
                </w:rPr>
                <w:t>Vita</w:t>
              </w:r>
            </w:hyperlink>
          </w:p>
        </w:tc>
        <w:tc>
          <w:tcPr>
            <w:tcW w:w="420" w:type="dxa"/>
            <w:vAlign w:val="bottom"/>
            <w:gridSpan w:val="15"/>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120" w:type="dxa"/>
            <w:vAlign w:val="bottom"/>
            <w:gridSpan w:val="32"/>
          </w:tcPr>
          <w:p>
            <w:pPr>
              <w:spacing w:after="0" w:line="169"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Coco Company, Inc. and Michael Kirban, dated March</w:t>
              </w:r>
            </w:hyperlink>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5"/>
              </w:rPr>
            </w:pPr>
            <w:hyperlink r:id="rId181">
              <w:r>
                <w:rPr>
                  <w:rFonts w:ascii="Times New Roman" w:cs="Times New Roman" w:eastAsia="Times New Roman" w:hAnsi="Times New Roman"/>
                  <w:sz w:val="18"/>
                  <w:szCs w:val="18"/>
                  <w:color w:val="0000FF"/>
                  <w:w w:val="95"/>
                </w:rPr>
                <w:t>4, 2024.</w:t>
              </w:r>
            </w:hyperlink>
          </w:p>
        </w:tc>
        <w:tc>
          <w:tcPr>
            <w:tcW w:w="48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120" w:type="dxa"/>
            <w:vAlign w:val="bottom"/>
            <w:gridSpan w:val="32"/>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Amended and Restated Employment Agreement, by and</w:t>
              </w:r>
            </w:hyperlink>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11/17/21</w:t>
            </w:r>
          </w:p>
        </w:tc>
        <w:tc>
          <w:tcPr>
            <w:tcW w:w="0" w:type="dxa"/>
            <w:vAlign w:val="bottom"/>
          </w:tcPr>
          <w:p>
            <w:pPr>
              <w:spacing w:after="0"/>
              <w:rPr>
                <w:sz w:val="1"/>
                <w:szCs w:val="1"/>
                <w:color w:val="auto"/>
              </w:rPr>
            </w:pPr>
          </w:p>
        </w:tc>
      </w:tr>
      <w:tr>
        <w:trPr>
          <w:trHeight w:val="156"/>
        </w:trPr>
        <w:tc>
          <w:tcPr>
            <w:tcW w:w="408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between The Vita Coco Company, Inc. and Martin</w:t>
              </w:r>
            </w:hyperlink>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32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Roper, dated October 20, 2021.</w:t>
              </w:r>
            </w:hyperlink>
          </w:p>
        </w:tc>
        <w:tc>
          <w:tcPr>
            <w:tcW w:w="130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vMerge w:val="restart"/>
          </w:tcPr>
          <w:p>
            <w:pPr>
              <w:jc w:val="center"/>
              <w:ind w:left="209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0"/>
        </w:trPr>
        <w:tc>
          <w:tcPr>
            <w:tcW w:w="412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The Vita Coco Company, Inc. Non-Employee Director</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58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8"/>
              </w:rPr>
              <w:t>Compensation Policy.</w:t>
            </w:r>
          </w:p>
        </w:tc>
        <w:tc>
          <w:tcPr>
            <w:tcW w:w="2360" w:type="dxa"/>
            <w:vAlign w:val="bottom"/>
            <w:tcBorders>
              <w:top w:val="single" w:sz="8" w:color="0000FF"/>
            </w:tcBorders>
            <w:gridSpan w:val="23"/>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20" w:type="dxa"/>
            <w:vAlign w:val="bottom"/>
            <w:gridSpan w:val="32"/>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Form of Indemnification Agreement.</w:t>
              </w:r>
            </w:hyperlink>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S-1/A</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333-259825</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10/12/21</w:t>
            </w:r>
          </w:p>
        </w:tc>
        <w:tc>
          <w:tcPr>
            <w:tcW w:w="0" w:type="dxa"/>
            <w:vAlign w:val="bottom"/>
          </w:tcPr>
          <w:p>
            <w:pPr>
              <w:spacing w:after="0"/>
              <w:rPr>
                <w:sz w:val="1"/>
                <w:szCs w:val="1"/>
                <w:color w:val="auto"/>
              </w:rPr>
            </w:pPr>
          </w:p>
        </w:tc>
      </w:tr>
      <w:tr>
        <w:trPr>
          <w:trHeight w:val="20"/>
        </w:trPr>
        <w:tc>
          <w:tcPr>
            <w:tcW w:w="106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333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259825</w:t>
            </w:r>
          </w:p>
        </w:tc>
        <w:tc>
          <w:tcPr>
            <w:tcW w:w="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Employment Agreement, by and between All Market</w:t>
              </w:r>
            </w:hyperlink>
          </w:p>
        </w:tc>
        <w:tc>
          <w:tcPr>
            <w:tcW w:w="280" w:type="dxa"/>
            <w:vAlign w:val="bottom"/>
            <w:gridSpan w:val="9"/>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c>
          <w:tcPr>
            <w:tcW w:w="1300" w:type="dxa"/>
            <w:vAlign w:val="bottom"/>
            <w:vMerge w:val="continue"/>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9/27/21</w:t>
            </w:r>
          </w:p>
        </w:tc>
        <w:tc>
          <w:tcPr>
            <w:tcW w:w="0" w:type="dxa"/>
            <w:vAlign w:val="bottom"/>
          </w:tcPr>
          <w:p>
            <w:pPr>
              <w:spacing w:after="0"/>
              <w:rPr>
                <w:sz w:val="1"/>
                <w:szCs w:val="1"/>
                <w:color w:val="auto"/>
              </w:rPr>
            </w:pPr>
          </w:p>
        </w:tc>
      </w:tr>
      <w:tr>
        <w:trPr>
          <w:trHeight w:val="155"/>
        </w:trPr>
        <w:tc>
          <w:tcPr>
            <w:tcW w:w="4120" w:type="dxa"/>
            <w:vAlign w:val="bottom"/>
            <w:gridSpan w:val="32"/>
          </w:tcPr>
          <w:p>
            <w:pPr>
              <w:spacing w:after="0" w:line="15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Inc. and Jonathan Burth, dated as of February 10, 2020.</w:t>
              </w:r>
            </w:hyperlink>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0000FF"/>
              <w:bottom w:val="single" w:sz="8" w:color="0000FF"/>
            </w:tcBorders>
            <w:gridSpan w:val="23"/>
          </w:tcPr>
          <w:p>
            <w:pPr>
              <w:spacing w:after="0"/>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Employment Agreement, by and between All Market</w:t>
              </w:r>
            </w:hyperlink>
          </w:p>
        </w:tc>
        <w:tc>
          <w:tcPr>
            <w:tcW w:w="160" w:type="dxa"/>
            <w:vAlign w:val="bottom"/>
            <w:tcBorders>
              <w:top w:val="single" w:sz="8" w:color="0000FF"/>
            </w:tcBorders>
            <w:gridSpan w:val="5"/>
          </w:tcPr>
          <w:p>
            <w:pPr>
              <w:spacing w:after="0"/>
              <w:rPr>
                <w:sz w:val="19"/>
                <w:szCs w:val="19"/>
                <w:color w:val="auto"/>
              </w:rPr>
            </w:pPr>
          </w:p>
        </w:tc>
        <w:tc>
          <w:tcPr>
            <w:tcW w:w="120" w:type="dxa"/>
            <w:vAlign w:val="bottom"/>
            <w:gridSpan w:val="4"/>
          </w:tcPr>
          <w:p>
            <w:pPr>
              <w:spacing w:after="0"/>
              <w:rPr>
                <w:sz w:val="19"/>
                <w:szCs w:val="19"/>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259825</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9/27/21</w:t>
            </w:r>
          </w:p>
        </w:tc>
        <w:tc>
          <w:tcPr>
            <w:tcW w:w="0" w:type="dxa"/>
            <w:vAlign w:val="bottom"/>
          </w:tcPr>
          <w:p>
            <w:pPr>
              <w:spacing w:after="0"/>
              <w:rPr>
                <w:sz w:val="1"/>
                <w:szCs w:val="1"/>
                <w:color w:val="auto"/>
              </w:rPr>
            </w:pPr>
          </w:p>
        </w:tc>
      </w:tr>
      <w:tr>
        <w:trPr>
          <w:trHeight w:val="156"/>
        </w:trPr>
        <w:tc>
          <w:tcPr>
            <w:tcW w:w="4120" w:type="dxa"/>
            <w:vAlign w:val="bottom"/>
            <w:gridSpan w:val="32"/>
          </w:tcPr>
          <w:p>
            <w:pPr>
              <w:spacing w:after="0" w:line="15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Inc. and Charles Van Es, dated as of February 10, 2020.</w:t>
              </w:r>
            </w:hyperlink>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0000FF"/>
            </w:tcBorders>
            <w:gridSpan w:val="28"/>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Employment Agreement, by and between All Market</w:t>
              </w:r>
            </w:hyperlink>
          </w:p>
        </w:tc>
        <w:tc>
          <w:tcPr>
            <w:tcW w:w="120" w:type="dxa"/>
            <w:vAlign w:val="bottom"/>
            <w:gridSpan w:val="4"/>
          </w:tcPr>
          <w:p>
            <w:pPr>
              <w:spacing w:after="0"/>
              <w:rPr>
                <w:sz w:val="19"/>
                <w:szCs w:val="19"/>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259825</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9/27/21</w:t>
            </w:r>
          </w:p>
        </w:tc>
        <w:tc>
          <w:tcPr>
            <w:tcW w:w="0" w:type="dxa"/>
            <w:vAlign w:val="bottom"/>
          </w:tcPr>
          <w:p>
            <w:pPr>
              <w:spacing w:after="0"/>
              <w:rPr>
                <w:sz w:val="1"/>
                <w:szCs w:val="1"/>
                <w:color w:val="auto"/>
              </w:rPr>
            </w:pPr>
          </w:p>
        </w:tc>
      </w:tr>
      <w:tr>
        <w:trPr>
          <w:trHeight w:val="155"/>
        </w:trPr>
        <w:tc>
          <w:tcPr>
            <w:tcW w:w="384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Inc. and Jane Prior, dated as of February 10, 2020.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20" w:type="dxa"/>
            <w:vAlign w:val="bottom"/>
            <w:gridSpan w:val="32"/>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Employment Agreement, by and between The Vita</w:t>
              </w:r>
            </w:hyperlink>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5/5/23</w:t>
            </w:r>
          </w:p>
        </w:tc>
        <w:tc>
          <w:tcPr>
            <w:tcW w:w="0" w:type="dxa"/>
            <w:vAlign w:val="bottom"/>
          </w:tcPr>
          <w:p>
            <w:pPr>
              <w:spacing w:after="0"/>
              <w:rPr>
                <w:sz w:val="1"/>
                <w:szCs w:val="1"/>
                <w:color w:val="auto"/>
              </w:rPr>
            </w:pPr>
          </w:p>
        </w:tc>
      </w:tr>
      <w:tr>
        <w:trPr>
          <w:trHeight w:val="156"/>
        </w:trPr>
        <w:tc>
          <w:tcPr>
            <w:tcW w:w="370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Coco Company, Inc., and Corey Baker, dated as of</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187">
              <w:r>
                <w:rPr>
                  <w:rFonts w:ascii="Times New Roman" w:cs="Times New Roman" w:eastAsia="Times New Roman" w:hAnsi="Times New Roman"/>
                  <w:sz w:val="18"/>
                  <w:szCs w:val="18"/>
                  <w:color w:val="0000FF"/>
                  <w:w w:val="98"/>
                </w:rPr>
                <w:t>March 7, 2023</w:t>
              </w:r>
            </w:hyperlink>
          </w:p>
        </w:tc>
        <w:tc>
          <w:tcPr>
            <w:tcW w:w="2620" w:type="dxa"/>
            <w:vAlign w:val="bottom"/>
            <w:tcBorders>
              <w:top w:val="single" w:sz="8" w:color="0000FF"/>
            </w:tcBorders>
            <w:gridSpan w:val="14"/>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333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259825</w:t>
            </w: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gridSpan w:val="32"/>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Manufacturing and Purchasing Agreement, by and</w:t>
              </w:r>
            </w:hyperlink>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c>
          <w:tcPr>
            <w:tcW w:w="1300" w:type="dxa"/>
            <w:vAlign w:val="bottom"/>
            <w:vMerge w:val="continue"/>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9/27/21</w:t>
            </w:r>
          </w:p>
        </w:tc>
        <w:tc>
          <w:tcPr>
            <w:tcW w:w="0" w:type="dxa"/>
            <w:vAlign w:val="bottom"/>
          </w:tcPr>
          <w:p>
            <w:pPr>
              <w:spacing w:after="0"/>
              <w:rPr>
                <w:sz w:val="1"/>
                <w:szCs w:val="1"/>
                <w:color w:val="auto"/>
              </w:rPr>
            </w:pPr>
          </w:p>
        </w:tc>
      </w:tr>
      <w:tr>
        <w:trPr>
          <w:trHeight w:val="155"/>
        </w:trPr>
        <w:tc>
          <w:tcPr>
            <w:tcW w:w="366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among Century Agriculture Corporation and All</w:t>
              </w:r>
            </w:hyperlink>
          </w:p>
        </w:tc>
        <w:tc>
          <w:tcPr>
            <w:tcW w:w="460" w:type="dxa"/>
            <w:vAlign w:val="bottom"/>
            <w:gridSpan w:val="17"/>
          </w:tcPr>
          <w:p>
            <w:pPr>
              <w:spacing w:after="0" w:line="156" w:lineRule="exact"/>
              <w:rPr>
                <w:rFonts w:ascii="Times New Roman" w:cs="Times New Roman" w:eastAsia="Times New Roman" w:hAnsi="Times New Roman"/>
                <w:sz w:val="18"/>
                <w:szCs w:val="18"/>
                <w:color w:val="0000FF"/>
                <w:w w:val="84"/>
              </w:rPr>
            </w:pPr>
            <w:hyperlink r:id="rId188">
              <w:r>
                <w:rPr>
                  <w:rFonts w:ascii="Times New Roman" w:cs="Times New Roman" w:eastAsia="Times New Roman" w:hAnsi="Times New Roman"/>
                  <w:sz w:val="18"/>
                  <w:szCs w:val="18"/>
                  <w:color w:val="0000FF"/>
                  <w:w w:val="84"/>
                </w:rPr>
                <w:t>Market</w:t>
              </w:r>
            </w:hyperlink>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800" w:type="dxa"/>
            <w:vAlign w:val="bottom"/>
            <w:tcBorders>
              <w:top w:val="single" w:sz="8" w:color="0000FF"/>
              <w:bottom w:val="single" w:sz="8" w:color="0000FF"/>
            </w:tcBorders>
            <w:gridSpan w:val="21"/>
          </w:tcPr>
          <w:p>
            <w:pPr>
              <w:spacing w:after="0" w:line="169"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Singapore Pte. Ltd., dated as of September 17, 2012.</w:t>
              </w:r>
            </w:hyperlink>
          </w:p>
        </w:tc>
        <w:tc>
          <w:tcPr>
            <w:tcW w:w="260" w:type="dxa"/>
            <w:vAlign w:val="bottom"/>
            <w:tcBorders>
              <w:top w:val="single" w:sz="8" w:color="0000FF"/>
            </w:tcBorders>
            <w:gridSpan w:val="9"/>
          </w:tcPr>
          <w:p>
            <w:pPr>
              <w:spacing w:after="0"/>
              <w:rPr>
                <w:sz w:val="14"/>
                <w:szCs w:val="14"/>
                <w:color w:val="auto"/>
              </w:rPr>
            </w:pPr>
          </w:p>
        </w:tc>
        <w:tc>
          <w:tcPr>
            <w:tcW w:w="6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333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259825</w:t>
            </w: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gridSpan w:val="32"/>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Manufacturing and Purchasing Agreement, by and</w:t>
              </w:r>
            </w:hyperlink>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c>
          <w:tcPr>
            <w:tcW w:w="1300" w:type="dxa"/>
            <w:vAlign w:val="bottom"/>
            <w:vMerge w:val="continue"/>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9/27/21</w:t>
            </w:r>
          </w:p>
        </w:tc>
        <w:tc>
          <w:tcPr>
            <w:tcW w:w="0" w:type="dxa"/>
            <w:vAlign w:val="bottom"/>
          </w:tcPr>
          <w:p>
            <w:pPr>
              <w:spacing w:after="0"/>
              <w:rPr>
                <w:sz w:val="1"/>
                <w:szCs w:val="1"/>
                <w:color w:val="auto"/>
              </w:rPr>
            </w:pPr>
          </w:p>
        </w:tc>
      </w:tr>
      <w:tr>
        <w:trPr>
          <w:trHeight w:val="155"/>
        </w:trPr>
        <w:tc>
          <w:tcPr>
            <w:tcW w:w="366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7"/>
              </w:rPr>
            </w:pPr>
            <w:hyperlink r:id="rId189">
              <w:r>
                <w:rPr>
                  <w:rFonts w:ascii="Times New Roman" w:cs="Times New Roman" w:eastAsia="Times New Roman" w:hAnsi="Times New Roman"/>
                  <w:sz w:val="18"/>
                  <w:szCs w:val="18"/>
                  <w:color w:val="0000FF"/>
                  <w:w w:val="97"/>
                </w:rPr>
                <w:t>among Fresh Fruit Ingredients, Inc. and All Market,</w:t>
              </w:r>
            </w:hyperlink>
          </w:p>
        </w:tc>
        <w:tc>
          <w:tcPr>
            <w:tcW w:w="80" w:type="dxa"/>
            <w:vAlign w:val="bottom"/>
            <w:tcBorders>
              <w:bottom w:val="single" w:sz="8" w:color="0000FF"/>
            </w:tcBorders>
            <w:gridSpan w:val="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00" w:type="dxa"/>
            <w:vAlign w:val="bottom"/>
            <w:tcBorders>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Inc., dated as of April 8, 2010.</w:t>
              </w:r>
            </w:hyperlink>
          </w:p>
        </w:tc>
        <w:tc>
          <w:tcPr>
            <w:tcW w:w="1540" w:type="dxa"/>
            <w:vAlign w:val="bottom"/>
            <w:gridSpan w:val="15"/>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4"/>
          </w:tcPr>
          <w:p>
            <w:pPr>
              <w:spacing w:after="0"/>
              <w:rPr>
                <w:sz w:val="14"/>
                <w:szCs w:val="14"/>
                <w:color w:val="auto"/>
              </w:rPr>
            </w:pPr>
          </w:p>
        </w:tc>
        <w:tc>
          <w:tcPr>
            <w:tcW w:w="80" w:type="dxa"/>
            <w:vAlign w:val="bottom"/>
            <w:gridSpan w:val="3"/>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gridSpan w:val="32"/>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Manufacturing and Purchasing Agreement, by and</w:t>
              </w:r>
            </w:hyperlink>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05/02/2024</w:t>
            </w:r>
          </w:p>
        </w:tc>
        <w:tc>
          <w:tcPr>
            <w:tcW w:w="0" w:type="dxa"/>
            <w:vAlign w:val="bottom"/>
          </w:tcPr>
          <w:p>
            <w:pPr>
              <w:spacing w:after="0"/>
              <w:rPr>
                <w:sz w:val="1"/>
                <w:szCs w:val="1"/>
                <w:color w:val="auto"/>
              </w:rPr>
            </w:pPr>
          </w:p>
        </w:tc>
      </w:tr>
      <w:tr>
        <w:trPr>
          <w:trHeight w:val="155"/>
        </w:trPr>
        <w:tc>
          <w:tcPr>
            <w:tcW w:w="364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among Century Pacific Food, Inc. and All Market</w:t>
              </w:r>
            </w:hyperlink>
          </w:p>
        </w:tc>
        <w:tc>
          <w:tcPr>
            <w:tcW w:w="14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02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90">
              <w:r>
                <w:rPr>
                  <w:rFonts w:ascii="Times New Roman" w:cs="Times New Roman" w:eastAsia="Times New Roman" w:hAnsi="Times New Roman"/>
                  <w:sz w:val="18"/>
                  <w:szCs w:val="18"/>
                  <w:color w:val="0000FF"/>
                  <w:w w:val="99"/>
                </w:rPr>
                <w:t>Singapore Pte. Ltd., dated March 8, 2024.</w:t>
              </w:r>
            </w:hyperlink>
          </w:p>
        </w:tc>
        <w:tc>
          <w:tcPr>
            <w:tcW w:w="600" w:type="dxa"/>
            <w:vAlign w:val="bottom"/>
            <w:tcBorders>
              <w:top w:val="single" w:sz="8" w:color="0000FF"/>
            </w:tcBorders>
            <w:gridSpan w:val="6"/>
          </w:tcPr>
          <w:p>
            <w:pPr>
              <w:spacing w:after="0"/>
              <w:rPr>
                <w:sz w:val="14"/>
                <w:szCs w:val="14"/>
                <w:color w:val="auto"/>
              </w:rPr>
            </w:pPr>
          </w:p>
        </w:tc>
        <w:tc>
          <w:tcPr>
            <w:tcW w:w="16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4"/>
          </w:tcPr>
          <w:p>
            <w:pPr>
              <w:spacing w:after="0"/>
              <w:rPr>
                <w:sz w:val="14"/>
                <w:szCs w:val="14"/>
                <w:color w:val="auto"/>
              </w:rPr>
            </w:pPr>
          </w:p>
        </w:tc>
        <w:tc>
          <w:tcPr>
            <w:tcW w:w="80" w:type="dxa"/>
            <w:vAlign w:val="bottom"/>
            <w:gridSpan w:val="3"/>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gridSpan w:val="32"/>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Co-Manufacturing and Purchasing Agreement, by and</w:t>
              </w:r>
            </w:hyperlink>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08/01/2024</w:t>
            </w:r>
          </w:p>
        </w:tc>
        <w:tc>
          <w:tcPr>
            <w:tcW w:w="0" w:type="dxa"/>
            <w:vAlign w:val="bottom"/>
          </w:tcPr>
          <w:p>
            <w:pPr>
              <w:spacing w:after="0"/>
              <w:rPr>
                <w:sz w:val="1"/>
                <w:szCs w:val="1"/>
                <w:color w:val="auto"/>
              </w:rPr>
            </w:pPr>
          </w:p>
        </w:tc>
      </w:tr>
      <w:tr>
        <w:trPr>
          <w:trHeight w:val="155"/>
        </w:trPr>
        <w:tc>
          <w:tcPr>
            <w:tcW w:w="39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among Axelum Resources Corp. and All Market</w:t>
              </w:r>
            </w:hyperlink>
          </w:p>
        </w:tc>
        <w:tc>
          <w:tcPr>
            <w:tcW w:w="14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50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Singapore Pte. Ltd., dated as of April 18, 2024.</w:t>
              </w:r>
            </w:hyperlink>
          </w:p>
        </w:tc>
        <w:tc>
          <w:tcPr>
            <w:tcW w:w="28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60" w:type="dxa"/>
            <w:vAlign w:val="bottom"/>
            <w:gridSpan w:val="5"/>
          </w:tcPr>
          <w:p>
            <w:pPr>
              <w:spacing w:after="0"/>
              <w:rPr>
                <w:sz w:val="14"/>
                <w:szCs w:val="14"/>
                <w:color w:val="auto"/>
              </w:rPr>
            </w:pPr>
          </w:p>
        </w:tc>
        <w:tc>
          <w:tcPr>
            <w:tcW w:w="80" w:type="dxa"/>
            <w:vAlign w:val="bottom"/>
            <w:gridSpan w:val="3"/>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0" w:type="dxa"/>
            <w:vAlign w:val="bottom"/>
            <w:tcBorders>
              <w:right w:val="single" w:sz="8" w:color="0000FF"/>
            </w:tcBorders>
            <w:gridSpan w:val="6"/>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gridSpan w:val="32"/>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Third Amendment to the Manufacturing and Purchasing</w:t>
              </w:r>
            </w:hyperlink>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07/30/2025</w:t>
            </w:r>
          </w:p>
        </w:tc>
        <w:tc>
          <w:tcPr>
            <w:tcW w:w="0" w:type="dxa"/>
            <w:vAlign w:val="bottom"/>
          </w:tcPr>
          <w:p>
            <w:pPr>
              <w:spacing w:after="0"/>
              <w:rPr>
                <w:sz w:val="1"/>
                <w:szCs w:val="1"/>
                <w:color w:val="auto"/>
              </w:rPr>
            </w:pPr>
          </w:p>
        </w:tc>
      </w:tr>
      <w:tr>
        <w:trPr>
          <w:trHeight w:val="156"/>
        </w:trPr>
        <w:tc>
          <w:tcPr>
            <w:tcW w:w="404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Agreement, by and between Century Pacific</w:t>
              </w:r>
            </w:hyperlink>
          </w:p>
        </w:tc>
        <w:tc>
          <w:tcPr>
            <w:tcW w:w="80" w:type="dxa"/>
            <w:vAlign w:val="bottom"/>
            <w:gridSpan w:val="3"/>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18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Agricultural Ventures, Inc., and All Market</w:t>
              </w:r>
            </w:hyperlink>
          </w:p>
        </w:tc>
        <w:tc>
          <w:tcPr>
            <w:tcW w:w="940" w:type="dxa"/>
            <w:vAlign w:val="bottom"/>
            <w:gridSpan w:val="24"/>
          </w:tcPr>
          <w:p>
            <w:pPr>
              <w:jc w:val="center"/>
              <w:ind w:right="240"/>
              <w:spacing w:after="0" w:line="169" w:lineRule="exact"/>
              <w:rPr>
                <w:rFonts w:ascii="Times New Roman" w:cs="Times New Roman" w:eastAsia="Times New Roman" w:hAnsi="Times New Roman"/>
                <w:sz w:val="18"/>
                <w:szCs w:val="18"/>
                <w:color w:val="0000FF"/>
                <w:w w:val="95"/>
              </w:rPr>
            </w:pPr>
            <w:hyperlink r:id="rId192">
              <w:r>
                <w:rPr>
                  <w:rFonts w:ascii="Times New Roman" w:cs="Times New Roman" w:eastAsia="Times New Roman" w:hAnsi="Times New Roman"/>
                  <w:sz w:val="18"/>
                  <w:szCs w:val="18"/>
                  <w:color w:val="0000FF"/>
                  <w:w w:val="95"/>
                </w:rPr>
                <w:t>Singapore</w:t>
              </w:r>
            </w:hyperlink>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0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Pte. Ltd, dated as of June 12, 2025.</w:t>
              </w:r>
            </w:hyperlink>
          </w:p>
        </w:tc>
        <w:tc>
          <w:tcPr>
            <w:tcW w:w="1280" w:type="dxa"/>
            <w:vAlign w:val="bottom"/>
            <w:tcBorders>
              <w:top w:val="single" w:sz="8" w:color="0000FF"/>
            </w:tcBorders>
            <w:gridSpan w:val="18"/>
          </w:tcPr>
          <w:p>
            <w:pPr>
              <w:spacing w:after="0"/>
              <w:rPr>
                <w:sz w:val="13"/>
                <w:szCs w:val="13"/>
                <w:color w:val="auto"/>
              </w:rPr>
            </w:pPr>
          </w:p>
        </w:tc>
        <w:tc>
          <w:tcPr>
            <w:tcW w:w="240" w:type="dxa"/>
            <w:vAlign w:val="bottom"/>
            <w:gridSpan w:val="8"/>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120" w:type="dxa"/>
            <w:vAlign w:val="bottom"/>
            <w:gridSpan w:val="32"/>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The Vita Coco Company, Inc. Insider Trading Policy</w:t>
              </w:r>
            </w:hyperlink>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001-40950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19.1</w:t>
            </w:r>
          </w:p>
        </w:tc>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02/26/2005</w:t>
            </w:r>
          </w:p>
        </w:tc>
        <w:tc>
          <w:tcPr>
            <w:tcW w:w="0" w:type="dxa"/>
            <w:vAlign w:val="bottom"/>
          </w:tcPr>
          <w:p>
            <w:pPr>
              <w:spacing w:after="0"/>
              <w:rPr>
                <w:sz w:val="1"/>
                <w:szCs w:val="1"/>
                <w:color w:val="auto"/>
              </w:rPr>
            </w:pPr>
          </w:p>
        </w:tc>
      </w:tr>
      <w:tr>
        <w:trPr>
          <w:trHeight w:val="236"/>
        </w:trPr>
        <w:tc>
          <w:tcPr>
            <w:tcW w:w="380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List of Subsidiaries of The Vita Coco Company, Inc.</w:t>
            </w:r>
          </w:p>
        </w:tc>
        <w:tc>
          <w:tcPr>
            <w:tcW w:w="320" w:type="dxa"/>
            <w:vAlign w:val="bottom"/>
            <w:gridSpan w:val="11"/>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8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78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Consent of Deloitte &amp; Touche LLP Independent</w:t>
            </w:r>
          </w:p>
        </w:tc>
        <w:tc>
          <w:tcPr>
            <w:tcW w:w="340" w:type="dxa"/>
            <w:vAlign w:val="bottom"/>
            <w:gridSpan w:val="12"/>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8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346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Registered Public Accounting Firm.</w:t>
            </w:r>
          </w:p>
        </w:tc>
        <w:tc>
          <w:tcPr>
            <w:tcW w:w="660" w:type="dxa"/>
            <w:vAlign w:val="bottom"/>
            <w:gridSpan w:val="21"/>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2"/>
        </w:trPr>
        <w:tc>
          <w:tcPr>
            <w:tcW w:w="58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99</w:t>
            </w: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47625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680" w:space="360"/>
            <w:col w:w="9240"/>
          </w:cols>
          <w:pgMar w:left="320" w:top="108" w:right="129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34"/>
        </w:trPr>
        <w:tc>
          <w:tcPr>
            <w:tcW w:w="51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82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4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Rule 13a-14(a)/15d-14(a) Certification of Chief</w:t>
            </w: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6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rPr>
              <w:t>*</w:t>
            </w:r>
          </w:p>
        </w:tc>
      </w:tr>
      <w:tr>
        <w:trPr>
          <w:trHeight w:val="156"/>
        </w:trPr>
        <w:tc>
          <w:tcPr>
            <w:tcW w:w="1040" w:type="dxa"/>
            <w:vAlign w:val="bottom"/>
          </w:tcPr>
          <w:p>
            <w:pPr>
              <w:spacing w:after="0"/>
              <w:rPr>
                <w:sz w:val="13"/>
                <w:szCs w:val="13"/>
                <w:color w:val="auto"/>
              </w:rPr>
            </w:pPr>
          </w:p>
        </w:tc>
        <w:tc>
          <w:tcPr>
            <w:tcW w:w="132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7"/>
              </w:rPr>
              <w:t>Executive Officer.</w:t>
            </w:r>
          </w:p>
        </w:tc>
        <w:tc>
          <w:tcPr>
            <w:tcW w:w="2120" w:type="dxa"/>
            <w:vAlign w:val="bottom"/>
            <w:tcBorders>
              <w:top w:val="single" w:sz="8" w:color="0000FF"/>
            </w:tcBorders>
            <w:gridSpan w:val="2"/>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22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4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Rule 13a-14(a)/15d-14(a) Certification of Chief</w:t>
            </w:r>
          </w:p>
        </w:tc>
        <w:tc>
          <w:tcPr>
            <w:tcW w:w="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36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rPr>
              <w:t>*</w:t>
            </w:r>
          </w:p>
        </w:tc>
      </w:tr>
      <w:tr>
        <w:trPr>
          <w:trHeight w:val="156"/>
        </w:trPr>
        <w:tc>
          <w:tcPr>
            <w:tcW w:w="1040" w:type="dxa"/>
            <w:vAlign w:val="bottom"/>
          </w:tcPr>
          <w:p>
            <w:pPr>
              <w:spacing w:after="0"/>
              <w:rPr>
                <w:sz w:val="13"/>
                <w:szCs w:val="13"/>
                <w:color w:val="auto"/>
              </w:rPr>
            </w:pPr>
          </w:p>
        </w:tc>
        <w:tc>
          <w:tcPr>
            <w:tcW w:w="344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Financial Officer.</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3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Chief Executive Officer.</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36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w w:val="99"/>
              </w:rPr>
              <w:t>**</w:t>
            </w: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4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Section 1350 Certification of Chief Financial Officer.</w:t>
            </w: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6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w w:val="99"/>
              </w:rPr>
              <w:t>**</w:t>
            </w: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342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8"/>
                <w:szCs w:val="18"/>
                <w:color w:val="0000FF"/>
                <w:w w:val="98"/>
              </w:rPr>
            </w:pPr>
            <w:hyperlink r:id="rId195">
              <w:r>
                <w:rPr>
                  <w:rFonts w:ascii="Times New Roman" w:cs="Times New Roman" w:eastAsia="Times New Roman" w:hAnsi="Times New Roman"/>
                  <w:sz w:val="18"/>
                  <w:szCs w:val="18"/>
                  <w:color w:val="0000FF"/>
                  <w:w w:val="98"/>
                </w:rPr>
                <w:t>The Vita Coco Company, Inc. Clawback Policy</w:t>
              </w:r>
            </w:hyperlink>
          </w:p>
        </w:tc>
        <w:tc>
          <w:tcPr>
            <w:tcW w:w="420" w:type="dxa"/>
            <w:vAlign w:val="bottom"/>
            <w:tcBorders>
              <w:top w:val="single" w:sz="8" w:color="0000FF"/>
            </w:tcBorders>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10-K</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001-40950</w:t>
            </w: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97.1</w:t>
            </w:r>
          </w:p>
        </w:tc>
        <w:tc>
          <w:tcPr>
            <w:tcW w:w="23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02/26/2025</w:t>
            </w: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4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6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1040" w:type="dxa"/>
            <w:vAlign w:val="bottom"/>
          </w:tcPr>
          <w:p>
            <w:pPr>
              <w:spacing w:after="0"/>
              <w:rPr>
                <w:sz w:val="16"/>
                <w:szCs w:val="16"/>
                <w:color w:val="auto"/>
              </w:rPr>
            </w:pPr>
          </w:p>
        </w:tc>
        <w:tc>
          <w:tcPr>
            <w:tcW w:w="410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auto"/>
              </w:rPr>
              <w:t>document does not appear in the Interactive Data file</w:t>
            </w: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360" w:type="dxa"/>
            <w:vAlign w:val="bottom"/>
          </w:tcPr>
          <w:p>
            <w:pPr>
              <w:spacing w:after="0"/>
              <w:rPr>
                <w:sz w:val="16"/>
                <w:szCs w:val="16"/>
                <w:color w:val="auto"/>
              </w:rPr>
            </w:pPr>
          </w:p>
        </w:tc>
      </w:tr>
      <w:tr>
        <w:trPr>
          <w:trHeight w:val="180"/>
        </w:trPr>
        <w:tc>
          <w:tcPr>
            <w:tcW w:w="1040" w:type="dxa"/>
            <w:vAlign w:val="bottom"/>
          </w:tcPr>
          <w:p>
            <w:pPr>
              <w:spacing w:after="0"/>
              <w:rPr>
                <w:sz w:val="15"/>
                <w:szCs w:val="15"/>
                <w:color w:val="auto"/>
              </w:rPr>
            </w:pPr>
          </w:p>
        </w:tc>
        <w:tc>
          <w:tcPr>
            <w:tcW w:w="4100" w:type="dxa"/>
            <w:vAlign w:val="bottom"/>
            <w:gridSpan w:val="7"/>
          </w:tcPr>
          <w:p>
            <w:pPr>
              <w:spacing w:after="0" w:line="181" w:lineRule="exact"/>
              <w:rPr>
                <w:sz w:val="20"/>
                <w:szCs w:val="20"/>
                <w:color w:val="auto"/>
              </w:rPr>
            </w:pPr>
            <w:r>
              <w:rPr>
                <w:rFonts w:ascii="Times New Roman" w:cs="Times New Roman" w:eastAsia="Times New Roman" w:hAnsi="Times New Roman"/>
                <w:sz w:val="18"/>
                <w:szCs w:val="18"/>
                <w:color w:val="auto"/>
              </w:rPr>
              <w:t>because its XBRL tags are embedded within the Inline</w:t>
            </w:r>
          </w:p>
        </w:tc>
        <w:tc>
          <w:tcPr>
            <w:tcW w:w="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225"/>
        </w:trPr>
        <w:tc>
          <w:tcPr>
            <w:tcW w:w="1040" w:type="dxa"/>
            <w:vAlign w:val="bottom"/>
          </w:tcPr>
          <w:p>
            <w:pPr>
              <w:spacing w:after="0"/>
              <w:rPr>
                <w:sz w:val="19"/>
                <w:szCs w:val="19"/>
                <w:color w:val="auto"/>
              </w:rPr>
            </w:pPr>
          </w:p>
        </w:tc>
        <w:tc>
          <w:tcPr>
            <w:tcW w:w="4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2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36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10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101.CAL</w:t>
            </w:r>
          </w:p>
        </w:tc>
        <w:tc>
          <w:tcPr>
            <w:tcW w:w="4100" w:type="dxa"/>
            <w:vAlign w:val="bottom"/>
            <w:gridSpan w:val="7"/>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Calculation</w:t>
            </w:r>
          </w:p>
        </w:tc>
        <w:tc>
          <w:tcPr>
            <w:tcW w:w="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360" w:type="dxa"/>
            <w:vAlign w:val="bottom"/>
          </w:tcPr>
          <w:p>
            <w:pPr>
              <w:jc w:val="center"/>
              <w:ind w:left="2090"/>
              <w:spacing w:after="0" w:line="18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1040" w:type="dxa"/>
            <w:vAlign w:val="bottom"/>
          </w:tcPr>
          <w:p>
            <w:pPr>
              <w:spacing w:after="0"/>
              <w:rPr>
                <w:sz w:val="20"/>
                <w:szCs w:val="20"/>
                <w:color w:val="auto"/>
              </w:rPr>
            </w:pPr>
          </w:p>
        </w:tc>
        <w:tc>
          <w:tcPr>
            <w:tcW w:w="4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184"/>
        </w:trPr>
        <w:tc>
          <w:tcPr>
            <w:tcW w:w="1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101.DEF</w:t>
            </w:r>
          </w:p>
        </w:tc>
        <w:tc>
          <w:tcPr>
            <w:tcW w:w="410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360" w:type="dxa"/>
            <w:vAlign w:val="bottom"/>
          </w:tcPr>
          <w:p>
            <w:pPr>
              <w:spacing w:after="0"/>
              <w:rPr>
                <w:sz w:val="16"/>
                <w:szCs w:val="16"/>
                <w:color w:val="auto"/>
              </w:rPr>
            </w:pPr>
          </w:p>
        </w:tc>
      </w:tr>
      <w:tr>
        <w:trPr>
          <w:trHeight w:val="234"/>
        </w:trPr>
        <w:tc>
          <w:tcPr>
            <w:tcW w:w="1040" w:type="dxa"/>
            <w:vAlign w:val="bottom"/>
          </w:tcPr>
          <w:p>
            <w:pPr>
              <w:spacing w:after="0"/>
              <w:rPr>
                <w:sz w:val="20"/>
                <w:szCs w:val="20"/>
                <w:color w:val="auto"/>
              </w:rPr>
            </w:pPr>
          </w:p>
        </w:tc>
        <w:tc>
          <w:tcPr>
            <w:tcW w:w="4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w:t>
            </w: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184"/>
        </w:trPr>
        <w:tc>
          <w:tcPr>
            <w:tcW w:w="1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101.LAB</w:t>
            </w:r>
          </w:p>
        </w:tc>
        <w:tc>
          <w:tcPr>
            <w:tcW w:w="410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360" w:type="dxa"/>
            <w:vAlign w:val="bottom"/>
          </w:tcPr>
          <w:p>
            <w:pPr>
              <w:jc w:val="center"/>
              <w:ind w:left="2090"/>
              <w:spacing w:after="0" w:line="184"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1040" w:type="dxa"/>
            <w:vAlign w:val="bottom"/>
          </w:tcPr>
          <w:p>
            <w:pPr>
              <w:spacing w:after="0"/>
              <w:rPr>
                <w:sz w:val="20"/>
                <w:szCs w:val="20"/>
                <w:color w:val="auto"/>
              </w:rPr>
            </w:pPr>
          </w:p>
        </w:tc>
        <w:tc>
          <w:tcPr>
            <w:tcW w:w="4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w:t>
            </w: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184"/>
        </w:trPr>
        <w:tc>
          <w:tcPr>
            <w:tcW w:w="1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101.PRE</w:t>
            </w:r>
          </w:p>
        </w:tc>
        <w:tc>
          <w:tcPr>
            <w:tcW w:w="410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360" w:type="dxa"/>
            <w:vAlign w:val="bottom"/>
          </w:tcPr>
          <w:p>
            <w:pPr>
              <w:jc w:val="center"/>
              <w:ind w:left="2090"/>
              <w:spacing w:after="0" w:line="184"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1040" w:type="dxa"/>
            <w:vAlign w:val="bottom"/>
          </w:tcPr>
          <w:p>
            <w:pPr>
              <w:spacing w:after="0"/>
              <w:rPr>
                <w:sz w:val="20"/>
                <w:szCs w:val="20"/>
                <w:color w:val="auto"/>
              </w:rPr>
            </w:pPr>
          </w:p>
        </w:tc>
        <w:tc>
          <w:tcPr>
            <w:tcW w:w="4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184"/>
        </w:trPr>
        <w:tc>
          <w:tcPr>
            <w:tcW w:w="1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104</w:t>
            </w:r>
          </w:p>
        </w:tc>
        <w:tc>
          <w:tcPr>
            <w:tcW w:w="410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auto"/>
              </w:rPr>
              <w:t>Cover Page Interactive Data File (formatted in Inline</w:t>
            </w: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360" w:type="dxa"/>
            <w:vAlign w:val="bottom"/>
          </w:tcPr>
          <w:p>
            <w:pPr>
              <w:jc w:val="center"/>
              <w:ind w:left="2090"/>
              <w:spacing w:after="0" w:line="184"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1040" w:type="dxa"/>
            <w:vAlign w:val="bottom"/>
          </w:tcPr>
          <w:p>
            <w:pPr>
              <w:spacing w:after="0"/>
              <w:rPr>
                <w:sz w:val="20"/>
                <w:szCs w:val="20"/>
                <w:color w:val="auto"/>
              </w:rPr>
            </w:pPr>
          </w:p>
        </w:tc>
        <w:tc>
          <w:tcPr>
            <w:tcW w:w="41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and contained in Exhibit 101).</w:t>
            </w: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341" w:lineRule="exact"/>
        <w:rPr>
          <w:sz w:val="20"/>
          <w:szCs w:val="20"/>
          <w:color w:val="auto"/>
        </w:rPr>
      </w:pPr>
    </w:p>
    <w:p>
      <w:pPr>
        <w:ind w:left="820" w:hanging="794"/>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820" w:hanging="794"/>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3" w:lineRule="exact"/>
        <w:rPr>
          <w:sz w:val="20"/>
          <w:szCs w:val="20"/>
          <w:color w:val="auto"/>
        </w:rPr>
      </w:pPr>
    </w:p>
    <w:p>
      <w:pPr>
        <w:ind w:left="820" w:hanging="794"/>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Certain portions of this exhibit (indicated by “####”) have been redacted pursuant to Regulation S-K, Item</w:t>
            </w:r>
          </w:p>
        </w:tc>
        <w:tc>
          <w:tcPr>
            <w:tcW w:w="1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601(a)(6).</w:t>
            </w: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Certain portions of this exhibit (indicated by “[***]”) have been redacted pursuant to Regulation S-K, Item</w:t>
            </w:r>
          </w:p>
        </w:tc>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601(b)(10)(iv).</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320" w:top="108" w:right="12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THE VITA COCO COMPANY, INC.</w:t>
      </w:r>
    </w:p>
    <w:p>
      <w:pPr>
        <w:spacing w:after="0" w:line="293" w:lineRule="exact"/>
        <w:rPr>
          <w:sz w:val="20"/>
          <w:szCs w:val="20"/>
          <w:color w:val="auto"/>
        </w:rPr>
      </w:pPr>
    </w:p>
    <w:p>
      <w:pPr>
        <w:ind w:left="20"/>
        <w:spacing w:after="0"/>
        <w:tabs>
          <w:tab w:leader="none" w:pos="5820" w:val="left"/>
          <w:tab w:leader="none" w:pos="8140" w:val="left"/>
        </w:tabs>
        <w:rPr>
          <w:sz w:val="20"/>
          <w:szCs w:val="20"/>
          <w:color w:val="auto"/>
        </w:rPr>
      </w:pPr>
      <w:r>
        <w:rPr>
          <w:rFonts w:ascii="Times New Roman" w:cs="Times New Roman" w:eastAsia="Times New Roman" w:hAnsi="Times New Roman"/>
          <w:sz w:val="18"/>
          <w:szCs w:val="18"/>
          <w:color w:val="auto"/>
        </w:rPr>
        <w:t>Date: February 18,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Martin 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34290</wp:posOffset>
            </wp:positionV>
            <wp:extent cx="31375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9"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8"/>
          <w:szCs w:val="18"/>
          <w:b w:val="1"/>
          <w:bCs w:val="1"/>
          <w:color w:val="auto"/>
        </w:rPr>
        <w:t>Martin Roper</w:t>
      </w:r>
    </w:p>
    <w:p>
      <w:pPr>
        <w:spacing w:after="0" w:line="31"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0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ectPr>
          <w:pgSz w:w="11900" w:h="16838" w:orient="portrait"/>
          <w:cols w:equalWidth="0" w:num="1">
            <w:col w:w="11180"/>
          </w:cols>
          <w:pgMar w:left="320" w:top="108" w:right="399" w:bottom="1440" w:gutter="0" w:footer="0" w:header="0"/>
        </w:sectPr>
      </w:pPr>
    </w:p>
    <w:p>
      <w:pPr>
        <w:spacing w:after="0" w:line="208" w:lineRule="exact"/>
        <w:rPr>
          <w:sz w:val="20"/>
          <w:szCs w:val="20"/>
          <w:color w:val="auto"/>
        </w:rPr>
      </w:pPr>
    </w:p>
    <w:tbl>
      <w:tblPr>
        <w:tblLayout w:type="fixed"/>
        <w:tblInd w:w="820" w:type="dxa"/>
        <w:tblCellMar>
          <w:top w:w="0" w:type="dxa"/>
          <w:left w:w="0" w:type="dxa"/>
          <w:bottom w:w="0" w:type="dxa"/>
          <w:right w:w="0" w:type="dxa"/>
        </w:tblCellMar>
      </w:tblPr>
      <w:tr>
        <w:trPr>
          <w:trHeight w:val="23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820" w:type="dxa"/>
            <w:vAlign w:val="bottom"/>
          </w:tcPr>
          <w:p>
            <w:pPr>
              <w:ind w:left="284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4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/s/ Martin Roper</w:t>
            </w:r>
          </w:p>
        </w:tc>
        <w:tc>
          <w:tcPr>
            <w:tcW w:w="3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Martin Roper</w:t>
            </w:r>
          </w:p>
        </w:tc>
        <w:tc>
          <w:tcPr>
            <w:tcW w:w="3820" w:type="dxa"/>
            <w:vAlign w:val="bottom"/>
          </w:tcPr>
          <w:p>
            <w:pPr>
              <w:ind w:left="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51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/s/ Corey Baker</w:t>
            </w:r>
          </w:p>
        </w:tc>
        <w:tc>
          <w:tcPr>
            <w:tcW w:w="3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Corey Baker</w:t>
            </w:r>
          </w:p>
        </w:tc>
        <w:tc>
          <w:tcPr>
            <w:tcW w:w="38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r>
      <w:tr>
        <w:trPr>
          <w:trHeight w:val="51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/s/ Michael Kirban</w:t>
            </w:r>
          </w:p>
        </w:tc>
        <w:tc>
          <w:tcPr>
            <w:tcW w:w="3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Chairman and Director</w:t>
            </w:r>
          </w:p>
        </w:tc>
      </w:tr>
      <w:tr>
        <w:trPr>
          <w:trHeight w:val="23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Michael Kirban</w:t>
            </w:r>
          </w:p>
        </w:tc>
        <w:tc>
          <w:tcPr>
            <w:tcW w:w="3820" w:type="dxa"/>
            <w:vAlign w:val="bottom"/>
          </w:tcPr>
          <w:p>
            <w:pPr>
              <w:spacing w:after="0"/>
              <w:rPr>
                <w:sz w:val="20"/>
                <w:szCs w:val="20"/>
                <w:color w:val="auto"/>
              </w:rPr>
            </w:pPr>
          </w:p>
        </w:tc>
      </w:tr>
      <w:tr>
        <w:trPr>
          <w:trHeight w:val="51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/s/ Shelley Broader</w:t>
            </w:r>
          </w:p>
        </w:tc>
        <w:tc>
          <w:tcPr>
            <w:tcW w:w="3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Director</w:t>
            </w:r>
          </w:p>
        </w:tc>
      </w:tr>
      <w:tr>
        <w:trPr>
          <w:trHeight w:val="23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Shelley Broader</w:t>
            </w:r>
          </w:p>
        </w:tc>
        <w:tc>
          <w:tcPr>
            <w:tcW w:w="3820" w:type="dxa"/>
            <w:vAlign w:val="bottom"/>
          </w:tcPr>
          <w:p>
            <w:pPr>
              <w:spacing w:after="0"/>
              <w:rPr>
                <w:sz w:val="20"/>
                <w:szCs w:val="20"/>
                <w:color w:val="auto"/>
              </w:rPr>
            </w:pPr>
          </w:p>
        </w:tc>
      </w:tr>
      <w:tr>
        <w:trPr>
          <w:trHeight w:val="51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/s/ Aishetu Fatima Dozie</w:t>
            </w:r>
          </w:p>
        </w:tc>
        <w:tc>
          <w:tcPr>
            <w:tcW w:w="3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Director</w:t>
            </w:r>
          </w:p>
        </w:tc>
      </w:tr>
      <w:tr>
        <w:trPr>
          <w:trHeight w:val="23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Aishetu Fatima Dozie</w:t>
            </w:r>
          </w:p>
        </w:tc>
        <w:tc>
          <w:tcPr>
            <w:tcW w:w="3820" w:type="dxa"/>
            <w:vAlign w:val="bottom"/>
          </w:tcPr>
          <w:p>
            <w:pPr>
              <w:spacing w:after="0"/>
              <w:rPr>
                <w:sz w:val="20"/>
                <w:szCs w:val="20"/>
                <w:color w:val="auto"/>
              </w:rPr>
            </w:pPr>
          </w:p>
        </w:tc>
      </w:tr>
      <w:tr>
        <w:trPr>
          <w:trHeight w:val="51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/s/ John Leahy</w:t>
            </w:r>
          </w:p>
        </w:tc>
        <w:tc>
          <w:tcPr>
            <w:tcW w:w="3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Director</w:t>
            </w:r>
          </w:p>
        </w:tc>
      </w:tr>
      <w:tr>
        <w:trPr>
          <w:trHeight w:val="23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John Leahy</w:t>
            </w:r>
          </w:p>
        </w:tc>
        <w:tc>
          <w:tcPr>
            <w:tcW w:w="3820" w:type="dxa"/>
            <w:vAlign w:val="bottom"/>
          </w:tcPr>
          <w:p>
            <w:pPr>
              <w:spacing w:after="0"/>
              <w:rPr>
                <w:sz w:val="20"/>
                <w:szCs w:val="20"/>
                <w:color w:val="auto"/>
              </w:rPr>
            </w:pPr>
          </w:p>
        </w:tc>
      </w:tr>
      <w:tr>
        <w:trPr>
          <w:trHeight w:val="51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/s/ Ira Liran</w:t>
            </w:r>
          </w:p>
        </w:tc>
        <w:tc>
          <w:tcPr>
            <w:tcW w:w="3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Director</w:t>
            </w:r>
          </w:p>
        </w:tc>
      </w:tr>
      <w:tr>
        <w:trPr>
          <w:trHeight w:val="23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Ira Liran</w:t>
            </w:r>
          </w:p>
        </w:tc>
        <w:tc>
          <w:tcPr>
            <w:tcW w:w="3820" w:type="dxa"/>
            <w:vAlign w:val="bottom"/>
          </w:tcPr>
          <w:p>
            <w:pPr>
              <w:spacing w:after="0"/>
              <w:rPr>
                <w:sz w:val="20"/>
                <w:szCs w:val="20"/>
                <w:color w:val="auto"/>
              </w:rPr>
            </w:pPr>
          </w:p>
        </w:tc>
      </w:tr>
      <w:tr>
        <w:trPr>
          <w:trHeight w:val="51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/s/ Eric Melloul</w:t>
            </w:r>
          </w:p>
        </w:tc>
        <w:tc>
          <w:tcPr>
            <w:tcW w:w="3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Director</w:t>
            </w:r>
          </w:p>
        </w:tc>
      </w:tr>
      <w:tr>
        <w:trPr>
          <w:trHeight w:val="23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Eric Melloul</w:t>
            </w:r>
          </w:p>
        </w:tc>
        <w:tc>
          <w:tcPr>
            <w:tcW w:w="3820" w:type="dxa"/>
            <w:vAlign w:val="bottom"/>
          </w:tcPr>
          <w:p>
            <w:pPr>
              <w:spacing w:after="0"/>
              <w:rPr>
                <w:sz w:val="20"/>
                <w:szCs w:val="20"/>
                <w:color w:val="auto"/>
              </w:rPr>
            </w:pPr>
          </w:p>
        </w:tc>
      </w:tr>
      <w:tr>
        <w:trPr>
          <w:trHeight w:val="464"/>
        </w:trPr>
        <w:tc>
          <w:tcPr>
            <w:tcW w:w="232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/s/ Jane Morreau</w:t>
            </w:r>
          </w:p>
        </w:tc>
        <w:tc>
          <w:tcPr>
            <w:tcW w:w="3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Director</w:t>
            </w:r>
          </w:p>
        </w:tc>
      </w:tr>
      <w:tr>
        <w:trPr>
          <w:trHeight w:val="23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Jane Morreau</w:t>
            </w:r>
          </w:p>
        </w:tc>
        <w:tc>
          <w:tcPr>
            <w:tcW w:w="3820" w:type="dxa"/>
            <w:vAlign w:val="bottom"/>
          </w:tcPr>
          <w:p>
            <w:pPr>
              <w:spacing w:after="0"/>
              <w:rPr>
                <w:sz w:val="20"/>
                <w:szCs w:val="20"/>
                <w:color w:val="auto"/>
              </w:rPr>
            </w:pPr>
          </w:p>
        </w:tc>
      </w:tr>
      <w:tr>
        <w:trPr>
          <w:trHeight w:val="464"/>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/s/ Kenneth Sadowsky</w:t>
            </w:r>
          </w:p>
        </w:tc>
        <w:tc>
          <w:tcPr>
            <w:tcW w:w="3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Director</w:t>
            </w:r>
          </w:p>
        </w:tc>
      </w:tr>
      <w:tr>
        <w:trPr>
          <w:trHeight w:val="23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Kenneth Sadowsky</w:t>
            </w:r>
          </w:p>
        </w:tc>
        <w:tc>
          <w:tcPr>
            <w:tcW w:w="3820" w:type="dxa"/>
            <w:vAlign w:val="bottom"/>
          </w:tcPr>
          <w:p>
            <w:pPr>
              <w:spacing w:after="0"/>
              <w:rPr>
                <w:sz w:val="20"/>
                <w:szCs w:val="20"/>
                <w:color w:val="auto"/>
              </w:rPr>
            </w:pPr>
          </w:p>
        </w:tc>
      </w:tr>
      <w:tr>
        <w:trPr>
          <w:trHeight w:val="464"/>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/s/ John Zupo</w:t>
            </w:r>
          </w:p>
        </w:tc>
        <w:tc>
          <w:tcPr>
            <w:tcW w:w="3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Director</w:t>
            </w:r>
          </w:p>
        </w:tc>
      </w:tr>
      <w:tr>
        <w:trPr>
          <w:trHeight w:val="238"/>
        </w:trPr>
        <w:tc>
          <w:tcPr>
            <w:tcW w:w="23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John Zupo</w:t>
            </w:r>
          </w:p>
        </w:tc>
        <w:tc>
          <w:tcPr>
            <w:tcW w:w="38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4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February 18, 2026</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18, 2026</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18, 2026</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18, 2026</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18, 2026</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18, 2026</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18, 2026</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18, 2026</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18, 2026</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18, 2026</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18, 2026</w:t>
      </w:r>
    </w:p>
    <w:p>
      <w:pPr>
        <w:spacing w:after="0" w:line="481" w:lineRule="exact"/>
        <w:rPr>
          <w:sz w:val="20"/>
          <w:szCs w:val="20"/>
          <w:color w:val="auto"/>
        </w:rPr>
      </w:pPr>
    </w:p>
    <w:p>
      <w:pPr>
        <w:sectPr>
          <w:pgSz w:w="11900" w:h="16838" w:orient="portrait"/>
          <w:cols w:equalWidth="0" w:num="2">
            <w:col w:w="8740" w:space="720"/>
            <w:col w:w="1720"/>
          </w:cols>
          <w:pgMar w:left="320" w:top="108"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80"/>
          </w:cols>
          <w:pgMar w:left="320" w:top="108" w:right="39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642620</wp:posOffset>
            </wp:positionV>
            <wp:extent cx="7140575" cy="6254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8">
                      <a:extLst>
                        <a:ext uri="{28A0092B-C50C-407E-A947-70E740481C1C}"/>
                      </a:extLst>
                    </a:blip>
                    <a:srcRect/>
                    <a:stretch>
                      <a:fillRect/>
                    </a:stretch>
                  </pic:blipFill>
                  <pic:spPr bwMode="auto">
                    <a:xfrm>
                      <a:off x="0" y="0"/>
                      <a:ext cx="714057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VITA COCO COMPANY, INC.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2021 INCENTIVE AWARD PLAN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GLOBAL STOCK OPTION GRANT NOTICE</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Capitalized terms not specifically defined in this Global Stock Option Grant Notice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have the meanings given to them in the 2021 Incentive Award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of The Vita Coco Company,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Company hereby grants to the participant listed below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the stock option described in this Grant Notice (the “</w:t>
      </w:r>
      <w:r>
        <w:rPr>
          <w:rFonts w:ascii="Times New Roman" w:cs="Times New Roman" w:eastAsia="Times New Roman" w:hAnsi="Times New Roman"/>
          <w:sz w:val="20"/>
          <w:szCs w:val="20"/>
          <w:u w:val="single" w:color="auto"/>
          <w:color w:val="auto"/>
        </w:rPr>
        <w:t>Option</w:t>
      </w:r>
      <w:r>
        <w:rPr>
          <w:rFonts w:ascii="Times New Roman" w:cs="Times New Roman" w:eastAsia="Times New Roman" w:hAnsi="Times New Roman"/>
          <w:sz w:val="20"/>
          <w:szCs w:val="20"/>
          <w:color w:val="auto"/>
        </w:rPr>
        <w:t xml:space="preserve">”), subject to the terms and conditions of the Plan and the Global Stock Option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and the Country-Specific Provisions for Non-U.S. Participants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(together,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both of which are incorporated into this Grant Notice by reference.</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Exercise Price per Share:</w:t>
      </w: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Shares Subject to the Option:</w:t>
      </w: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Final Expiration Date:</w:t>
      </w: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Vesting Commencement Date:</w:t>
      </w: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Vesting Schedule:</w:t>
      </w:r>
    </w:p>
    <w:p>
      <w:pPr>
        <w:spacing w:after="0" w:line="112" w:lineRule="exact"/>
        <w:rPr>
          <w:sz w:val="20"/>
          <w:szCs w:val="20"/>
          <w:color w:val="auto"/>
        </w:rPr>
      </w:pPr>
    </w:p>
    <w:p>
      <w:pPr>
        <w:ind w:left="180"/>
        <w:spacing w:after="0"/>
        <w:tabs>
          <w:tab w:leader="none" w:pos="4540" w:val="left"/>
          <w:tab w:leader="none" w:pos="6620" w:val="left"/>
        </w:tabs>
        <w:rPr>
          <w:sz w:val="20"/>
          <w:szCs w:val="20"/>
          <w:color w:val="auto"/>
        </w:rPr>
      </w:pPr>
      <w:r>
        <w:rPr>
          <w:rFonts w:ascii="Times New Roman" w:cs="Times New Roman" w:eastAsia="Times New Roman" w:hAnsi="Times New Roman"/>
          <w:sz w:val="20"/>
          <w:szCs w:val="20"/>
          <w:b w:val="1"/>
          <w:bCs w:val="1"/>
          <w:color w:val="auto"/>
        </w:rPr>
        <w:t>Type of Option (for US taxpayers)</w:t>
      </w:r>
      <w:r>
        <w:rPr>
          <w:sz w:val="20"/>
          <w:szCs w:val="20"/>
          <w:color w:val="auto"/>
        </w:rPr>
        <w:tab/>
      </w:r>
      <w:r>
        <w:rPr>
          <w:rFonts w:ascii="Times New Roman" w:cs="Times New Roman" w:eastAsia="Times New Roman" w:hAnsi="Times New Roman"/>
          <w:sz w:val="20"/>
          <w:szCs w:val="20"/>
          <w:color w:val="auto"/>
        </w:rPr>
        <w:t>Incentive Stock Option</w:t>
      </w:r>
      <w:r>
        <w:rPr>
          <w:sz w:val="20"/>
          <w:szCs w:val="20"/>
          <w:color w:val="auto"/>
        </w:rPr>
        <w:tab/>
      </w:r>
      <w:r>
        <w:rPr>
          <w:rFonts w:ascii="Times New Roman" w:cs="Times New Roman" w:eastAsia="Times New Roman" w:hAnsi="Times New Roman"/>
          <w:sz w:val="19"/>
          <w:szCs w:val="19"/>
          <w:color w:val="auto"/>
        </w:rPr>
        <w:t>Non-Qualified Stock Option</w:t>
      </w:r>
    </w:p>
    <w:p>
      <w:pPr>
        <w:spacing w:after="0" w:line="200" w:lineRule="exact"/>
        <w:rPr>
          <w:sz w:val="20"/>
          <w:szCs w:val="20"/>
          <w:color w:val="auto"/>
        </w:rPr>
      </w:pPr>
    </w:p>
    <w:p>
      <w:pPr>
        <w:spacing w:after="0" w:line="3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By Participant’s signature below or electronic acceptance or authentication in a form authorized by the Company,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or relating to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5349240" cy="14744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9">
                      <a:extLst>
                        <a:ext uri="{28A0092B-C50C-407E-A947-70E740481C1C}"/>
                      </a:extLst>
                    </a:blip>
                    <a:srcRect/>
                    <a:stretch>
                      <a:fillRect/>
                    </a:stretch>
                  </pic:blipFill>
                  <pic:spPr bwMode="auto">
                    <a:xfrm>
                      <a:off x="0" y="0"/>
                      <a:ext cx="5349240" cy="1474470"/>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977" w:right="339" w:bottom="1440" w:gutter="0" w:footer="0" w:header="0"/>
          <w:type w:val="continuous"/>
        </w:sectPr>
      </w:pPr>
    </w:p>
    <w:bookmarkStart w:id="102" w:name="page103"/>
    <w:bookmarkEnd w:id="102"/>
    <w:p>
      <w:pPr>
        <w:ind w:left="522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18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b w:val="1"/>
          <w:bCs w:val="1"/>
          <w:u w:val="single" w:color="auto"/>
          <w:color w:val="auto"/>
        </w:rPr>
        <w:t>TO THE GLOBAL STOCK OPTION GRANT NOTICE</w:t>
      </w:r>
    </w:p>
    <w:p>
      <w:pPr>
        <w:spacing w:after="0" w:line="17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color w:val="auto"/>
        </w:rPr>
        <w:t>GLOBAL STOCK OPTION AGREEMENT</w:t>
      </w:r>
    </w:p>
    <w:p>
      <w:pPr>
        <w:spacing w:after="0" w:line="18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w:t>
      </w:r>
    </w:p>
    <w:p>
      <w:pPr>
        <w:jc w:val="cente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53"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Option is subject to the terms and conditions set forth in this Agreement and the Plan, which is incorporated herein by reference. In the event of any inconsistency between the Plan and this Agreement, the terms of the Plan will control.</w:t>
      </w:r>
    </w:p>
    <w:p>
      <w:pPr>
        <w:spacing w:after="0" w:line="1"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not specifically defined herein shall have the meanings specified in the Plan or the Grant Notice. For purposes of this Agreement,</w:t>
      </w:r>
    </w:p>
    <w:p>
      <w:pPr>
        <w:spacing w:after="0" w:line="1" w:lineRule="exact"/>
        <w:rPr>
          <w:sz w:val="20"/>
          <w:szCs w:val="20"/>
          <w:color w:val="auto"/>
        </w:rPr>
      </w:pPr>
    </w:p>
    <w:p>
      <w:pPr>
        <w:ind w:firstLine="1304"/>
        <w:spacing w:after="0" w:line="221" w:lineRule="auto"/>
        <w:tabs>
          <w:tab w:leader="none" w:pos="193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Cessation Date</w:t>
      </w:r>
      <w:r>
        <w:rPr>
          <w:rFonts w:ascii="Times New Roman" w:cs="Times New Roman" w:eastAsia="Times New Roman" w:hAnsi="Times New Roman"/>
          <w:sz w:val="20"/>
          <w:szCs w:val="20"/>
          <w:color w:val="auto"/>
        </w:rPr>
        <w:t>” shall mean: (i) in the case of death and Disability, the date which is 30 days following the Participant’s Termination of Service for death or Disability, and (ii) in all other cases, the date of the Participant's Termination of Service.</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Participating Company</w:t>
      </w:r>
      <w:r>
        <w:rPr>
          <w:rFonts w:ascii="Times New Roman" w:cs="Times New Roman" w:eastAsia="Times New Roman" w:hAnsi="Times New Roman"/>
          <w:sz w:val="20"/>
          <w:szCs w:val="20"/>
          <w:color w:val="auto"/>
        </w:rPr>
        <w:t>” shall mean the Company or any of its parents or Subsidiaries.</w:t>
      </w:r>
    </w:p>
    <w:p>
      <w:pPr>
        <w:spacing w:after="0" w:line="17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II.</w:t>
      </w:r>
    </w:p>
    <w:p>
      <w:pPr>
        <w:ind w:left="4680"/>
        <w:spacing w:after="0"/>
        <w:rPr>
          <w:sz w:val="20"/>
          <w:szCs w:val="20"/>
          <w:color w:val="auto"/>
        </w:rPr>
      </w:pPr>
      <w:r>
        <w:rPr>
          <w:rFonts w:ascii="Times New Roman" w:cs="Times New Roman" w:eastAsia="Times New Roman" w:hAnsi="Times New Roman"/>
          <w:sz w:val="20"/>
          <w:szCs w:val="20"/>
          <w:b w:val="1"/>
          <w:bCs w:val="1"/>
          <w:color w:val="auto"/>
        </w:rPr>
        <w:t>GRANT OF OPTION</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u w:val="single" w:color="auto"/>
          <w:color w:val="auto"/>
        </w:rPr>
        <w:t>Grant of Option</w:t>
      </w:r>
      <w:r>
        <w:rPr>
          <w:rFonts w:ascii="Times New Roman" w:cs="Times New Roman" w:eastAsia="Times New Roman" w:hAnsi="Times New Roman"/>
          <w:sz w:val="20"/>
          <w:szCs w:val="20"/>
          <w:color w:val="auto"/>
        </w:rPr>
        <w:t>. In consideration of Participant’s past and/or continued employment with or service to a Participating</w:t>
      </w:r>
    </w:p>
    <w:p>
      <w:pPr>
        <w:jc w:val="both"/>
        <w:spacing w:after="0" w:line="215" w:lineRule="auto"/>
        <w:rPr>
          <w:sz w:val="20"/>
          <w:szCs w:val="20"/>
          <w:color w:val="auto"/>
        </w:rPr>
      </w:pPr>
      <w:r>
        <w:rPr>
          <w:rFonts w:ascii="Times New Roman" w:cs="Times New Roman" w:eastAsia="Times New Roman" w:hAnsi="Times New Roman"/>
          <w:sz w:val="19"/>
          <w:szCs w:val="19"/>
          <w:color w:val="auto"/>
        </w:rPr>
        <w:t>Company and for other good and valuable consideration, effective as of the grant date set forth in the Grant Notice (the “</w:t>
      </w:r>
      <w:r>
        <w:rPr>
          <w:rFonts w:ascii="Times New Roman" w:cs="Times New Roman" w:eastAsia="Times New Roman" w:hAnsi="Times New Roman"/>
          <w:sz w:val="19"/>
          <w:szCs w:val="19"/>
          <w:u w:val="single" w:color="auto"/>
          <w:color w:val="auto"/>
        </w:rPr>
        <w:t>Grant Date</w:t>
      </w:r>
      <w:r>
        <w:rPr>
          <w:rFonts w:ascii="Times New Roman" w:cs="Times New Roman" w:eastAsia="Times New Roman" w:hAnsi="Times New Roman"/>
          <w:sz w:val="19"/>
          <w:szCs w:val="19"/>
          <w:color w:val="auto"/>
        </w:rPr>
        <w:t>”), the Company has granted to the Participant the Option to purchase any part or all of an aggregate number of Shares set forth in the Grant Notice,</w:t>
      </w:r>
    </w:p>
    <w:p>
      <w:pPr>
        <w:spacing w:after="0" w:line="204" w:lineRule="auto"/>
        <w:rPr>
          <w:sz w:val="20"/>
          <w:szCs w:val="20"/>
          <w:color w:val="auto"/>
        </w:rPr>
      </w:pPr>
      <w:r>
        <w:rPr>
          <w:rFonts w:ascii="Times New Roman" w:cs="Times New Roman" w:eastAsia="Times New Roman" w:hAnsi="Times New Roman"/>
          <w:sz w:val="20"/>
          <w:szCs w:val="20"/>
          <w:color w:val="auto"/>
        </w:rPr>
        <w:t>upon the terms and conditions set forth in the Grant Notice, the Plan and this Agreement, subject to adjustment as provided in Article VIII of the Plan.</w:t>
      </w:r>
    </w:p>
    <w:p>
      <w:pPr>
        <w:spacing w:after="0" w:line="1" w:lineRule="exact"/>
        <w:rPr>
          <w:sz w:val="20"/>
          <w:szCs w:val="20"/>
          <w:color w:val="auto"/>
        </w:rPr>
      </w:pPr>
    </w:p>
    <w:p>
      <w:pPr>
        <w:ind w:right="20" w:firstLine="648"/>
        <w:spacing w:after="0" w:line="204"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The exercise price per Share of the Shares subject to the Option (the “</w:t>
      </w: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shall be as set forth in the Grant Notice.</w:t>
      </w:r>
    </w:p>
    <w:p>
      <w:pPr>
        <w:spacing w:after="0" w:line="1"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Consideration to the Company</w:t>
      </w:r>
      <w:r>
        <w:rPr>
          <w:rFonts w:ascii="Times New Roman" w:cs="Times New Roman" w:eastAsia="Times New Roman" w:hAnsi="Times New Roman"/>
          <w:sz w:val="20"/>
          <w:szCs w:val="20"/>
          <w:color w:val="auto"/>
        </w:rPr>
        <w:t>. In consideration of the grant of the Option by the Company, Participant agrees to render faithful and efficient services to any Participating Company.</w:t>
      </w:r>
    </w:p>
    <w:p>
      <w:pPr>
        <w:ind w:left="4980"/>
        <w:spacing w:after="0" w:line="197" w:lineRule="auto"/>
        <w:rPr>
          <w:sz w:val="20"/>
          <w:szCs w:val="20"/>
          <w:color w:val="auto"/>
        </w:rPr>
      </w:pPr>
      <w:r>
        <w:rPr>
          <w:rFonts w:ascii="Times New Roman" w:cs="Times New Roman" w:eastAsia="Times New Roman" w:hAnsi="Times New Roman"/>
          <w:sz w:val="20"/>
          <w:szCs w:val="20"/>
          <w:b w:val="1"/>
          <w:bCs w:val="1"/>
          <w:color w:val="auto"/>
        </w:rPr>
        <w:t>Article III.</w:t>
      </w:r>
    </w:p>
    <w:p>
      <w:pPr>
        <w:spacing w:after="0" w:line="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b w:val="1"/>
          <w:bCs w:val="1"/>
          <w:color w:val="auto"/>
        </w:rPr>
        <w:t>PERIOD OF EXERCISABILITY</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u w:val="single" w:color="auto"/>
          <w:color w:val="auto"/>
        </w:rPr>
        <w:t>Commencement of Exercisability</w:t>
      </w:r>
      <w:r>
        <w:rPr>
          <w:rFonts w:ascii="Times New Roman" w:cs="Times New Roman" w:eastAsia="Times New Roman" w:hAnsi="Times New Roman"/>
          <w:sz w:val="19"/>
          <w:szCs w:val="19"/>
          <w:color w:val="auto"/>
        </w:rPr>
        <w:t>.</w:t>
      </w:r>
    </w:p>
    <w:p>
      <w:pPr>
        <w:jc w:val="both"/>
        <w:ind w:firstLine="1304"/>
        <w:spacing w:after="0" w:line="218" w:lineRule="auto"/>
        <w:tabs>
          <w:tab w:leader="none" w:pos="193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Participant’s continued employment with or service to a Participating Company on each applicable vesting date and subject to </w:t>
      </w:r>
      <w:r>
        <w:rPr>
          <w:rFonts w:ascii="Times New Roman" w:cs="Times New Roman" w:eastAsia="Times New Roman" w:hAnsi="Times New Roman"/>
          <w:sz w:val="20"/>
          <w:szCs w:val="20"/>
          <w:u w:val="single" w:color="auto"/>
          <w:color w:val="auto"/>
        </w:rPr>
        <w:t>Sections 3.2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5.14</w:t>
      </w:r>
      <w:r>
        <w:rPr>
          <w:rFonts w:ascii="Times New Roman" w:cs="Times New Roman" w:eastAsia="Times New Roman" w:hAnsi="Times New Roman"/>
          <w:sz w:val="20"/>
          <w:szCs w:val="20"/>
          <w:color w:val="auto"/>
        </w:rPr>
        <w:t xml:space="preserve"> hereof, the Option shall become vested and exercisable in such amounts and at such times as are set forth in the Grant Notice.</w:t>
      </w:r>
    </w:p>
    <w:p>
      <w:pPr>
        <w:spacing w:after="0" w:line="161"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determined by the Administrator or as set forth herein (including on the Grant Notice), or in a written agreement between Participant and the Company, any portion of the Option that has not become vested and exercisable on or prior to the Cessation Date (including, without limitation, pursuant to any employment or similar agreement by and between Participant and the Company) shall be forfeited on the Cessation Date and shall not thereafter become vested or exercisable.</w:t>
      </w:r>
    </w:p>
    <w:p>
      <w:pPr>
        <w:spacing w:after="0" w:line="148" w:lineRule="exact"/>
        <w:rPr>
          <w:rFonts w:ascii="Times New Roman" w:cs="Times New Roman" w:eastAsia="Times New Roman" w:hAnsi="Times New Roman"/>
          <w:sz w:val="20"/>
          <w:szCs w:val="20"/>
          <w:color w:val="auto"/>
        </w:rPr>
      </w:pPr>
    </w:p>
    <w:p>
      <w:pPr>
        <w:ind w:right="20" w:firstLine="1304"/>
        <w:spacing w:after="0" w:line="266" w:lineRule="auto"/>
        <w:tabs>
          <w:tab w:leader="none" w:pos="1934"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 in the event Participant incurs a Termination of Service due to the Participant’s death or Disability, one-hundred percent (100%) of the Option will become vested and exercisable as of the date of such Termination of Service.</w:t>
      </w:r>
    </w:p>
    <w:p>
      <w:pPr>
        <w:spacing w:after="0" w:line="13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Duration of Exercisability</w:t>
      </w:r>
      <w:r>
        <w:rPr>
          <w:rFonts w:ascii="Times New Roman" w:cs="Times New Roman" w:eastAsia="Times New Roman" w:hAnsi="Times New Roman"/>
          <w:sz w:val="20"/>
          <w:szCs w:val="20"/>
          <w:color w:val="auto"/>
        </w:rPr>
        <w:t>. The installments provided for in the vesting schedule set forth in the Grant Notice are cumulative. Each such installment that becomes vested and exercisable pursuant to the vesting schedule set forth in the Grant Notice shall remain vested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exercisable until it becomes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color w:val="auto"/>
        </w:rPr>
        <w:t xml:space="preserve">unexercisable under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hereof. Once the Option becomes unexercisable, it shall be forfeited immediately.</w:t>
      </w:r>
    </w:p>
    <w:p>
      <w:pPr>
        <w:ind w:firstLine="648"/>
        <w:spacing w:after="0" w:line="204"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Expiration of Option</w:t>
      </w:r>
      <w:r>
        <w:rPr>
          <w:rFonts w:ascii="Times New Roman" w:cs="Times New Roman" w:eastAsia="Times New Roman" w:hAnsi="Times New Roman"/>
          <w:sz w:val="20"/>
          <w:szCs w:val="20"/>
          <w:color w:val="auto"/>
        </w:rPr>
        <w:t>. Subject to Section 8.3 of the Plan, the Option may not be exercised to any extent by anyone after the first to occur of the following events:</w:t>
      </w:r>
    </w:p>
    <w:p>
      <w:pPr>
        <w:spacing w:after="0" w:line="1" w:lineRule="exact"/>
        <w:rPr>
          <w:sz w:val="20"/>
          <w:szCs w:val="20"/>
          <w:color w:val="auto"/>
        </w:rPr>
      </w:pPr>
    </w:p>
    <w:p>
      <w:pPr>
        <w:ind w:right="20" w:firstLine="1304"/>
        <w:spacing w:after="0" w:line="228" w:lineRule="auto"/>
        <w:tabs>
          <w:tab w:leader="none" w:pos="193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date set forth in the Grant Notice; provided that such expiration date shall not be later than the tenth (10th) anniversary of the Grant Date;</w:t>
      </w:r>
    </w:p>
    <w:p>
      <w:pPr>
        <w:spacing w:after="0" w:line="148" w:lineRule="exact"/>
        <w:rPr>
          <w:rFonts w:ascii="Times New Roman" w:cs="Times New Roman" w:eastAsia="Times New Roman" w:hAnsi="Times New Roman"/>
          <w:sz w:val="20"/>
          <w:szCs w:val="20"/>
          <w:color w:val="auto"/>
        </w:rPr>
      </w:pPr>
    </w:p>
    <w:p>
      <w:pPr>
        <w:ind w:firstLine="1304"/>
        <w:spacing w:after="0"/>
        <w:tabs>
          <w:tab w:leader="none" w:pos="1932"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the Administrator may otherwise approve, the ninetieth (90th) day following the Cessation Date by reason of Participant’s Termination of Service for any reason other than by a Participating Company for Cause; and</w:t>
      </w:r>
    </w:p>
    <w:p>
      <w:pPr>
        <w:spacing w:after="0" w:line="161" w:lineRule="exact"/>
        <w:rPr>
          <w:rFonts w:ascii="Times New Roman" w:cs="Times New Roman" w:eastAsia="Times New Roman" w:hAnsi="Times New Roman"/>
          <w:sz w:val="20"/>
          <w:szCs w:val="20"/>
          <w:color w:val="auto"/>
        </w:rPr>
      </w:pPr>
    </w:p>
    <w:p>
      <w:pPr>
        <w:ind w:firstLine="1304"/>
        <w:spacing w:after="0" w:line="233" w:lineRule="auto"/>
        <w:tabs>
          <w:tab w:leader="none" w:pos="193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the Administrator may otherwise approve, immediately upon the Cessation Date by reason of Participant’s Termination of Service by a Participating Company for Cause.</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20"/>
          <w:szCs w:val="20"/>
          <w:u w:val="single" w:color="auto"/>
          <w:color w:val="auto"/>
        </w:rPr>
        <w:t>Termination of Service</w:t>
      </w:r>
      <w:r>
        <w:rPr>
          <w:rFonts w:ascii="Times New Roman" w:cs="Times New Roman" w:eastAsia="Times New Roman" w:hAnsi="Times New Roman"/>
          <w:sz w:val="20"/>
          <w:szCs w:val="20"/>
          <w:color w:val="auto"/>
        </w:rPr>
        <w:t>. For purposes of the Option and Participant’s participation in the Plan, Participant’s Termination of</w:t>
      </w:r>
    </w:p>
    <w:p>
      <w:pPr>
        <w:spacing w:after="0" w:line="215" w:lineRule="auto"/>
        <w:rPr>
          <w:sz w:val="20"/>
          <w:szCs w:val="20"/>
          <w:color w:val="auto"/>
        </w:rPr>
      </w:pPr>
      <w:r>
        <w:rPr>
          <w:rFonts w:ascii="Times New Roman" w:cs="Times New Roman" w:eastAsia="Times New Roman" w:hAnsi="Times New Roman"/>
          <w:sz w:val="19"/>
          <w:szCs w:val="19"/>
          <w:color w:val="auto"/>
        </w:rPr>
        <w:t>Service will be considered to be the date Participant is no longer actively providing services to the Company or the Participating Company (regardless of the reason for such termination and whether or not later found to be invalid or in breach of employment laws in the jurisdiction</w:t>
      </w:r>
    </w:p>
    <w:p>
      <w:pPr>
        <w:spacing w:after="0" w:line="211" w:lineRule="auto"/>
        <w:rPr>
          <w:sz w:val="20"/>
          <w:szCs w:val="20"/>
          <w:color w:val="auto"/>
        </w:rPr>
      </w:pPr>
      <w:r>
        <w:rPr>
          <w:rFonts w:ascii="Times New Roman" w:cs="Times New Roman" w:eastAsia="Times New Roman" w:hAnsi="Times New Roman"/>
          <w:sz w:val="20"/>
          <w:szCs w:val="20"/>
          <w:color w:val="auto"/>
        </w:rPr>
        <w:t>where Participant is employed or the terms of Participant’s employment agreement, if any), and unless otherwise expressly provided in this</w:t>
      </w:r>
    </w:p>
    <w:p>
      <w:pPr>
        <w:spacing w:after="0" w:line="204" w:lineRule="auto"/>
        <w:rPr>
          <w:sz w:val="20"/>
          <w:szCs w:val="20"/>
          <w:color w:val="auto"/>
        </w:rPr>
      </w:pPr>
      <w:r>
        <w:rPr>
          <w:rFonts w:ascii="Times New Roman" w:cs="Times New Roman" w:eastAsia="Times New Roman" w:hAnsi="Times New Roman"/>
          <w:sz w:val="20"/>
          <w:szCs w:val="20"/>
          <w:color w:val="auto"/>
        </w:rPr>
        <w:t>Agreement or determined by the Company, (i) Participant’s right to vest in the Option under the Plan, if any, will terminate as of such date and will not be extended by any notice period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Participant’s period of service would not include any contractual notice period or any</w:t>
      </w:r>
    </w:p>
    <w:p>
      <w:pPr>
        <w:spacing w:after="0" w:line="211" w:lineRule="auto"/>
        <w:rPr>
          <w:sz w:val="20"/>
          <w:szCs w:val="20"/>
          <w:color w:val="auto"/>
        </w:rPr>
      </w:pPr>
      <w:r>
        <w:rPr>
          <w:rFonts w:ascii="Times New Roman" w:cs="Times New Roman" w:eastAsia="Times New Roman" w:hAnsi="Times New Roman"/>
          <w:sz w:val="20"/>
          <w:szCs w:val="20"/>
          <w:color w:val="auto"/>
        </w:rPr>
        <w:t>period of “garden leave” or similar period mandated under employment laws in the jurisdiction where the Participant is employed or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terms of the Participant’s employment agreement, if any), and (ii) the period (if any) during which Participant may exercise the Option after a Termination of Service will commence on the date Participant ceases to actively provide services and will not be extended by any notice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period mandated under employment laws in the jurisdiction where Participant is employed or terms of Participant’s employment agreement, if any; the Administrator shall have the exclusive discretion to determine when Participant is no longer actively providing services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purposes of the Option.</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19"/>
          <w:szCs w:val="19"/>
          <w:u w:val="single" w:color="auto"/>
          <w:color w:val="auto"/>
        </w:rPr>
        <w:t>Tax Withholding</w:t>
      </w:r>
      <w:r>
        <w:rPr>
          <w:rFonts w:ascii="Times New Roman" w:cs="Times New Roman" w:eastAsia="Times New Roman" w:hAnsi="Times New Roman"/>
          <w:sz w:val="19"/>
          <w:szCs w:val="19"/>
          <w:color w:val="auto"/>
        </w:rPr>
        <w:t>. Notwithstanding any other provision of this Agreement:</w:t>
      </w:r>
    </w:p>
    <w:p>
      <w:pPr>
        <w:jc w:val="both"/>
        <w:ind w:firstLine="1304"/>
        <w:spacing w:after="0" w:line="215" w:lineRule="auto"/>
        <w:tabs>
          <w:tab w:leader="none" w:pos="193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Participating Companies have the authority to deduct or withhold, or require Participant to remit to the applicable Participating Company, an amount sufficient to satisfy any applicable federal, state, local and foreign taxes (including the employee portion of any FICA obligation) (“</w:t>
      </w:r>
      <w:r>
        <w:rPr>
          <w:rFonts w:ascii="Times New Roman" w:cs="Times New Roman" w:eastAsia="Times New Roman" w:hAnsi="Times New Roman"/>
          <w:sz w:val="20"/>
          <w:szCs w:val="20"/>
          <w:u w:val="single" w:color="auto"/>
          <w:color w:val="auto"/>
        </w:rPr>
        <w:t>Tax-Related Items</w:t>
      </w:r>
      <w:r>
        <w:rPr>
          <w:rFonts w:ascii="Times New Roman" w:cs="Times New Roman" w:eastAsia="Times New Roman" w:hAnsi="Times New Roman"/>
          <w:sz w:val="20"/>
          <w:szCs w:val="20"/>
          <w:color w:val="auto"/>
        </w:rPr>
        <w:t>”) required by Applicable Law to be withheld with respect to any taxable event arising pursuant to this Agreement. The Participating Companies may withhold or Participant may make such payment in one or more of the forms specified below:</w:t>
      </w:r>
    </w:p>
    <w:p>
      <w:pPr>
        <w:spacing w:after="0" w:line="176"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cash or check made payable to the Participating Company with respect to which the withholding</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 arises;</w:t>
      </w:r>
    </w:p>
    <w:p>
      <w:pPr>
        <w:spacing w:after="0" w:line="207"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deduction of such amount from other compensation payable to Participant;</w:t>
      </w:r>
    </w:p>
    <w:p>
      <w:pPr>
        <w:spacing w:after="0" w:line="229" w:lineRule="exact"/>
        <w:rPr>
          <w:rFonts w:ascii="Times New Roman" w:cs="Times New Roman" w:eastAsia="Times New Roman" w:hAnsi="Times New Roman"/>
          <w:sz w:val="20"/>
          <w:szCs w:val="20"/>
          <w:color w:val="auto"/>
        </w:rPr>
      </w:pPr>
    </w:p>
    <w:p>
      <w:pPr>
        <w:jc w:val="both"/>
        <w:ind w:firstLine="1952"/>
        <w:spacing w:after="0" w:line="253" w:lineRule="auto"/>
        <w:tabs>
          <w:tab w:leader="none" w:pos="2592"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withholding taxes arising in connection with the exercise of the Option, with the consent of the Administrator, by requesting that the Participating Companies withhold a net number of vested Shares otherwise issuable upon the exercise of the Option having a then current Fair Market Value not exceeding the amount necessary to satisfy the withholding obligation of the Participating Companies based on the maximum statutory withholding rates in Participant’s applicable jurisdictions for federal, state, local and foreign income tax and payroll tax purposes that are applicable to such taxable income;</w:t>
      </w:r>
    </w:p>
    <w:p>
      <w:pPr>
        <w:spacing w:after="0" w:line="178" w:lineRule="exact"/>
        <w:rPr>
          <w:rFonts w:ascii="Times New Roman" w:cs="Times New Roman" w:eastAsia="Times New Roman" w:hAnsi="Times New Roman"/>
          <w:sz w:val="20"/>
          <w:szCs w:val="20"/>
          <w:color w:val="auto"/>
        </w:rPr>
      </w:pPr>
    </w:p>
    <w:p>
      <w:pPr>
        <w:ind w:firstLine="1952"/>
        <w:spacing w:after="0" w:line="283" w:lineRule="auto"/>
        <w:tabs>
          <w:tab w:leader="none" w:pos="2581"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withholding taxes arising in connection with the exercise of the Option, with the consent of the Administrator, by tendering to the Company vested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4" w:right="339" w:bottom="1440" w:gutter="0" w:footer="0" w:header="0"/>
        </w:sectPr>
      </w:pPr>
    </w:p>
    <w:bookmarkStart w:id="104" w:name="page105"/>
    <w:bookmarkEnd w:id="104"/>
    <w:p>
      <w:pPr>
        <w:jc w:val="both"/>
        <w:spacing w:after="0" w:line="258" w:lineRule="auto"/>
        <w:rPr>
          <w:sz w:val="20"/>
          <w:szCs w:val="20"/>
          <w:color w:val="auto"/>
        </w:rPr>
      </w:pPr>
      <w:r>
        <w:rPr>
          <w:rFonts w:ascii="Times New Roman" w:cs="Times New Roman" w:eastAsia="Times New Roman" w:hAnsi="Times New Roman"/>
          <w:sz w:val="20"/>
          <w:szCs w:val="20"/>
          <w:color w:val="auto"/>
        </w:rPr>
        <w:t>held for such period of time as may be required by the Administrator in order to avoid adverse accounting consequences and having a then current Fair Market Value not exceeding the amount necessary to satisfy the withholding obligation of the Participating Companies based on the maximum statutory withholding rates in Participant’s applicable jurisdictions for federal, state, local and foreign income tax and payroll tax purposes that are applicable to such taxable income;</w:t>
      </w:r>
    </w:p>
    <w:p>
      <w:pPr>
        <w:spacing w:after="0" w:line="172" w:lineRule="exact"/>
        <w:rPr>
          <w:sz w:val="20"/>
          <w:szCs w:val="20"/>
          <w:color w:val="auto"/>
        </w:rPr>
      </w:pPr>
    </w:p>
    <w:p>
      <w:pPr>
        <w:jc w:val="both"/>
        <w:ind w:firstLine="1952"/>
        <w:spacing w:after="0" w:line="253" w:lineRule="auto"/>
        <w:tabs>
          <w:tab w:leader="none" w:pos="2580" w:val="left"/>
        </w:tabs>
        <w:numPr>
          <w:ilvl w:val="2"/>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withholding taxes arising in connection with the exercise of the Option, through the delivery of a notice that Participant has placed a market sell order with a broker acceptable to the Company with respect to Shares then issuable to Participant pursuant to the Option, and that the broker has been directed to pay a sufficient portion of the net proceeds of the sale to the Participating Company with respect to which the withholding obligation arises in satisfaction of such withholding taxes; provided that payment of such proceeds is then made to the applicable Participating Company at such time as may be required by the Administrator, but in any event not later than the settlement of such sale; or</w:t>
      </w:r>
    </w:p>
    <w:p>
      <w:pPr>
        <w:spacing w:after="0" w:line="192"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2"/>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combination of the foregoing.</w:t>
      </w:r>
    </w:p>
    <w:p>
      <w:pPr>
        <w:spacing w:after="0" w:line="215" w:lineRule="exact"/>
        <w:rPr>
          <w:rFonts w:ascii="Times New Roman" w:cs="Times New Roman" w:eastAsia="Times New Roman" w:hAnsi="Times New Roman"/>
          <w:sz w:val="20"/>
          <w:szCs w:val="20"/>
          <w:color w:val="auto"/>
        </w:rPr>
      </w:pPr>
    </w:p>
    <w:p>
      <w:pPr>
        <w:jc w:val="both"/>
        <w:ind w:firstLine="1304"/>
        <w:spacing w:after="0" w:line="214" w:lineRule="auto"/>
        <w:tabs>
          <w:tab w:leader="none" w:pos="1932"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withholding taxes arising in connection with the Option, in the event Participant fails to provide timely payment of all sums required pursuant to </w:t>
      </w:r>
      <w:r>
        <w:rPr>
          <w:rFonts w:ascii="Times New Roman" w:cs="Times New Roman" w:eastAsia="Times New Roman" w:hAnsi="Times New Roman"/>
          <w:sz w:val="20"/>
          <w:szCs w:val="20"/>
          <w:u w:val="single" w:color="auto"/>
          <w:color w:val="auto"/>
        </w:rPr>
        <w:t>Section 3.5(a)</w:t>
      </w:r>
      <w:r>
        <w:rPr>
          <w:rFonts w:ascii="Times New Roman" w:cs="Times New Roman" w:eastAsia="Times New Roman" w:hAnsi="Times New Roman"/>
          <w:sz w:val="20"/>
          <w:szCs w:val="20"/>
          <w:color w:val="auto"/>
        </w:rPr>
        <w:t xml:space="preserve">, the Company shall have the right and option, but not the obligation, to treat such failure as an election by Participant to satisfy all or any portion of Participant’s required payment obligation pursuant to </w:t>
      </w:r>
      <w:r>
        <w:rPr>
          <w:rFonts w:ascii="Times New Roman" w:cs="Times New Roman" w:eastAsia="Times New Roman" w:hAnsi="Times New Roman"/>
          <w:sz w:val="20"/>
          <w:szCs w:val="20"/>
          <w:u w:val="single" w:color="auto"/>
          <w:color w:val="auto"/>
        </w:rPr>
        <w:t>Section 3.5(a)</w:t>
      </w:r>
    </w:p>
    <w:p>
      <w:pPr>
        <w:jc w:val="both"/>
        <w:ind w:firstLine="8"/>
        <w:spacing w:after="0" w:line="212" w:lineRule="auto"/>
        <w:tabs>
          <w:tab w:leader="none" w:pos="298" w:val="left"/>
        </w:tabs>
        <w:numPr>
          <w:ilvl w:val="0"/>
          <w:numId w:val="4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or </w:t>
      </w:r>
      <w:r>
        <w:rPr>
          <w:rFonts w:ascii="Times New Roman" w:cs="Times New Roman" w:eastAsia="Times New Roman" w:hAnsi="Times New Roman"/>
          <w:sz w:val="20"/>
          <w:szCs w:val="20"/>
          <w:u w:val="single" w:color="auto"/>
          <w:color w:val="auto"/>
        </w:rPr>
        <w:t>Section 3.5(a)(iii)</w:t>
      </w:r>
      <w:r>
        <w:rPr>
          <w:rFonts w:ascii="Times New Roman" w:cs="Times New Roman" w:eastAsia="Times New Roman" w:hAnsi="Times New Roman"/>
          <w:sz w:val="20"/>
          <w:szCs w:val="20"/>
          <w:color w:val="auto"/>
        </w:rPr>
        <w:t xml:space="preserve"> above, or any combination of the foregoing as the Company may determine to be appropriate. The Company shall not be obligated to deliver any certificate representing Shares issuable with respect to the exercise of the Option to, or to cause any such Shares to be held in book-entry form by,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exercise of the Option or any other taxable event related to the Option.</w:t>
      </w:r>
    </w:p>
    <w:p>
      <w:pPr>
        <w:spacing w:after="0" w:line="163" w:lineRule="exact"/>
        <w:rPr>
          <w:rFonts w:ascii="Times New Roman" w:cs="Times New Roman" w:eastAsia="Times New Roman" w:hAnsi="Times New Roman"/>
          <w:sz w:val="20"/>
          <w:szCs w:val="20"/>
          <w:u w:val="single" w:color="auto"/>
          <w:color w:val="auto"/>
        </w:rPr>
      </w:pPr>
    </w:p>
    <w:p>
      <w:pPr>
        <w:jc w:val="both"/>
        <w:ind w:firstLine="1304"/>
        <w:spacing w:after="0" w:line="213" w:lineRule="auto"/>
        <w:tabs>
          <w:tab w:leader="none" w:pos="1934"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any tax withholding obligation arising in connection with the Option will be satisfied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3.5(a)(iii)</w:t>
      </w:r>
      <w:r>
        <w:rPr>
          <w:rFonts w:ascii="Times New Roman" w:cs="Times New Roman" w:eastAsia="Times New Roman" w:hAnsi="Times New Roman"/>
          <w:sz w:val="20"/>
          <w:szCs w:val="20"/>
          <w:color w:val="auto"/>
        </w:rPr>
        <w:t xml:space="preserve">, then the Company may elect to instruct any brokerage firm determined acceptable to the Company for such purpose to sell on Participant’s behalf a whole number of Shares from those Shares then issuable upon the exercise of the Option as the Company determines to be appropriate to generate cash proceeds sufficient to satisfy the tax withholding obligation and to remit the proceeds of such sale to the Participating Company with respect to which the withholding obligation arises. Participant’s acceptance of this Option constitutes Participant’s instruction and authorization to the Company and such brokerage firm to complete the transactions described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3.5(c)</w:t>
      </w:r>
      <w:r>
        <w:rPr>
          <w:rFonts w:ascii="Times New Roman" w:cs="Times New Roman" w:eastAsia="Times New Roman" w:hAnsi="Times New Roman"/>
          <w:sz w:val="20"/>
          <w:szCs w:val="20"/>
          <w:color w:val="auto"/>
        </w:rPr>
        <w:t xml:space="preserve">, including the transactions described in the previous sentence, as applicable. The Company may refuse to issue any Shares to Participant until the foregoing tax withholding obligations are satisfied, provided that no payment shall be delayed under this </w:t>
      </w:r>
      <w:r>
        <w:rPr>
          <w:rFonts w:ascii="Times New Roman" w:cs="Times New Roman" w:eastAsia="Times New Roman" w:hAnsi="Times New Roman"/>
          <w:sz w:val="20"/>
          <w:szCs w:val="20"/>
          <w:u w:val="single" w:color="auto"/>
          <w:color w:val="auto"/>
        </w:rPr>
        <w:t>Section 3.5(c)</w:t>
      </w:r>
      <w:r>
        <w:rPr>
          <w:rFonts w:ascii="Times New Roman" w:cs="Times New Roman" w:eastAsia="Times New Roman" w:hAnsi="Times New Roman"/>
          <w:sz w:val="20"/>
          <w:szCs w:val="20"/>
          <w:color w:val="auto"/>
        </w:rPr>
        <w:t xml:space="preserve"> if such delay will result in a violation of Section 409A.</w:t>
      </w:r>
    </w:p>
    <w:p>
      <w:pPr>
        <w:spacing w:after="0" w:line="161" w:lineRule="exact"/>
        <w:rPr>
          <w:rFonts w:ascii="Times New Roman" w:cs="Times New Roman" w:eastAsia="Times New Roman" w:hAnsi="Times New Roman"/>
          <w:sz w:val="20"/>
          <w:szCs w:val="20"/>
          <w:color w:val="auto"/>
        </w:rPr>
      </w:pPr>
    </w:p>
    <w:p>
      <w:pPr>
        <w:jc w:val="both"/>
        <w:ind w:firstLine="1304"/>
        <w:spacing w:after="0" w:line="217" w:lineRule="auto"/>
        <w:tabs>
          <w:tab w:leader="none" w:pos="1932"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ultimately liable and responsible for all taxes owed in connection with the Option, regardless of any action any Participating Company takes with respect to any tax withholding obligations that arise in connection with the Option. No Participating Company makes any representation or undertaking regarding the treatment of any tax withholding in connection with the awarding, vesting or exercise of the Option or the subsequent sale of Shares. The Participating Companies do not commit and are under no obligation to structure the Option to reduce or eliminate Participant’s tax liability.</w:t>
      </w:r>
    </w:p>
    <w:p>
      <w:pPr>
        <w:spacing w:after="0" w:line="15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Article IV.</w:t>
      </w:r>
    </w:p>
    <w:p>
      <w:pPr>
        <w:ind w:left="4540"/>
        <w:spacing w:after="0"/>
        <w:rPr>
          <w:sz w:val="20"/>
          <w:szCs w:val="20"/>
          <w:color w:val="auto"/>
        </w:rPr>
      </w:pPr>
      <w:r>
        <w:rPr>
          <w:rFonts w:ascii="Times New Roman" w:cs="Times New Roman" w:eastAsia="Times New Roman" w:hAnsi="Times New Roman"/>
          <w:sz w:val="20"/>
          <w:szCs w:val="20"/>
          <w:b w:val="1"/>
          <w:bCs w:val="1"/>
          <w:color w:val="auto"/>
        </w:rPr>
        <w:t>EXERCISE OF OPTION</w:t>
      </w:r>
    </w:p>
    <w:p>
      <w:pPr>
        <w:spacing w:after="0" w:line="153"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Person Eligible to Exercise</w:t>
      </w:r>
      <w:r>
        <w:rPr>
          <w:rFonts w:ascii="Times New Roman" w:cs="Times New Roman" w:eastAsia="Times New Roman" w:hAnsi="Times New Roman"/>
          <w:sz w:val="20"/>
          <w:szCs w:val="20"/>
          <w:color w:val="auto"/>
        </w:rPr>
        <w:t>. During the lifetime of Participant, only Participant may exercise the Option or any portion thereof. After the death of Participant, any exercisable portion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color w:val="auto"/>
        </w:rPr>
        <w:t xml:space="preserve">Option may, prior to the time when the Option becomes unexercisable under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hereof, be exercised by Participant’s personal</w:t>
      </w:r>
    </w:p>
    <w:p>
      <w:pPr>
        <w:spacing w:after="0" w:line="204" w:lineRule="auto"/>
        <w:rPr>
          <w:sz w:val="20"/>
          <w:szCs w:val="20"/>
          <w:color w:val="auto"/>
        </w:rPr>
      </w:pPr>
      <w:r>
        <w:rPr>
          <w:rFonts w:ascii="Times New Roman" w:cs="Times New Roman" w:eastAsia="Times New Roman" w:hAnsi="Times New Roman"/>
          <w:sz w:val="20"/>
          <w:szCs w:val="20"/>
          <w:color w:val="auto"/>
        </w:rPr>
        <w:t>representative or by any Person empowered to do so under the deceased Participant’s will or under the then Applicable Laws of descent and distribution.</w:t>
      </w:r>
    </w:p>
    <w:p>
      <w:pPr>
        <w:ind w:left="660"/>
        <w:spacing w:after="0" w:line="223" w:lineRule="auto"/>
        <w:tabs>
          <w:tab w:leader="none" w:pos="128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u w:val="single" w:color="auto"/>
          <w:color w:val="auto"/>
        </w:rPr>
        <w:t>Partial Exercise</w:t>
      </w:r>
      <w:r>
        <w:rPr>
          <w:rFonts w:ascii="Times New Roman" w:cs="Times New Roman" w:eastAsia="Times New Roman" w:hAnsi="Times New Roman"/>
          <w:sz w:val="19"/>
          <w:szCs w:val="19"/>
          <w:color w:val="auto"/>
        </w:rPr>
        <w:t>. Subject to</w:t>
      </w:r>
      <w:r>
        <w:rPr>
          <w:rFonts w:ascii="Times New Roman" w:cs="Times New Roman" w:eastAsia="Times New Roman" w:hAnsi="Times New Roman"/>
          <w:sz w:val="19"/>
          <w:szCs w:val="19"/>
          <w:u w:val="single" w:color="auto"/>
          <w:color w:val="auto"/>
        </w:rPr>
        <w:t xml:space="preserve"> Section 5.2</w:t>
      </w:r>
      <w:r>
        <w:rPr>
          <w:rFonts w:ascii="Times New Roman" w:cs="Times New Roman" w:eastAsia="Times New Roman" w:hAnsi="Times New Roman"/>
          <w:sz w:val="19"/>
          <w:szCs w:val="19"/>
          <w:color w:val="auto"/>
        </w:rPr>
        <w:t>, any exercisable portion of the Option or the entire Option, if then wholly exercisable,</w:t>
      </w:r>
    </w:p>
    <w:p>
      <w:pPr>
        <w:ind w:right="20"/>
        <w:spacing w:after="0" w:line="204" w:lineRule="auto"/>
        <w:rPr>
          <w:sz w:val="20"/>
          <w:szCs w:val="20"/>
          <w:color w:val="auto"/>
        </w:rPr>
      </w:pPr>
      <w:r>
        <w:rPr>
          <w:rFonts w:ascii="Times New Roman" w:cs="Times New Roman" w:eastAsia="Times New Roman" w:hAnsi="Times New Roman"/>
          <w:sz w:val="20"/>
          <w:szCs w:val="20"/>
          <w:color w:val="auto"/>
        </w:rPr>
        <w:t xml:space="preserve">may be exercised in whole or in part at any time prior to the time when the Option or portion thereof becomes unexercisable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3.3</w:t>
      </w:r>
      <w:r>
        <w:rPr>
          <w:rFonts w:ascii="Times New Roman" w:cs="Times New Roman" w:eastAsia="Times New Roman" w:hAnsi="Times New Roman"/>
          <w:sz w:val="20"/>
          <w:szCs w:val="20"/>
          <w:color w:val="auto"/>
        </w:rPr>
        <w:t xml:space="preserve"> hereof.</w:t>
      </w:r>
    </w:p>
    <w:p>
      <w:pPr>
        <w:ind w:left="660"/>
        <w:spacing w:after="0" w:line="211" w:lineRule="auto"/>
        <w:tabs>
          <w:tab w:leader="none" w:pos="128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20"/>
          <w:szCs w:val="20"/>
          <w:u w:val="single" w:color="auto"/>
          <w:color w:val="auto"/>
        </w:rPr>
        <w:t>Manner of Exercise</w:t>
      </w:r>
      <w:r>
        <w:rPr>
          <w:rFonts w:ascii="Times New Roman" w:cs="Times New Roman" w:eastAsia="Times New Roman" w:hAnsi="Times New Roman"/>
          <w:sz w:val="20"/>
          <w:szCs w:val="20"/>
          <w:color w:val="auto"/>
        </w:rPr>
        <w:t>. The Option, or any exercisable portion thereof, may be exercised solely by delivery to the Secretary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the Company (or any third party administrator or other Person designated by the Company), during regular business hours, of all of the following prior to the time when the Option or such portion thereof becomes unexercisable under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hereof.</w:t>
      </w:r>
    </w:p>
    <w:p>
      <w:pPr>
        <w:spacing w:after="0" w:line="1" w:lineRule="exact"/>
        <w:rPr>
          <w:sz w:val="20"/>
          <w:szCs w:val="20"/>
          <w:color w:val="auto"/>
        </w:rPr>
      </w:pPr>
    </w:p>
    <w:p>
      <w:pPr>
        <w:ind w:firstLine="1304"/>
        <w:spacing w:after="0" w:line="228" w:lineRule="auto"/>
        <w:tabs>
          <w:tab w:leader="none" w:pos="193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exercise notice in a form specified by the Administrator, stating that the Option or portion thereof is thereby exercised, such notice complying with all applicable rules established by the Administrator;</w:t>
      </w:r>
    </w:p>
    <w:p>
      <w:pPr>
        <w:spacing w:after="0" w:line="148" w:lineRule="exact"/>
        <w:rPr>
          <w:rFonts w:ascii="Times New Roman" w:cs="Times New Roman" w:eastAsia="Times New Roman" w:hAnsi="Times New Roman"/>
          <w:sz w:val="20"/>
          <w:szCs w:val="20"/>
          <w:color w:val="auto"/>
        </w:rPr>
      </w:pPr>
    </w:p>
    <w:p>
      <w:pPr>
        <w:ind w:firstLine="1304"/>
        <w:spacing w:after="0"/>
        <w:tabs>
          <w:tab w:leader="none" w:pos="1932"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receipt by the Company of full payment for the Shares with respect to which the Option or portion thereof is exercised, in such form of consideration permitted under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 xml:space="preserve"> that is acceptable to the Administrator;</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payment of any applicable withholding tax in accordance with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firstLine="1304"/>
        <w:spacing w:after="0"/>
        <w:tabs>
          <w:tab w:leader="none" w:pos="1932"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written representations or documents as may be required in the Administrator’s sole discretion to effect compliance with Applicable Law; and</w:t>
      </w:r>
    </w:p>
    <w:p>
      <w:pPr>
        <w:spacing w:after="0" w:line="161" w:lineRule="exact"/>
        <w:rPr>
          <w:rFonts w:ascii="Times New Roman" w:cs="Times New Roman" w:eastAsia="Times New Roman" w:hAnsi="Times New Roman"/>
          <w:sz w:val="20"/>
          <w:szCs w:val="20"/>
          <w:color w:val="auto"/>
        </w:rPr>
      </w:pPr>
    </w:p>
    <w:p>
      <w:pPr>
        <w:ind w:firstLine="1304"/>
        <w:spacing w:after="0" w:line="233" w:lineRule="auto"/>
        <w:tabs>
          <w:tab w:leader="none" w:pos="193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the Option or portion thereof shall be exercised pursuant to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by any Person or Persons other than Participant, appropriate proof of the right of such Person or Persons to exercise the Option.</w:t>
      </w:r>
    </w:p>
    <w:p>
      <w:pPr>
        <w:spacing w:after="0" w:line="174"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Notwithstanding any of the foregoing, the Administrator shall have the right to specify all conditions of the manner of exercise, which conditions may vary by country and which may be subject to change from time to time.</w:t>
      </w:r>
    </w:p>
    <w:p>
      <w:pPr>
        <w:spacing w:after="0" w:line="159"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Method of Payment</w:t>
      </w:r>
      <w:r>
        <w:rPr>
          <w:rFonts w:ascii="Times New Roman" w:cs="Times New Roman" w:eastAsia="Times New Roman" w:hAnsi="Times New Roman"/>
          <w:sz w:val="20"/>
          <w:szCs w:val="20"/>
          <w:color w:val="auto"/>
        </w:rPr>
        <w:t>. Payment of the Exercise Price shall be by any of the following, or a combination thereof, at the election of Participant:</w:t>
      </w:r>
    </w:p>
    <w:p>
      <w:pPr>
        <w:spacing w:after="0" w:line="1" w:lineRule="exact"/>
        <w:rPr>
          <w:sz w:val="20"/>
          <w:szCs w:val="20"/>
          <w:color w:val="auto"/>
        </w:rPr>
      </w:pPr>
    </w:p>
    <w:p>
      <w:pPr>
        <w:ind w:left="1940" w:hanging="636"/>
        <w:spacing w:after="0"/>
        <w:tabs>
          <w:tab w:leader="none" w:pos="19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or check;</w:t>
      </w:r>
    </w:p>
    <w:p>
      <w:pPr>
        <w:spacing w:after="0" w:line="166"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consent of the Administrator, surrender of vested Shares (including, without limitation, Shares otherwise issuable upon exercise of the Option) held for such period of time as may be required by the Administrator in order to avoid adverse accounting consequences and having a Fair Market Value on the date of delivery equal to the aggregate Exercise Price of the Option or exercised portion thereof;</w:t>
      </w:r>
    </w:p>
    <w:p>
      <w:pPr>
        <w:spacing w:after="0" w:line="161"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Through the delivery of a notice that Participant has placed a market sell order with a broker acceptable to the Company with respect to Shares then issuable upon exercise of the Option, and that the broker has been directed to pay a sufficient portion of the net proceeds of the sale to the Company in satisfaction of the Exercise Price; provided that payment of such proceeds is then made to the Company at such time as may be required by the Administrator, but in any event not later than the settlement of such sale; or</w:t>
      </w:r>
    </w:p>
    <w:p>
      <w:pPr>
        <w:spacing w:after="0" w:line="14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form of legal consideration acceptable to the Administrator.</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19"/>
          <w:szCs w:val="19"/>
          <w:u w:val="single" w:color="auto"/>
          <w:color w:val="auto"/>
        </w:rPr>
        <w:t>Conditions to Issuance of Shares</w:t>
      </w:r>
      <w:r>
        <w:rPr>
          <w:rFonts w:ascii="Times New Roman" w:cs="Times New Roman" w:eastAsia="Times New Roman" w:hAnsi="Times New Roman"/>
          <w:sz w:val="19"/>
          <w:szCs w:val="19"/>
          <w:color w:val="auto"/>
        </w:rPr>
        <w:t>. The Company shall not be required to issue or deliver any certificate or certificates for any</w:t>
      </w:r>
    </w:p>
    <w:p>
      <w:pPr>
        <w:spacing w:after="0" w:line="215" w:lineRule="auto"/>
        <w:rPr>
          <w:sz w:val="20"/>
          <w:szCs w:val="20"/>
          <w:color w:val="auto"/>
        </w:rPr>
      </w:pPr>
      <w:r>
        <w:rPr>
          <w:rFonts w:ascii="Times New Roman" w:cs="Times New Roman" w:eastAsia="Times New Roman" w:hAnsi="Times New Roman"/>
          <w:sz w:val="19"/>
          <w:szCs w:val="19"/>
          <w:color w:val="auto"/>
        </w:rPr>
        <w:t>Shares or to cause any Shares to be held in book-entry form prior to the fulfillment of all of the following conditions: (a) the admission of the Shares to listing on all stock exchanges on which such Shares are then listed, (b) the completion of any registration or other qualification of</w:t>
      </w:r>
    </w:p>
    <w:p>
      <w:pPr>
        <w:spacing w:after="0" w:line="242" w:lineRule="auto"/>
        <w:rPr>
          <w:sz w:val="20"/>
          <w:szCs w:val="20"/>
          <w:color w:val="auto"/>
        </w:rPr>
      </w:pPr>
      <w:r>
        <w:rPr>
          <w:rFonts w:ascii="Times New Roman" w:cs="Times New Roman" w:eastAsia="Times New Roman" w:hAnsi="Times New Roman"/>
          <w:sz w:val="19"/>
          <w:szCs w:val="19"/>
          <w:color w:val="auto"/>
        </w:rPr>
        <w:t>the Shares under any state or federal law or under rulings or regulations of the U.S. Securities and Exchange Commission (“</w:t>
      </w:r>
      <w:r>
        <w:rPr>
          <w:rFonts w:ascii="Times New Roman" w:cs="Times New Roman" w:eastAsia="Times New Roman" w:hAnsi="Times New Roman"/>
          <w:sz w:val="19"/>
          <w:szCs w:val="19"/>
          <w:u w:val="single" w:color="auto"/>
          <w:color w:val="auto"/>
        </w:rPr>
        <w:t>SEC</w:t>
      </w:r>
      <w:r>
        <w:rPr>
          <w:rFonts w:ascii="Times New Roman" w:cs="Times New Roman" w:eastAsia="Times New Roman" w:hAnsi="Times New Roman"/>
          <w:sz w:val="19"/>
          <w:szCs w:val="19"/>
          <w:color w:val="auto"/>
        </w:rPr>
        <w:t>”) or other governmental regulatory body, which the Administrator shall, in its absolute discretion, deem necessary or advisable, (c) the obtaining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A-4</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4"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color w:val="auto"/>
        </w:rPr>
        <w:t>approval or other clearance from any state or federal governmental agency that the Administrator shall, in its absolute discretion, determine</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to be necessary or advisable, (d) the receipt by the Company of full payment for such Shares, which may be in one or more of the forms of consideration permitted under </w:t>
      </w:r>
      <w:r>
        <w:rPr>
          <w:rFonts w:ascii="Times New Roman" w:cs="Times New Roman" w:eastAsia="Times New Roman" w:hAnsi="Times New Roman"/>
          <w:sz w:val="19"/>
          <w:szCs w:val="19"/>
          <w:u w:val="single" w:color="auto"/>
          <w:color w:val="auto"/>
        </w:rPr>
        <w:t>Section 4.4</w:t>
      </w:r>
      <w:r>
        <w:rPr>
          <w:rFonts w:ascii="Times New Roman" w:cs="Times New Roman" w:eastAsia="Times New Roman" w:hAnsi="Times New Roman"/>
          <w:sz w:val="19"/>
          <w:szCs w:val="19"/>
          <w:color w:val="auto"/>
        </w:rPr>
        <w:t xml:space="preserve">, and (e) the receipt of full payment of any applicable Tax-Related Items in accordance with </w:t>
      </w:r>
      <w:r>
        <w:rPr>
          <w:rFonts w:ascii="Times New Roman" w:cs="Times New Roman" w:eastAsia="Times New Roman" w:hAnsi="Times New Roman"/>
          <w:sz w:val="19"/>
          <w:szCs w:val="19"/>
          <w:u w:val="single" w:color="auto"/>
          <w:color w:val="auto"/>
        </w:rPr>
        <w:t>Section</w:t>
      </w:r>
    </w:p>
    <w:p>
      <w:pPr>
        <w:spacing w:after="0" w:line="211" w:lineRule="auto"/>
        <w:rPr>
          <w:sz w:val="20"/>
          <w:szCs w:val="20"/>
          <w:color w:val="auto"/>
        </w:rPr>
      </w:pPr>
      <w:r>
        <w:rPr>
          <w:rFonts w:ascii="Times New Roman" w:cs="Times New Roman" w:eastAsia="Times New Roman" w:hAnsi="Times New Roman"/>
          <w:sz w:val="20"/>
          <w:szCs w:val="20"/>
          <w:u w:val="single" w:color="auto"/>
          <w:color w:val="auto"/>
        </w:rPr>
        <w:t>3.5</w:t>
      </w:r>
      <w:r>
        <w:rPr>
          <w:rFonts w:ascii="Times New Roman" w:cs="Times New Roman" w:eastAsia="Times New Roman" w:hAnsi="Times New Roman"/>
          <w:sz w:val="20"/>
          <w:szCs w:val="20"/>
          <w:color w:val="auto"/>
        </w:rPr>
        <w:t xml:space="preserve"> by the Participating Company with respect to which the applicable withholding obligation arises.</w:t>
      </w:r>
    </w:p>
    <w:p>
      <w:pPr>
        <w:ind w:right="20" w:firstLine="648"/>
        <w:spacing w:after="0" w:line="215" w:lineRule="auto"/>
        <w:rPr>
          <w:sz w:val="20"/>
          <w:szCs w:val="20"/>
          <w:color w:val="auto"/>
        </w:rPr>
      </w:pPr>
      <w:r>
        <w:rPr>
          <w:rFonts w:ascii="Times New Roman" w:cs="Times New Roman" w:eastAsia="Times New Roman" w:hAnsi="Times New Roman"/>
          <w:sz w:val="19"/>
          <w:szCs w:val="19"/>
          <w:color w:val="auto"/>
        </w:rPr>
        <w:t xml:space="preserve">4.6 </w:t>
      </w:r>
      <w:r>
        <w:rPr>
          <w:rFonts w:ascii="Times New Roman" w:cs="Times New Roman" w:eastAsia="Times New Roman" w:hAnsi="Times New Roman"/>
          <w:sz w:val="19"/>
          <w:szCs w:val="19"/>
          <w:u w:val="single" w:color="auto"/>
          <w:color w:val="auto"/>
        </w:rPr>
        <w:t>Rights as Stockholder</w:t>
      </w:r>
      <w:r>
        <w:rPr>
          <w:rFonts w:ascii="Times New Roman" w:cs="Times New Roman" w:eastAsia="Times New Roman" w:hAnsi="Times New Roman"/>
          <w:sz w:val="19"/>
          <w:szCs w:val="19"/>
          <w:color w:val="auto"/>
        </w:rPr>
        <w:t>. Neither Participant nor any Person claiming under or through Participant will have any of the rights or privileges of a stockholder of the Company in respect of any Shares purchasable upon the exercise of any part of the Option unless and until</w:t>
      </w:r>
    </w:p>
    <w:p>
      <w:pPr>
        <w:spacing w:after="0" w:line="211" w:lineRule="auto"/>
        <w:rPr>
          <w:sz w:val="20"/>
          <w:szCs w:val="20"/>
          <w:color w:val="auto"/>
        </w:rPr>
      </w:pPr>
      <w:r>
        <w:rPr>
          <w:rFonts w:ascii="Times New Roman" w:cs="Times New Roman" w:eastAsia="Times New Roman" w:hAnsi="Times New Roman"/>
          <w:sz w:val="20"/>
          <w:szCs w:val="20"/>
          <w:color w:val="auto"/>
        </w:rPr>
        <w:t>certificates representing such Shares (which may be in book-entry form) will have been issued and recorded on the records of the Company</w:t>
      </w:r>
    </w:p>
    <w:p>
      <w:pPr>
        <w:spacing w:after="0" w:line="204" w:lineRule="auto"/>
        <w:rPr>
          <w:sz w:val="20"/>
          <w:szCs w:val="20"/>
          <w:color w:val="auto"/>
        </w:rPr>
      </w:pPr>
      <w:r>
        <w:rPr>
          <w:rFonts w:ascii="Times New Roman" w:cs="Times New Roman" w:eastAsia="Times New Roman" w:hAnsi="Times New Roman"/>
          <w:sz w:val="20"/>
          <w:szCs w:val="20"/>
          <w:color w:val="auto"/>
        </w:rPr>
        <w:t>or its transfer agents or registrars and delivered to Participant (including through electronic delivery to a brokerage account). No adjustment will be made for a dividend or other right for which the record date is prior to the date of such issuance, recordation and delivery, except as</w:t>
      </w:r>
    </w:p>
    <w:p>
      <w:pPr>
        <w:spacing w:after="0" w:line="223" w:lineRule="auto"/>
        <w:rPr>
          <w:sz w:val="20"/>
          <w:szCs w:val="20"/>
          <w:color w:val="auto"/>
        </w:rPr>
      </w:pPr>
      <w:r>
        <w:rPr>
          <w:rFonts w:ascii="Times New Roman" w:cs="Times New Roman" w:eastAsia="Times New Roman" w:hAnsi="Times New Roman"/>
          <w:sz w:val="19"/>
          <w:szCs w:val="19"/>
          <w:color w:val="auto"/>
        </w:rPr>
        <w:t>provided in Article VIII of the Plan. Except as otherwise provided herein, after such issuance, recordation and delivery, Participant will have</w:t>
      </w:r>
    </w:p>
    <w:p>
      <w:pPr>
        <w:spacing w:after="0" w:line="204" w:lineRule="auto"/>
        <w:rPr>
          <w:sz w:val="20"/>
          <w:szCs w:val="20"/>
          <w:color w:val="auto"/>
        </w:rPr>
      </w:pPr>
      <w:r>
        <w:rPr>
          <w:rFonts w:ascii="Times New Roman" w:cs="Times New Roman" w:eastAsia="Times New Roman" w:hAnsi="Times New Roman"/>
          <w:sz w:val="20"/>
          <w:szCs w:val="20"/>
          <w:color w:val="auto"/>
        </w:rPr>
        <w:t>all the rights of a stockholder of the Company with respect to such Shares, including, without limitation, the right to receipt of dividends and distributions on such Shares</w:t>
      </w:r>
    </w:p>
    <w:p>
      <w:pPr>
        <w:ind w:left="660"/>
        <w:spacing w:after="0" w:line="211" w:lineRule="auto"/>
        <w:tabs>
          <w:tab w:leader="none" w:pos="1280" w:val="left"/>
        </w:tabs>
        <w:rPr>
          <w:sz w:val="20"/>
          <w:szCs w:val="20"/>
          <w:color w:val="auto"/>
        </w:rPr>
      </w:pPr>
      <w:r>
        <w:rPr>
          <w:rFonts w:ascii="Times New Roman" w:cs="Times New Roman" w:eastAsia="Times New Roman" w:hAnsi="Times New Roman"/>
          <w:sz w:val="20"/>
          <w:szCs w:val="20"/>
          <w:color w:val="auto"/>
        </w:rPr>
        <w:t>4.7</w:t>
      </w:r>
      <w:r>
        <w:rPr>
          <w:sz w:val="20"/>
          <w:szCs w:val="20"/>
          <w:color w:val="auto"/>
        </w:rPr>
        <w:tab/>
      </w:r>
      <w:r>
        <w:rPr>
          <w:rFonts w:ascii="Times New Roman" w:cs="Times New Roman" w:eastAsia="Times New Roman" w:hAnsi="Times New Roman"/>
          <w:sz w:val="20"/>
          <w:szCs w:val="20"/>
          <w:u w:val="single" w:color="auto"/>
          <w:color w:val="auto"/>
        </w:rPr>
        <w:t>Restrictive Covenants; Forfeiture</w:t>
      </w:r>
      <w:r>
        <w:rPr>
          <w:rFonts w:ascii="Times New Roman" w:cs="Times New Roman" w:eastAsia="Times New Roman" w:hAnsi="Times New Roman"/>
          <w:sz w:val="20"/>
          <w:szCs w:val="20"/>
          <w:color w:val="auto"/>
        </w:rPr>
        <w:t>. The Participant hereby acknowledges and agrees that any restrictive covenants or similar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written agreements (the “</w:t>
      </w:r>
      <w:r>
        <w:rPr>
          <w:rFonts w:ascii="Times New Roman" w:cs="Times New Roman" w:eastAsia="Times New Roman" w:hAnsi="Times New Roman"/>
          <w:sz w:val="19"/>
          <w:szCs w:val="19"/>
          <w:u w:val="single" w:color="auto"/>
          <w:color w:val="auto"/>
        </w:rPr>
        <w:t>Restrictive Covenant Agreements</w:t>
      </w:r>
      <w:r>
        <w:rPr>
          <w:rFonts w:ascii="Times New Roman" w:cs="Times New Roman" w:eastAsia="Times New Roman" w:hAnsi="Times New Roman"/>
          <w:sz w:val="19"/>
          <w:szCs w:val="19"/>
          <w:color w:val="auto"/>
        </w:rPr>
        <w:t>”) between such Participant and the Company or any other Participating Company are incorporated herein by reference, and that such agreements, as applicable, remain in full force and effect. In the event the Participant</w:t>
      </w:r>
    </w:p>
    <w:p>
      <w:pPr>
        <w:spacing w:after="0" w:line="211" w:lineRule="auto"/>
        <w:rPr>
          <w:sz w:val="20"/>
          <w:szCs w:val="20"/>
          <w:color w:val="auto"/>
        </w:rPr>
      </w:pPr>
      <w:r>
        <w:rPr>
          <w:rFonts w:ascii="Times New Roman" w:cs="Times New Roman" w:eastAsia="Times New Roman" w:hAnsi="Times New Roman"/>
          <w:sz w:val="20"/>
          <w:szCs w:val="20"/>
          <w:color w:val="auto"/>
        </w:rPr>
        <w:t>materially breaches the Restrictive Covenant Agreements or any other written covenants between such Participant and any Participating</w:t>
      </w:r>
    </w:p>
    <w:p>
      <w:pPr>
        <w:spacing w:after="0" w:line="215" w:lineRule="auto"/>
        <w:rPr>
          <w:sz w:val="20"/>
          <w:szCs w:val="20"/>
          <w:color w:val="auto"/>
        </w:rPr>
      </w:pPr>
      <w:r>
        <w:rPr>
          <w:rFonts w:ascii="Times New Roman" w:cs="Times New Roman" w:eastAsia="Times New Roman" w:hAnsi="Times New Roman"/>
          <w:sz w:val="19"/>
          <w:szCs w:val="19"/>
          <w:color w:val="auto"/>
        </w:rPr>
        <w:t>Company, the Participant shall immediately forfeit any and all Options granted under this Agreement (whether or not vested), and Participant’s rights in any such Options shall lapse and expire. For the avoidance of doubt, such forfeiture, lapse and expiration shall not limit</w:t>
      </w:r>
    </w:p>
    <w:p>
      <w:pPr>
        <w:spacing w:after="0" w:line="197" w:lineRule="auto"/>
        <w:rPr>
          <w:sz w:val="20"/>
          <w:szCs w:val="20"/>
          <w:color w:val="auto"/>
        </w:rPr>
      </w:pPr>
      <w:r>
        <w:rPr>
          <w:rFonts w:ascii="Times New Roman" w:cs="Times New Roman" w:eastAsia="Times New Roman" w:hAnsi="Times New Roman"/>
          <w:sz w:val="20"/>
          <w:szCs w:val="20"/>
          <w:color w:val="auto"/>
        </w:rPr>
        <w:t>the Participating Companies’ ability to seek other remedies for such breach.</w:t>
      </w:r>
    </w:p>
    <w:p>
      <w:pPr>
        <w:ind w:left="5000"/>
        <w:spacing w:after="0" w:line="211" w:lineRule="auto"/>
        <w:rPr>
          <w:sz w:val="20"/>
          <w:szCs w:val="20"/>
          <w:color w:val="auto"/>
        </w:rPr>
      </w:pPr>
      <w:r>
        <w:rPr>
          <w:rFonts w:ascii="Times New Roman" w:cs="Times New Roman" w:eastAsia="Times New Roman" w:hAnsi="Times New Roman"/>
          <w:sz w:val="20"/>
          <w:szCs w:val="20"/>
          <w:b w:val="1"/>
          <w:bCs w:val="1"/>
          <w:color w:val="auto"/>
        </w:rPr>
        <w:t>Article V.</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 The Administrator shall have the power to interpret the Plan, the Grant Notice and this Agreement and to adopt such rules for the administration, interpretation and application of the Plan, the Grant Notice and this Agreement as are consistent</w:t>
      </w:r>
    </w:p>
    <w:p>
      <w:pPr>
        <w:spacing w:after="0" w:line="212" w:lineRule="auto"/>
        <w:rPr>
          <w:sz w:val="20"/>
          <w:szCs w:val="20"/>
          <w:color w:val="auto"/>
        </w:rPr>
      </w:pPr>
      <w:r>
        <w:rPr>
          <w:rFonts w:ascii="Times New Roman" w:cs="Times New Roman" w:eastAsia="Times New Roman" w:hAnsi="Times New Roman"/>
          <w:sz w:val="20"/>
          <w:szCs w:val="20"/>
          <w:color w:val="auto"/>
        </w:rPr>
        <w:t>therewith and to interpret, amend or revoke any such rules. All actions taken and all interpretations and determinations made by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Administrator will be final and binding upon Participant, the Company and all other interested Persons. To the extent allowable pursuant to Applicable Law, no member of the Committee or the Board will be personally liable for any action, determination or interpretation made</w:t>
      </w:r>
    </w:p>
    <w:p>
      <w:pPr>
        <w:spacing w:after="0" w:line="211" w:lineRule="auto"/>
        <w:rPr>
          <w:sz w:val="20"/>
          <w:szCs w:val="20"/>
          <w:color w:val="auto"/>
        </w:rPr>
      </w:pPr>
      <w:r>
        <w:rPr>
          <w:rFonts w:ascii="Times New Roman" w:cs="Times New Roman" w:eastAsia="Times New Roman" w:hAnsi="Times New Roman"/>
          <w:sz w:val="20"/>
          <w:szCs w:val="20"/>
          <w:color w:val="auto"/>
        </w:rPr>
        <w:t>with respect to the Plan, the Grant Notice or this Agreement.</w:t>
      </w:r>
    </w:p>
    <w:p>
      <w:pPr>
        <w:ind w:left="660"/>
        <w:spacing w:after="0" w:line="208" w:lineRule="auto"/>
        <w:tabs>
          <w:tab w:leader="none" w:pos="128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u w:val="single" w:color="auto"/>
          <w:color w:val="auto"/>
        </w:rPr>
        <w:t>Whole Shares</w:t>
      </w:r>
      <w:r>
        <w:rPr>
          <w:rFonts w:ascii="Times New Roman" w:cs="Times New Roman" w:eastAsia="Times New Roman" w:hAnsi="Times New Roman"/>
          <w:sz w:val="19"/>
          <w:szCs w:val="19"/>
          <w:color w:val="auto"/>
        </w:rPr>
        <w:t>. The Option may only be exercised for whole Shares.</w:t>
      </w:r>
    </w:p>
    <w:p>
      <w:pPr>
        <w:ind w:firstLine="648"/>
        <w:spacing w:after="0" w:line="222" w:lineRule="auto"/>
        <w:rPr>
          <w:sz w:val="20"/>
          <w:szCs w:val="20"/>
          <w:color w:val="auto"/>
        </w:rPr>
      </w:pPr>
      <w:r>
        <w:rPr>
          <w:rFonts w:ascii="Times New Roman" w:cs="Times New Roman" w:eastAsia="Times New Roman" w:hAnsi="Times New Roman"/>
          <w:sz w:val="19"/>
          <w:szCs w:val="19"/>
          <w:color w:val="auto"/>
        </w:rPr>
        <w:t xml:space="preserve">5.3 </w:t>
      </w:r>
      <w:r>
        <w:rPr>
          <w:rFonts w:ascii="Times New Roman" w:cs="Times New Roman" w:eastAsia="Times New Roman" w:hAnsi="Times New Roman"/>
          <w:sz w:val="19"/>
          <w:szCs w:val="19"/>
          <w:u w:val="single" w:color="auto"/>
          <w:color w:val="auto"/>
        </w:rPr>
        <w:t>Option Not Transferable</w:t>
      </w:r>
      <w:r>
        <w:rPr>
          <w:rFonts w:ascii="Times New Roman" w:cs="Times New Roman" w:eastAsia="Times New Roman" w:hAnsi="Times New Roman"/>
          <w:sz w:val="19"/>
          <w:szCs w:val="19"/>
          <w:color w:val="auto"/>
        </w:rPr>
        <w:t xml:space="preserve">. Subject to </w:t>
      </w:r>
      <w:r>
        <w:rPr>
          <w:rFonts w:ascii="Times New Roman" w:cs="Times New Roman" w:eastAsia="Times New Roman" w:hAnsi="Times New Roman"/>
          <w:sz w:val="19"/>
          <w:szCs w:val="19"/>
          <w:u w:val="single" w:color="auto"/>
          <w:color w:val="auto"/>
        </w:rPr>
        <w:t>Section 4.1</w:t>
      </w:r>
      <w:r>
        <w:rPr>
          <w:rFonts w:ascii="Times New Roman" w:cs="Times New Roman" w:eastAsia="Times New Roman" w:hAnsi="Times New Roman"/>
          <w:sz w:val="19"/>
          <w:szCs w:val="19"/>
          <w:color w:val="auto"/>
        </w:rPr>
        <w:t xml:space="preserve"> hereof, the Option may not be sold, pledged, assigned or transferred in any manner other than by will or the laws of descent and distribution, unless and until the Shares underlying the Option have been issued, and all</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restrictions applicable to such Shares have lapsed. Neither the Option nor any interest or right therein or part thereof shall be liable for the debts, contracts or engagements of Participant or his or her successors in interest or shall be subject to disposition by transfer, alienation,</w:t>
      </w:r>
    </w:p>
    <w:p>
      <w:pPr>
        <w:spacing w:after="0" w:line="211" w:lineRule="auto"/>
        <w:rPr>
          <w:sz w:val="20"/>
          <w:szCs w:val="20"/>
          <w:color w:val="auto"/>
        </w:rPr>
      </w:pPr>
      <w:r>
        <w:rPr>
          <w:rFonts w:ascii="Times New Roman" w:cs="Times New Roman" w:eastAsia="Times New Roman" w:hAnsi="Times New Roman"/>
          <w:sz w:val="20"/>
          <w:szCs w:val="20"/>
          <w:color w:val="auto"/>
        </w:rPr>
        <w:t>anticipation, pledge, encumbrance, assignment or any other means whether such disposition be voluntary or involuntary or by operation of</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Notwithstanding the foregoing, with the consent of the Administrator, if the Option is a Non-Qualified Stock Option, it may be transferred to Permitted Transferees pursuant to any conditions and procedures the Administrator may require.</w:t>
      </w:r>
    </w:p>
    <w:p>
      <w:pPr>
        <w:spacing w:after="0" w:line="1" w:lineRule="exact"/>
        <w:rPr>
          <w:sz w:val="20"/>
          <w:szCs w:val="20"/>
          <w:color w:val="auto"/>
        </w:rPr>
      </w:pPr>
    </w:p>
    <w:p>
      <w:pPr>
        <w:jc w:val="both"/>
        <w:ind w:firstLine="648"/>
        <w:spacing w:after="0" w:line="206"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The Administrator may accelerate the vesting of all or a portion of the Option in such circumstances as it, in its sole discretion, may determine. Participant acknowledges that the Option is subject to adjustment, modification and termination in certain events as provided in this Agreement and the Plan, including Article VIII of the Plan.</w:t>
      </w:r>
    </w:p>
    <w:p>
      <w:pPr>
        <w:spacing w:after="0" w:line="2"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shall be addressed to the Company in care of the General Counsel of the Company at the Company’s principal office, and any notice to be given to Participant shall be addressed to</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Participant at Participant’s last email or physical address reflected on the Company’s records. By a notice given pursuant to this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 either party may hereafter designate a different address for notices to be given to that party. Any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A-5</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4" w:right="339" w:bottom="1440" w:gutter="0" w:footer="0" w:header="0"/>
        </w:sectPr>
      </w:pPr>
    </w:p>
    <w:bookmarkStart w:id="107" w:name="page108"/>
    <w:bookmarkEnd w:id="107"/>
    <w:p>
      <w:pPr>
        <w:ind w:right="20"/>
        <w:spacing w:after="0" w:line="215" w:lineRule="auto"/>
        <w:rPr>
          <w:sz w:val="20"/>
          <w:szCs w:val="20"/>
          <w:color w:val="auto"/>
        </w:rPr>
      </w:pPr>
      <w:r>
        <w:rPr>
          <w:rFonts w:ascii="Times New Roman" w:cs="Times New Roman" w:eastAsia="Times New Roman" w:hAnsi="Times New Roman"/>
          <w:sz w:val="20"/>
          <w:szCs w:val="20"/>
          <w:color w:val="auto"/>
        </w:rPr>
        <w:t>shall be deemed duly given when sent via email (to Participant only) or when sent by certified mail (return receipt requested) and deposited (with postage prepaid) in a post office or branch post office regularly maintained by the United States Postal Service.</w:t>
      </w:r>
    </w:p>
    <w:p>
      <w:pPr>
        <w:spacing w:after="0" w:line="1"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20"/>
          <w:szCs w:val="20"/>
          <w:color w:val="auto"/>
        </w:rPr>
        <w:t xml:space="preserve">5.6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19"/>
          <w:szCs w:val="19"/>
          <w:color w:val="auto"/>
        </w:rPr>
        <w:t xml:space="preserve">5.7 </w:t>
      </w: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The laws of the State of Delaware, U.S.A., shall govern the interpretation, validity, administration, enforcement and performance of the terms of this Agreement regardless of the law that might be applied under principles of conflicts of laws.</w:t>
      </w:r>
    </w:p>
    <w:p>
      <w:pPr>
        <w:spacing w:after="0" w:line="222" w:lineRule="auto"/>
        <w:rPr>
          <w:sz w:val="20"/>
          <w:szCs w:val="20"/>
          <w:color w:val="auto"/>
        </w:rPr>
      </w:pPr>
      <w:r>
        <w:rPr>
          <w:rFonts w:ascii="Times New Roman" w:cs="Times New Roman" w:eastAsia="Times New Roman" w:hAnsi="Times New Roman"/>
          <w:sz w:val="19"/>
          <w:szCs w:val="19"/>
          <w:color w:val="auto"/>
        </w:rPr>
        <w:t>Any action, lawsuit or other proceedings brought to enforce this Agreement, relating to it, or arising from it, or relating to or arising from the</w:t>
      </w:r>
    </w:p>
    <w:p>
      <w:pPr>
        <w:spacing w:after="0" w:line="204" w:lineRule="auto"/>
        <w:rPr>
          <w:sz w:val="20"/>
          <w:szCs w:val="20"/>
          <w:color w:val="auto"/>
        </w:rPr>
      </w:pPr>
      <w:r>
        <w:rPr>
          <w:rFonts w:ascii="Times New Roman" w:cs="Times New Roman" w:eastAsia="Times New Roman" w:hAnsi="Times New Roman"/>
          <w:sz w:val="20"/>
          <w:szCs w:val="20"/>
          <w:color w:val="auto"/>
        </w:rPr>
        <w:t>Plan, may be brought only in the state or federal courts located in the State of New York, U.S.A., where this grant is made and/or to be performed, and the parties to this Agreement hereby submit to and consent to the sole and exclusive jurisdiction of such courts, and no other</w:t>
      </w:r>
    </w:p>
    <w:p>
      <w:pPr>
        <w:spacing w:after="0" w:line="211" w:lineRule="auto"/>
        <w:rPr>
          <w:sz w:val="20"/>
          <w:szCs w:val="20"/>
          <w:color w:val="auto"/>
        </w:rPr>
      </w:pPr>
      <w:r>
        <w:rPr>
          <w:rFonts w:ascii="Times New Roman" w:cs="Times New Roman" w:eastAsia="Times New Roman" w:hAnsi="Times New Roman"/>
          <w:sz w:val="20"/>
          <w:szCs w:val="20"/>
          <w:color w:val="auto"/>
        </w:rPr>
        <w:t>courts.</w:t>
      </w:r>
    </w:p>
    <w:p>
      <w:pPr>
        <w:spacing w:after="0" w:line="1"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19"/>
          <w:szCs w:val="19"/>
          <w:color w:val="auto"/>
        </w:rPr>
        <w:t xml:space="preserve">5.8 </w:t>
      </w:r>
      <w:r>
        <w:rPr>
          <w:rFonts w:ascii="Times New Roman" w:cs="Times New Roman" w:eastAsia="Times New Roman" w:hAnsi="Times New Roman"/>
          <w:sz w:val="19"/>
          <w:szCs w:val="19"/>
          <w:u w:val="single" w:color="auto"/>
          <w:color w:val="auto"/>
        </w:rPr>
        <w:t>Conformity to Securities Laws</w:t>
      </w:r>
      <w:r>
        <w:rPr>
          <w:rFonts w:ascii="Times New Roman" w:cs="Times New Roman" w:eastAsia="Times New Roman" w:hAnsi="Times New Roman"/>
          <w:sz w:val="19"/>
          <w:szCs w:val="19"/>
          <w:color w:val="auto"/>
        </w:rPr>
        <w:t>. Participant acknowledges that the Plan, the Grant Notice and this Agreement are intended to conform to the extent necessary with all Applicable Laws, including, without limitation, the provisions of the U.S. Securities Act of 1933, as</w:t>
      </w:r>
    </w:p>
    <w:p>
      <w:pPr>
        <w:spacing w:after="0" w:line="211" w:lineRule="auto"/>
        <w:rPr>
          <w:sz w:val="20"/>
          <w:szCs w:val="20"/>
          <w:color w:val="auto"/>
        </w:rPr>
      </w:pPr>
      <w:r>
        <w:rPr>
          <w:rFonts w:ascii="Times New Roman" w:cs="Times New Roman" w:eastAsia="Times New Roman" w:hAnsi="Times New Roman"/>
          <w:sz w:val="20"/>
          <w:szCs w:val="20"/>
          <w:color w:val="auto"/>
        </w:rPr>
        <w:t>amended and the Exchange Act, and any and all regulations and rules promulgated thereunder by the SEC, and state securities laws and</w:t>
      </w:r>
    </w:p>
    <w:p>
      <w:pPr>
        <w:spacing w:after="0" w:line="204" w:lineRule="auto"/>
        <w:rPr>
          <w:sz w:val="20"/>
          <w:szCs w:val="20"/>
          <w:color w:val="auto"/>
        </w:rPr>
      </w:pPr>
      <w:r>
        <w:rPr>
          <w:rFonts w:ascii="Times New Roman" w:cs="Times New Roman" w:eastAsia="Times New Roman" w:hAnsi="Times New Roman"/>
          <w:sz w:val="20"/>
          <w:szCs w:val="20"/>
          <w:color w:val="auto"/>
        </w:rPr>
        <w:t>regulations. Notwithstanding any other provision of the Plan or this Agreement, unless there is an exemption from any registration, qualification or other legal requirement applicable to the Shares the Company shall not be required to deliver any Shares issuable upon</w:t>
      </w:r>
    </w:p>
    <w:p>
      <w:pPr>
        <w:spacing w:after="0" w:line="211" w:lineRule="auto"/>
        <w:rPr>
          <w:sz w:val="20"/>
          <w:szCs w:val="20"/>
          <w:color w:val="auto"/>
        </w:rPr>
      </w:pPr>
      <w:r>
        <w:rPr>
          <w:rFonts w:ascii="Times New Roman" w:cs="Times New Roman" w:eastAsia="Times New Roman" w:hAnsi="Times New Roman"/>
          <w:sz w:val="20"/>
          <w:szCs w:val="20"/>
          <w:color w:val="auto"/>
        </w:rPr>
        <w:t>exercise of the Option prior to the completion of any registration or qualification of the Shares under any local, state, federal or foreign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securities or exchange control law or under rulings or regulations of the SEC or of any other governmental regulatory body, or prior to obtaining any approval or other clearance from any local, state, federal or foreign governmental agency, which registration, qualification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approval the Company shall, in its absolute discretion, deem necessary or advisable. Participant understands that the Company is under no obligation to register or qualify the shares with the SEC or any state or foreign securities commission or to seek approval or clearance from</w:t>
      </w:r>
    </w:p>
    <w:p>
      <w:pPr>
        <w:spacing w:after="0" w:line="223" w:lineRule="auto"/>
        <w:rPr>
          <w:sz w:val="20"/>
          <w:szCs w:val="20"/>
          <w:color w:val="auto"/>
        </w:rPr>
      </w:pPr>
      <w:r>
        <w:rPr>
          <w:rFonts w:ascii="Times New Roman" w:cs="Times New Roman" w:eastAsia="Times New Roman" w:hAnsi="Times New Roman"/>
          <w:sz w:val="19"/>
          <w:szCs w:val="19"/>
          <w:color w:val="auto"/>
        </w:rPr>
        <w:t>any governmental authority for the issuance or sale of the Shares. Further, Participant agrees that the Company shall have unilateral authority</w:t>
      </w:r>
    </w:p>
    <w:p>
      <w:pPr>
        <w:ind w:right="20"/>
        <w:spacing w:after="0" w:line="204" w:lineRule="auto"/>
        <w:rPr>
          <w:sz w:val="20"/>
          <w:szCs w:val="20"/>
          <w:color w:val="auto"/>
        </w:rPr>
      </w:pPr>
      <w:r>
        <w:rPr>
          <w:rFonts w:ascii="Times New Roman" w:cs="Times New Roman" w:eastAsia="Times New Roman" w:hAnsi="Times New Roman"/>
          <w:sz w:val="20"/>
          <w:szCs w:val="20"/>
          <w:color w:val="auto"/>
        </w:rPr>
        <w:t>to amend this Agreement without his or her consent to the extent necessary to comply with securities or other laws applicable to issuance of Shares.</w:t>
      </w:r>
    </w:p>
    <w:p>
      <w:pPr>
        <w:ind w:left="660"/>
        <w:spacing w:after="0" w:line="211" w:lineRule="auto"/>
        <w:tabs>
          <w:tab w:leader="none" w:pos="1280" w:val="left"/>
        </w:tabs>
        <w:rPr>
          <w:sz w:val="20"/>
          <w:szCs w:val="20"/>
          <w:color w:val="auto"/>
        </w:rPr>
      </w:pPr>
      <w:r>
        <w:rPr>
          <w:rFonts w:ascii="Times New Roman" w:cs="Times New Roman" w:eastAsia="Times New Roman" w:hAnsi="Times New Roman"/>
          <w:sz w:val="20"/>
          <w:szCs w:val="20"/>
          <w:color w:val="auto"/>
        </w:rPr>
        <w:t>5.9</w:t>
      </w:r>
      <w:r>
        <w:rPr>
          <w:sz w:val="20"/>
          <w:szCs w:val="20"/>
          <w:color w:val="auto"/>
        </w:rPr>
        <w:tab/>
      </w:r>
      <w:r>
        <w:rPr>
          <w:rFonts w:ascii="Times New Roman" w:cs="Times New Roman" w:eastAsia="Times New Roman" w:hAnsi="Times New Roman"/>
          <w:sz w:val="20"/>
          <w:szCs w:val="20"/>
          <w:u w:val="single" w:color="auto"/>
          <w:color w:val="auto"/>
        </w:rPr>
        <w:t>Amendment, Suspension and Termination</w:t>
      </w:r>
      <w:r>
        <w:rPr>
          <w:rFonts w:ascii="Times New Roman" w:cs="Times New Roman" w:eastAsia="Times New Roman" w:hAnsi="Times New Roman"/>
          <w:sz w:val="20"/>
          <w:szCs w:val="20"/>
          <w:color w:val="auto"/>
        </w:rPr>
        <w:t>. To the extent permitted by the Plan, this Agreement may be wholly or partially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amended or otherwise modified, suspended or terminated at any time or from time to time by the Administrator or the Board, provided that, except as may otherwise be provided by the Plan, no amendment, modification, suspension or termination of this Agreement shall adversely</w:t>
      </w:r>
    </w:p>
    <w:p>
      <w:pPr>
        <w:spacing w:after="0" w:line="211" w:lineRule="auto"/>
        <w:rPr>
          <w:sz w:val="20"/>
          <w:szCs w:val="20"/>
          <w:color w:val="auto"/>
        </w:rPr>
      </w:pPr>
      <w:r>
        <w:rPr>
          <w:rFonts w:ascii="Times New Roman" w:cs="Times New Roman" w:eastAsia="Times New Roman" w:hAnsi="Times New Roman"/>
          <w:sz w:val="20"/>
          <w:szCs w:val="20"/>
          <w:color w:val="auto"/>
        </w:rPr>
        <w:t>affect the Option in any material respect without the prior written consent of Participant.</w:t>
      </w:r>
    </w:p>
    <w:p>
      <w:pPr>
        <w:spacing w:after="0" w:line="1" w:lineRule="exact"/>
        <w:rPr>
          <w:sz w:val="20"/>
          <w:szCs w:val="20"/>
          <w:color w:val="auto"/>
        </w:rPr>
      </w:pPr>
    </w:p>
    <w:p>
      <w:pPr>
        <w:ind w:firstLine="648"/>
        <w:spacing w:after="0" w:line="204" w:lineRule="auto"/>
        <w:rPr>
          <w:sz w:val="20"/>
          <w:szCs w:val="20"/>
          <w:color w:val="auto"/>
        </w:rPr>
      </w:pPr>
      <w:r>
        <w:rPr>
          <w:rFonts w:ascii="Times New Roman" w:cs="Times New Roman" w:eastAsia="Times New Roman" w:hAnsi="Times New Roman"/>
          <w:sz w:val="20"/>
          <w:szCs w:val="20"/>
          <w:color w:val="auto"/>
        </w:rPr>
        <w:t xml:space="preserve">5.10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shall inure to the benefit of the successors and assigns of the Company. Subject to the restrictions on transfer set forth in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and the Plan, this Agreement shall be binding upon and inure to the benefit of the heirs, legatees, legal representatives, successors and assigns of the parties hereto.</w:t>
      </w:r>
    </w:p>
    <w:p>
      <w:pPr>
        <w:spacing w:after="0" w:line="1"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19"/>
          <w:szCs w:val="19"/>
          <w:color w:val="auto"/>
        </w:rPr>
        <w:t xml:space="preserve">5.11 </w:t>
      </w:r>
      <w:r>
        <w:rPr>
          <w:rFonts w:ascii="Times New Roman" w:cs="Times New Roman" w:eastAsia="Times New Roman" w:hAnsi="Times New Roman"/>
          <w:sz w:val="19"/>
          <w:szCs w:val="19"/>
          <w:u w:val="single" w:color="auto"/>
          <w:color w:val="auto"/>
        </w:rPr>
        <w:t>Limitations Applicable to Section 16 Persons</w:t>
      </w:r>
      <w:r>
        <w:rPr>
          <w:rFonts w:ascii="Times New Roman" w:cs="Times New Roman" w:eastAsia="Times New Roman" w:hAnsi="Times New Roman"/>
          <w:sz w:val="19"/>
          <w:szCs w:val="19"/>
          <w:color w:val="auto"/>
        </w:rPr>
        <w:t>. Notwithstanding any other provision of the Plan or this Agreement, if Participant is subject to Section 16 of the Exchange Act, the Plan, the Option, the Grant Notice and the Global Stock Option Agreement shall</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be subject to any additional limitations set forth in any applicable exemptive rule under Section 16 of the Exchange Act (including any amendment to Rule 16b-3 of the Exchange Act) that are requirements for the application of such exemptive rule. To the extent permitted by</w:t>
      </w:r>
    </w:p>
    <w:p>
      <w:pPr>
        <w:spacing w:after="0" w:line="211" w:lineRule="auto"/>
        <w:rPr>
          <w:sz w:val="20"/>
          <w:szCs w:val="20"/>
          <w:color w:val="auto"/>
        </w:rPr>
      </w:pPr>
      <w:r>
        <w:rPr>
          <w:rFonts w:ascii="Times New Roman" w:cs="Times New Roman" w:eastAsia="Times New Roman" w:hAnsi="Times New Roman"/>
          <w:sz w:val="20"/>
          <w:szCs w:val="20"/>
          <w:color w:val="auto"/>
        </w:rPr>
        <w:t>Applicable Law, this Agreement shall be deemed amended to the extent necessary to conform to such applicable exemptive rule.</w:t>
      </w:r>
    </w:p>
    <w:p>
      <w:pPr>
        <w:spacing w:after="0" w:line="1" w:lineRule="exact"/>
        <w:rPr>
          <w:sz w:val="20"/>
          <w:szCs w:val="20"/>
          <w:color w:val="auto"/>
        </w:rPr>
      </w:pPr>
    </w:p>
    <w:p>
      <w:pPr>
        <w:ind w:firstLine="648"/>
        <w:spacing w:after="0" w:line="204" w:lineRule="auto"/>
        <w:rPr>
          <w:sz w:val="20"/>
          <w:szCs w:val="20"/>
          <w:color w:val="auto"/>
        </w:rPr>
      </w:pPr>
      <w:r>
        <w:rPr>
          <w:rFonts w:ascii="Times New Roman" w:cs="Times New Roman" w:eastAsia="Times New Roman" w:hAnsi="Times New Roman"/>
          <w:sz w:val="20"/>
          <w:szCs w:val="20"/>
          <w:color w:val="auto"/>
        </w:rPr>
        <w:t xml:space="preserve">5.12 </w:t>
      </w:r>
      <w:r>
        <w:rPr>
          <w:rFonts w:ascii="Times New Roman" w:cs="Times New Roman" w:eastAsia="Times New Roman" w:hAnsi="Times New Roman"/>
          <w:sz w:val="20"/>
          <w:szCs w:val="20"/>
          <w:u w:val="single" w:color="auto"/>
          <w:color w:val="auto"/>
        </w:rPr>
        <w:t>Not a Contract of Employment</w:t>
      </w:r>
      <w:r>
        <w:rPr>
          <w:rFonts w:ascii="Times New Roman" w:cs="Times New Roman" w:eastAsia="Times New Roman" w:hAnsi="Times New Roman"/>
          <w:sz w:val="20"/>
          <w:szCs w:val="20"/>
          <w:color w:val="auto"/>
        </w:rPr>
        <w:t>. Nothing in this Agreement or in the Plan be interpreted as forming or amending an employment or service contract with any Participating Company or shall interfere with or restrict in any way the rights of any Participating</w:t>
      </w:r>
    </w:p>
    <w:p>
      <w:pPr>
        <w:spacing w:after="0" w:line="211" w:lineRule="auto"/>
        <w:rPr>
          <w:sz w:val="20"/>
          <w:szCs w:val="20"/>
          <w:color w:val="auto"/>
        </w:rPr>
      </w:pPr>
      <w:r>
        <w:rPr>
          <w:rFonts w:ascii="Times New Roman" w:cs="Times New Roman" w:eastAsia="Times New Roman" w:hAnsi="Times New Roman"/>
          <w:sz w:val="20"/>
          <w:szCs w:val="20"/>
          <w:color w:val="auto"/>
        </w:rPr>
        <w:t>Company, which rights are hereby expressly reserved, to discharge or terminate the services of Participant at any time for any reason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whatsoever, with or without cause, except to the extent (i) expressly provided otherwise in a written agreement between a Participating Company and Participant or (ii) where such provisions are not consistent with applicable foreign or local laws, in which case such applicable</w:t>
      </w:r>
    </w:p>
    <w:p>
      <w:pPr>
        <w:spacing w:after="0" w:line="211" w:lineRule="auto"/>
        <w:rPr>
          <w:sz w:val="20"/>
          <w:szCs w:val="20"/>
          <w:color w:val="auto"/>
        </w:rPr>
      </w:pPr>
      <w:r>
        <w:rPr>
          <w:rFonts w:ascii="Times New Roman" w:cs="Times New Roman" w:eastAsia="Times New Roman" w:hAnsi="Times New Roman"/>
          <w:sz w:val="20"/>
          <w:szCs w:val="20"/>
          <w:color w:val="auto"/>
        </w:rPr>
        <w:t>foreign or local laws shall control.</w:t>
      </w:r>
    </w:p>
    <w:p>
      <w:pPr>
        <w:ind w:firstLine="648"/>
        <w:spacing w:after="0" w:line="204" w:lineRule="auto"/>
        <w:rPr>
          <w:sz w:val="20"/>
          <w:szCs w:val="20"/>
          <w:color w:val="auto"/>
        </w:rPr>
      </w:pPr>
      <w:r>
        <w:rPr>
          <w:rFonts w:ascii="Times New Roman" w:cs="Times New Roman" w:eastAsia="Times New Roman" w:hAnsi="Times New Roman"/>
          <w:sz w:val="20"/>
          <w:szCs w:val="20"/>
          <w:color w:val="auto"/>
        </w:rPr>
        <w:t xml:space="preserve">5.13 </w:t>
      </w:r>
      <w:r>
        <w:rPr>
          <w:rFonts w:ascii="Times New Roman" w:cs="Times New Roman" w:eastAsia="Times New Roman" w:hAnsi="Times New Roman"/>
          <w:sz w:val="20"/>
          <w:szCs w:val="20"/>
          <w:u w:val="single" w:color="auto"/>
          <w:color w:val="auto"/>
        </w:rPr>
        <w:t>No Advice Regarding Grant</w:t>
      </w:r>
      <w:r>
        <w:rPr>
          <w:rFonts w:ascii="Times New Roman" w:cs="Times New Roman" w:eastAsia="Times New Roman" w:hAnsi="Times New Roman"/>
          <w:sz w:val="20"/>
          <w:szCs w:val="20"/>
          <w:color w:val="auto"/>
        </w:rPr>
        <w:t>. The Company is not providing any tax, legal or financial advice, nor is the Company making any recommendations regarding Participant’s participation in the Plan, or my acquisition or sale of the underlying Shares. Participant should</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consult with Participant’s own personal tax, legal and financial advisors regarding Participant’s participation in the Plan before taking any action related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A-6</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108" w:name="page109"/>
    <w:bookmarkEnd w:id="108"/>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5.14</w:t>
      </w:r>
      <w:r>
        <w:rPr>
          <w:sz w:val="20"/>
          <w:szCs w:val="20"/>
          <w:color w:val="auto"/>
        </w:rPr>
        <w:tab/>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Plan, the Grant Notice and this Agreement constitute the entire agreement of the parties and</w:t>
      </w:r>
    </w:p>
    <w:p>
      <w:pPr>
        <w:spacing w:after="0" w:line="197" w:lineRule="auto"/>
        <w:rPr>
          <w:sz w:val="20"/>
          <w:szCs w:val="20"/>
          <w:color w:val="auto"/>
        </w:rPr>
      </w:pPr>
      <w:r>
        <w:rPr>
          <w:rFonts w:ascii="Times New Roman" w:cs="Times New Roman" w:eastAsia="Times New Roman" w:hAnsi="Times New Roman"/>
          <w:sz w:val="20"/>
          <w:szCs w:val="20"/>
          <w:color w:val="auto"/>
        </w:rPr>
        <w:t>supersede in their entirety all prior undertakings and agreements of the Company and Participant with respect to the subject matter hereof.</w:t>
      </w:r>
    </w:p>
    <w:p>
      <w:pPr>
        <w:ind w:left="660"/>
        <w:spacing w:after="0" w:line="222" w:lineRule="auto"/>
        <w:tabs>
          <w:tab w:leader="none" w:pos="1280" w:val="left"/>
        </w:tabs>
        <w:rPr>
          <w:sz w:val="20"/>
          <w:szCs w:val="20"/>
          <w:color w:val="auto"/>
        </w:rPr>
      </w:pPr>
      <w:r>
        <w:rPr>
          <w:rFonts w:ascii="Times New Roman" w:cs="Times New Roman" w:eastAsia="Times New Roman" w:hAnsi="Times New Roman"/>
          <w:sz w:val="20"/>
          <w:szCs w:val="20"/>
          <w:color w:val="auto"/>
        </w:rPr>
        <w:t>5.15</w:t>
      </w:r>
      <w:r>
        <w:rPr>
          <w:sz w:val="20"/>
          <w:szCs w:val="20"/>
          <w:color w:val="auto"/>
        </w:rPr>
        <w:tab/>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This Option is not intended to constitute “nonqualified deferred compensation” within the meaning of Section</w:t>
      </w:r>
    </w:p>
    <w:p>
      <w:pPr>
        <w:spacing w:after="0" w:line="211" w:lineRule="auto"/>
        <w:rPr>
          <w:sz w:val="20"/>
          <w:szCs w:val="20"/>
          <w:color w:val="auto"/>
        </w:rPr>
      </w:pPr>
      <w:r>
        <w:rPr>
          <w:rFonts w:ascii="Times New Roman" w:cs="Times New Roman" w:eastAsia="Times New Roman" w:hAnsi="Times New Roman"/>
          <w:sz w:val="20"/>
          <w:szCs w:val="20"/>
          <w:color w:val="auto"/>
        </w:rPr>
        <w:t>409A. However, notwithstanding any other provision of the Plan, the Grant Notice or this Agreement, if at any time the Administrator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determines that this Option (or any portion thereof) may be subject to Section 409A, the Administrator shall have the right in its sole discretion (without any obligation to do so or to indemnify Participant or any other Person for failure to do so) to adopt such amendments to</w:t>
      </w:r>
    </w:p>
    <w:p>
      <w:pPr>
        <w:spacing w:after="0" w:line="211" w:lineRule="auto"/>
        <w:rPr>
          <w:sz w:val="20"/>
          <w:szCs w:val="20"/>
          <w:color w:val="auto"/>
        </w:rPr>
      </w:pPr>
      <w:r>
        <w:rPr>
          <w:rFonts w:ascii="Times New Roman" w:cs="Times New Roman" w:eastAsia="Times New Roman" w:hAnsi="Times New Roman"/>
          <w:sz w:val="20"/>
          <w:szCs w:val="20"/>
          <w:color w:val="auto"/>
        </w:rPr>
        <w:t>the Plan, the Grant Notice or this Agreement, or adopt other policies and procedures (including amendments, policies and procedures with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retroactive effect), or take any other actions, as the Administrator determines are necessary or appropriate for this Option either to be exempt from the application of Section 409A or to comply with the requirements of Section 409A.</w:t>
      </w:r>
    </w:p>
    <w:p>
      <w:pPr>
        <w:ind w:left="660"/>
        <w:spacing w:after="0" w:line="223" w:lineRule="auto"/>
        <w:tabs>
          <w:tab w:leader="none" w:pos="1280" w:val="left"/>
        </w:tabs>
        <w:rPr>
          <w:sz w:val="20"/>
          <w:szCs w:val="20"/>
          <w:color w:val="auto"/>
        </w:rPr>
      </w:pPr>
      <w:r>
        <w:rPr>
          <w:rFonts w:ascii="Times New Roman" w:cs="Times New Roman" w:eastAsia="Times New Roman" w:hAnsi="Times New Roman"/>
          <w:sz w:val="20"/>
          <w:szCs w:val="20"/>
          <w:color w:val="auto"/>
        </w:rPr>
        <w:t>5.16</w:t>
      </w:r>
      <w:r>
        <w:rPr>
          <w:sz w:val="20"/>
          <w:szCs w:val="20"/>
          <w:color w:val="auto"/>
        </w:rPr>
        <w:tab/>
      </w:r>
      <w:r>
        <w:rPr>
          <w:rFonts w:ascii="Times New Roman" w:cs="Times New Roman" w:eastAsia="Times New Roman" w:hAnsi="Times New Roman"/>
          <w:sz w:val="19"/>
          <w:szCs w:val="19"/>
          <w:u w:val="single" w:color="auto"/>
          <w:color w:val="auto"/>
        </w:rPr>
        <w:t>Agreement Severable</w:t>
      </w:r>
      <w:r>
        <w:rPr>
          <w:rFonts w:ascii="Times New Roman" w:cs="Times New Roman" w:eastAsia="Times New Roman" w:hAnsi="Times New Roman"/>
          <w:sz w:val="19"/>
          <w:szCs w:val="19"/>
          <w:color w:val="auto"/>
        </w:rPr>
        <w:t>. In the event that any provision of the Grant Notice or this Agreement is held invalid or unenforceable,</w:t>
      </w:r>
    </w:p>
    <w:p>
      <w:pPr>
        <w:ind w:right="20"/>
        <w:spacing w:after="0" w:line="204" w:lineRule="auto"/>
        <w:rPr>
          <w:sz w:val="20"/>
          <w:szCs w:val="20"/>
          <w:color w:val="auto"/>
        </w:rPr>
      </w:pPr>
      <w:r>
        <w:rPr>
          <w:rFonts w:ascii="Times New Roman" w:cs="Times New Roman" w:eastAsia="Times New Roman" w:hAnsi="Times New Roman"/>
          <w:sz w:val="20"/>
          <w:szCs w:val="20"/>
          <w:color w:val="auto"/>
        </w:rPr>
        <w:t>such provision will be severable from, and such invalidity or unenforceability will not be construed to have any effect on, the remaining provisions of the Grant Notice or this Agreement.</w:t>
      </w:r>
    </w:p>
    <w:p>
      <w:pPr>
        <w:ind w:left="660"/>
        <w:spacing w:after="0" w:line="211" w:lineRule="auto"/>
        <w:tabs>
          <w:tab w:leader="none" w:pos="1280" w:val="left"/>
        </w:tabs>
        <w:rPr>
          <w:sz w:val="20"/>
          <w:szCs w:val="20"/>
          <w:color w:val="auto"/>
        </w:rPr>
      </w:pPr>
      <w:r>
        <w:rPr>
          <w:rFonts w:ascii="Times New Roman" w:cs="Times New Roman" w:eastAsia="Times New Roman" w:hAnsi="Times New Roman"/>
          <w:sz w:val="20"/>
          <w:szCs w:val="20"/>
          <w:color w:val="auto"/>
        </w:rPr>
        <w:t>5.17</w:t>
      </w:r>
      <w:r>
        <w:rPr>
          <w:sz w:val="20"/>
          <w:szCs w:val="20"/>
          <w:color w:val="auto"/>
        </w:rPr>
        <w:tab/>
      </w:r>
      <w:r>
        <w:rPr>
          <w:rFonts w:ascii="Times New Roman" w:cs="Times New Roman" w:eastAsia="Times New Roman" w:hAnsi="Times New Roman"/>
          <w:sz w:val="20"/>
          <w:szCs w:val="20"/>
          <w:u w:val="single" w:color="auto"/>
          <w:color w:val="auto"/>
        </w:rPr>
        <w:t>Limitation on Participant’s Rights</w:t>
      </w:r>
      <w:r>
        <w:rPr>
          <w:rFonts w:ascii="Times New Roman" w:cs="Times New Roman" w:eastAsia="Times New Roman" w:hAnsi="Times New Roman"/>
          <w:sz w:val="20"/>
          <w:szCs w:val="20"/>
          <w:color w:val="auto"/>
        </w:rPr>
        <w:t>. Participation in the Plan confers no rights or interests other than as herein provided. This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Agreement creates only a contractual obligation on the part of the Company as to amounts payable and shall not be construed as creating a trust. Neither the Plan nor any underlying program, in and of itself, has any assets. Participant shall have only the right to receive Shares as a</w:t>
      </w:r>
    </w:p>
    <w:p>
      <w:pPr>
        <w:spacing w:after="0" w:line="211" w:lineRule="auto"/>
        <w:rPr>
          <w:sz w:val="20"/>
          <w:szCs w:val="20"/>
          <w:color w:val="auto"/>
        </w:rPr>
      </w:pPr>
      <w:r>
        <w:rPr>
          <w:rFonts w:ascii="Times New Roman" w:cs="Times New Roman" w:eastAsia="Times New Roman" w:hAnsi="Times New Roman"/>
          <w:sz w:val="20"/>
          <w:szCs w:val="20"/>
          <w:color w:val="auto"/>
        </w:rPr>
        <w:t>general unsecured creditor with respect to the Option, as and when exercised pursuant to the terms hereof.</w:t>
      </w:r>
    </w:p>
    <w:p>
      <w:pPr>
        <w:ind w:left="660"/>
        <w:spacing w:after="0" w:line="222" w:lineRule="auto"/>
        <w:tabs>
          <w:tab w:leader="none" w:pos="1280" w:val="left"/>
        </w:tabs>
        <w:rPr>
          <w:sz w:val="20"/>
          <w:szCs w:val="20"/>
          <w:color w:val="auto"/>
        </w:rPr>
      </w:pPr>
      <w:r>
        <w:rPr>
          <w:rFonts w:ascii="Times New Roman" w:cs="Times New Roman" w:eastAsia="Times New Roman" w:hAnsi="Times New Roman"/>
          <w:sz w:val="20"/>
          <w:szCs w:val="20"/>
          <w:color w:val="auto"/>
        </w:rPr>
        <w:t>5.18</w:t>
      </w:r>
      <w:r>
        <w:rPr>
          <w:sz w:val="20"/>
          <w:szCs w:val="20"/>
          <w:color w:val="auto"/>
        </w:rPr>
        <w:tab/>
      </w:r>
      <w:r>
        <w:rPr>
          <w:rFonts w:ascii="Times New Roman" w:cs="Times New Roman" w:eastAsia="Times New Roman" w:hAnsi="Times New Roman"/>
          <w:sz w:val="19"/>
          <w:szCs w:val="19"/>
          <w:u w:val="single" w:color="auto"/>
          <w:color w:val="auto"/>
        </w:rPr>
        <w:t xml:space="preserve">Nature of Grant </w:t>
      </w:r>
      <w:r>
        <w:rPr>
          <w:rFonts w:ascii="Times New Roman" w:cs="Times New Roman" w:eastAsia="Times New Roman" w:hAnsi="Times New Roman"/>
          <w:sz w:val="19"/>
          <w:szCs w:val="19"/>
          <w:color w:val="auto"/>
        </w:rPr>
        <w:t>By accepting the Option, Participant acknowledges, understands and agrees that:</w:t>
      </w:r>
    </w:p>
    <w:p>
      <w:pPr>
        <w:spacing w:after="0" w:line="1" w:lineRule="exact"/>
        <w:rPr>
          <w:sz w:val="20"/>
          <w:szCs w:val="20"/>
          <w:color w:val="auto"/>
        </w:rPr>
      </w:pPr>
    </w:p>
    <w:p>
      <w:pPr>
        <w:ind w:firstLine="980"/>
        <w:spacing w:after="0" w:line="260" w:lineRule="auto"/>
        <w:tabs>
          <w:tab w:leader="none" w:pos="128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68" w:lineRule="exact"/>
        <w:rPr>
          <w:rFonts w:ascii="Times New Roman" w:cs="Times New Roman" w:eastAsia="Times New Roman" w:hAnsi="Times New Roman"/>
          <w:sz w:val="20"/>
          <w:szCs w:val="20"/>
          <w:color w:val="auto"/>
        </w:rPr>
      </w:pPr>
    </w:p>
    <w:p>
      <w:pPr>
        <w:ind w:right="20" w:firstLine="980"/>
        <w:spacing w:after="0" w:line="283" w:lineRule="auto"/>
        <w:tabs>
          <w:tab w:leader="none" w:pos="128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the Option is exceptional, voluntary and occasional and does not create any contractual or other right to receive future grants of options, or benefits in lieu of options, even if options have been granted in the past;</w:t>
      </w:r>
    </w:p>
    <w:p>
      <w:pPr>
        <w:spacing w:after="0" w:line="159"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option or other grants, if any, will be at the sole discretion of the Company;</w:t>
      </w:r>
    </w:p>
    <w:p>
      <w:pPr>
        <w:spacing w:after="0" w:line="215"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voluntarily participating in the Plan;</w:t>
      </w:r>
    </w:p>
    <w:p>
      <w:pPr>
        <w:spacing w:after="0" w:line="229" w:lineRule="exact"/>
        <w:rPr>
          <w:rFonts w:ascii="Times New Roman" w:cs="Times New Roman" w:eastAsia="Times New Roman" w:hAnsi="Times New Roman"/>
          <w:sz w:val="20"/>
          <w:szCs w:val="20"/>
          <w:color w:val="auto"/>
        </w:rPr>
      </w:pPr>
    </w:p>
    <w:p>
      <w:pPr>
        <w:ind w:right="20" w:firstLine="980"/>
        <w:spacing w:after="0" w:line="269" w:lineRule="auto"/>
        <w:tabs>
          <w:tab w:leader="none" w:pos="128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 any Shares acquired under the Plan, and the income from and value of same are not intended to replace any pension rights or compensation;</w:t>
      </w:r>
    </w:p>
    <w:p>
      <w:pPr>
        <w:spacing w:after="0" w:line="172" w:lineRule="exact"/>
        <w:rPr>
          <w:rFonts w:ascii="Times New Roman" w:cs="Times New Roman" w:eastAsia="Times New Roman" w:hAnsi="Times New Roman"/>
          <w:sz w:val="20"/>
          <w:szCs w:val="20"/>
          <w:color w:val="auto"/>
        </w:rPr>
      </w:pPr>
    </w:p>
    <w:p>
      <w:pPr>
        <w:jc w:val="both"/>
        <w:ind w:firstLine="980"/>
        <w:spacing w:after="0" w:line="261" w:lineRule="auto"/>
        <w:tabs>
          <w:tab w:leader="none" w:pos="1291"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 any Shares acquired under the Plan, and the income from and value of same, are not part of normal or expected compensation for purposes of, including but not limited to, calculating any severance, resignation, termination, redundancy, dismissal, end-of-service payments, bonuses, long-service awards, holiday pay, pension or retirement or welfare benefits or similar mandatory payments;</w:t>
      </w:r>
    </w:p>
    <w:p>
      <w:pPr>
        <w:spacing w:after="0" w:line="18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Shares underlying the Option is unknown, indeterminable, and cannot be predicted with certainty;</w:t>
      </w:r>
    </w:p>
    <w:p>
      <w:pPr>
        <w:spacing w:after="0" w:line="215"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underlying Shares do not increase in value, the Option will have no value;</w:t>
      </w:r>
    </w:p>
    <w:p>
      <w:pPr>
        <w:spacing w:after="0" w:line="229" w:lineRule="exact"/>
        <w:rPr>
          <w:rFonts w:ascii="Times New Roman" w:cs="Times New Roman" w:eastAsia="Times New Roman" w:hAnsi="Times New Roman"/>
          <w:sz w:val="20"/>
          <w:szCs w:val="20"/>
          <w:color w:val="auto"/>
        </w:rPr>
      </w:pPr>
    </w:p>
    <w:p>
      <w:pPr>
        <w:ind w:right="20" w:firstLine="980"/>
        <w:spacing w:after="0" w:line="269" w:lineRule="auto"/>
        <w:tabs>
          <w:tab w:leader="none" w:pos="129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Participant exercises the Option and acquires Shares, the value of such Shares may increase or decrease in value, even below the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A-7</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4" w:right="339" w:bottom="1440" w:gutter="0" w:footer="0" w:header="0"/>
        </w:sectPr>
      </w:pPr>
    </w:p>
    <w:bookmarkStart w:id="109" w:name="page110"/>
    <w:bookmarkEnd w:id="109"/>
    <w:p>
      <w:pPr>
        <w:jc w:val="both"/>
        <w:ind w:firstLine="980"/>
        <w:spacing w:after="0" w:line="261" w:lineRule="auto"/>
        <w:tabs>
          <w:tab w:leader="none" w:pos="129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or entitlement to compensation or damages shall arise from forfeiture of the Option resulting from Participant’s Termination of Service (for any reason whatsoever, whether or not later found to be invalid or in breach of employment laws in the jurisdiction where Participant is a service provider or the terms of Participant’s employment or service agreement, if any);</w:t>
      </w:r>
    </w:p>
    <w:p>
      <w:pPr>
        <w:spacing w:after="0" w:line="181" w:lineRule="exact"/>
        <w:rPr>
          <w:rFonts w:ascii="Times New Roman" w:cs="Times New Roman" w:eastAsia="Times New Roman" w:hAnsi="Times New Roman"/>
          <w:sz w:val="20"/>
          <w:szCs w:val="20"/>
          <w:color w:val="auto"/>
        </w:rPr>
      </w:pPr>
    </w:p>
    <w:p>
      <w:pPr>
        <w:jc w:val="both"/>
        <w:ind w:firstLine="980"/>
        <w:spacing w:after="0" w:line="261" w:lineRule="auto"/>
        <w:tabs>
          <w:tab w:leader="none" w:pos="128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agreed with the Company in writing, the Option, any Shares acquired under the Plan, and the income from and value of same, are not granted as consideration for, or in connection with the service Participant may provide as a director of any Participating Company; and</w:t>
      </w:r>
    </w:p>
    <w:p>
      <w:pPr>
        <w:spacing w:after="0" w:line="181" w:lineRule="exact"/>
        <w:rPr>
          <w:rFonts w:ascii="Times New Roman" w:cs="Times New Roman" w:eastAsia="Times New Roman" w:hAnsi="Times New Roman"/>
          <w:sz w:val="20"/>
          <w:szCs w:val="20"/>
          <w:color w:val="auto"/>
        </w:rPr>
      </w:pPr>
    </w:p>
    <w:p>
      <w:pPr>
        <w:jc w:val="both"/>
        <w:ind w:firstLine="980"/>
        <w:spacing w:after="0" w:line="261" w:lineRule="auto"/>
        <w:tabs>
          <w:tab w:leader="none" w:pos="129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the Participating Company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w:t>
      </w:r>
    </w:p>
    <w:p>
      <w:pPr>
        <w:spacing w:after="0" w:line="154"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5.19 </w:t>
      </w:r>
      <w:r>
        <w:rPr>
          <w:rFonts w:ascii="Times New Roman" w:cs="Times New Roman" w:eastAsia="Times New Roman" w:hAnsi="Times New Roman"/>
          <w:sz w:val="20"/>
          <w:szCs w:val="20"/>
          <w:u w:val="single" w:color="auto"/>
          <w:color w:val="auto"/>
        </w:rPr>
        <w:t>Data Privacy</w:t>
      </w:r>
      <w:r>
        <w:rPr>
          <w:rFonts w:ascii="Times New Roman" w:cs="Times New Roman" w:eastAsia="Times New Roman" w:hAnsi="Times New Roman"/>
          <w:sz w:val="20"/>
          <w:szCs w:val="20"/>
          <w:color w:val="auto"/>
        </w:rPr>
        <w:t>. By accepting the Option and indicating consent via the Company’s acceptance procedure, Participant is declaring that Participant agrees with the data processing practices described herein and consents to the collection, processing and use of</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Data (as defined below) by the Company and the transfer of Data to the recipients mentioned herein, including recipients located in countries which do not adduce an adequate level of protection from a European (or other non-U.S.) data protection law perspective, for the purposes</w:t>
      </w:r>
    </w:p>
    <w:p>
      <w:pPr>
        <w:spacing w:after="0" w:line="225" w:lineRule="auto"/>
        <w:rPr>
          <w:sz w:val="20"/>
          <w:szCs w:val="20"/>
          <w:color w:val="auto"/>
        </w:rPr>
      </w:pPr>
      <w:r>
        <w:rPr>
          <w:rFonts w:ascii="Times New Roman" w:cs="Times New Roman" w:eastAsia="Times New Roman" w:hAnsi="Times New Roman"/>
          <w:sz w:val="20"/>
          <w:szCs w:val="20"/>
          <w:color w:val="auto"/>
        </w:rPr>
        <w:t>described herein.</w:t>
      </w:r>
    </w:p>
    <w:p>
      <w:pPr>
        <w:jc w:val="both"/>
        <w:ind w:firstLine="980"/>
        <w:spacing w:after="0" w:line="249" w:lineRule="auto"/>
        <w:tabs>
          <w:tab w:leader="none" w:pos="128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Data Collection and Usage</w:t>
      </w:r>
      <w:r>
        <w:rPr>
          <w:rFonts w:ascii="Times New Roman" w:cs="Times New Roman" w:eastAsia="Times New Roman" w:hAnsi="Times New Roman"/>
          <w:sz w:val="20"/>
          <w:szCs w:val="20"/>
          <w:color w:val="auto"/>
        </w:rPr>
        <w:t>. The Company and the Participating Company may collect, process and use certain personal information about Participant, including, but not limited to, Participant’s name, home address and telephone number, email address, date of birth, social insurance number, passport number or other identification number, salary, nationality, job title, any shares of stock or directorships held in the Company, details of all Options or any other entitlement to Shares or equivalent benefits awarded, canceled, exercised, vested, unvested or outstanding in Participant’s favor (“Data”), for the purposes of implementing, administering and managing the Plan. The legal basis, where required, for the processing of Data is Participant’s consent.</w:t>
      </w:r>
    </w:p>
    <w:p>
      <w:pPr>
        <w:spacing w:after="0" w:line="179" w:lineRule="exact"/>
        <w:rPr>
          <w:rFonts w:ascii="Times New Roman" w:cs="Times New Roman" w:eastAsia="Times New Roman" w:hAnsi="Times New Roman"/>
          <w:sz w:val="20"/>
          <w:szCs w:val="20"/>
          <w:color w:val="auto"/>
        </w:rPr>
      </w:pPr>
    </w:p>
    <w:p>
      <w:pPr>
        <w:jc w:val="both"/>
        <w:ind w:firstLine="980"/>
        <w:spacing w:after="0" w:line="253" w:lineRule="auto"/>
        <w:tabs>
          <w:tab w:leader="none" w:pos="128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Plan Administration Service Providers</w:t>
      </w:r>
      <w:r>
        <w:rPr>
          <w:rFonts w:ascii="Times New Roman" w:cs="Times New Roman" w:eastAsia="Times New Roman" w:hAnsi="Times New Roman"/>
          <w:sz w:val="20"/>
          <w:szCs w:val="20"/>
          <w:color w:val="auto"/>
        </w:rPr>
        <w:t>. Participant understands that Data may be transferred to an escrow agent, transfer agent, trustee, broker (i.e. E*Trade) or such stock plan service provider or other third party selected by the Company to assist the Company with the implementation, administration and management of the Plan, presently or in the future. The Company may select a different service provider or additional service providers and share Data with such other provider serving in a similar manner. Participant may be asked to agree on separate terms and data processing practices with the service provider, with such agreement being a condition to the ability to participate in the Plan.</w:t>
      </w:r>
    </w:p>
    <w:p>
      <w:pPr>
        <w:spacing w:after="0" w:line="192" w:lineRule="exact"/>
        <w:rPr>
          <w:rFonts w:ascii="Times New Roman" w:cs="Times New Roman" w:eastAsia="Times New Roman" w:hAnsi="Times New Roman"/>
          <w:sz w:val="20"/>
          <w:szCs w:val="20"/>
          <w:color w:val="auto"/>
        </w:rPr>
      </w:pPr>
    </w:p>
    <w:p>
      <w:pPr>
        <w:jc w:val="both"/>
        <w:ind w:firstLine="980"/>
        <w:spacing w:after="0" w:line="261" w:lineRule="auto"/>
        <w:tabs>
          <w:tab w:leader="none" w:pos="128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International Data Transfers</w:t>
      </w:r>
      <w:r>
        <w:rPr>
          <w:rFonts w:ascii="Times New Roman" w:cs="Times New Roman" w:eastAsia="Times New Roman" w:hAnsi="Times New Roman"/>
          <w:sz w:val="20"/>
          <w:szCs w:val="20"/>
          <w:color w:val="auto"/>
        </w:rPr>
        <w:t>. The Company and its service providers are based in the United States. Participant’s country or jurisdiction may have different data privacy laws and protections than the United States. The Company’s legal basis, where required, for the transfer of Data is Participant’s consent.</w:t>
      </w:r>
    </w:p>
    <w:p>
      <w:pPr>
        <w:spacing w:after="0" w:line="181" w:lineRule="exact"/>
        <w:rPr>
          <w:rFonts w:ascii="Times New Roman" w:cs="Times New Roman" w:eastAsia="Times New Roman" w:hAnsi="Times New Roman"/>
          <w:sz w:val="20"/>
          <w:szCs w:val="20"/>
          <w:color w:val="auto"/>
        </w:rPr>
      </w:pPr>
    </w:p>
    <w:p>
      <w:pPr>
        <w:ind w:right="20" w:firstLine="980"/>
        <w:spacing w:after="0" w:line="269" w:lineRule="auto"/>
        <w:tabs>
          <w:tab w:leader="none" w:pos="128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Data Retention</w:t>
      </w:r>
      <w:r>
        <w:rPr>
          <w:rFonts w:ascii="Times New Roman" w:cs="Times New Roman" w:eastAsia="Times New Roman" w:hAnsi="Times New Roman"/>
          <w:sz w:val="20"/>
          <w:szCs w:val="20"/>
          <w:color w:val="auto"/>
        </w:rPr>
        <w:t>. The Company will hold and use the Data only as long as is necessary to implement, administer and manage Participant’s participation in the Plan, or as required to comply with legal or regulatory obligations, including under tax and security laws.</w:t>
      </w:r>
    </w:p>
    <w:p>
      <w:pPr>
        <w:spacing w:after="0" w:line="172" w:lineRule="exact"/>
        <w:rPr>
          <w:rFonts w:ascii="Times New Roman" w:cs="Times New Roman" w:eastAsia="Times New Roman" w:hAnsi="Times New Roman"/>
          <w:sz w:val="20"/>
          <w:szCs w:val="20"/>
          <w:color w:val="auto"/>
        </w:rPr>
      </w:pPr>
    </w:p>
    <w:p>
      <w:pPr>
        <w:jc w:val="both"/>
        <w:ind w:firstLine="980"/>
        <w:spacing w:after="0" w:line="261" w:lineRule="auto"/>
        <w:tabs>
          <w:tab w:leader="none" w:pos="128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Voluntariness and Consequences of Consent Denial or Withdrawal</w:t>
      </w:r>
      <w:r>
        <w:rPr>
          <w:rFonts w:ascii="Times New Roman" w:cs="Times New Roman" w:eastAsia="Times New Roman" w:hAnsi="Times New Roman"/>
          <w:sz w:val="20"/>
          <w:szCs w:val="20"/>
          <w:color w:val="auto"/>
        </w:rPr>
        <w:t>. Participation in the Plan is voluntary and Participant is providing the consents herein on a purely voluntary basis. If Participant does not consent, or if Participant later seeks to revoke Participant’s consent, Participant’s salary from or employment and career with the Participating Company will not be affected; the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A-8</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110" w:name="page111"/>
    <w:bookmarkEnd w:id="110"/>
    <w:p>
      <w:pPr>
        <w:spacing w:after="0" w:line="283" w:lineRule="auto"/>
        <w:rPr>
          <w:sz w:val="20"/>
          <w:szCs w:val="20"/>
          <w:color w:val="auto"/>
        </w:rPr>
      </w:pPr>
      <w:r>
        <w:rPr>
          <w:rFonts w:ascii="Times New Roman" w:cs="Times New Roman" w:eastAsia="Times New Roman" w:hAnsi="Times New Roman"/>
          <w:sz w:val="20"/>
          <w:szCs w:val="20"/>
          <w:color w:val="auto"/>
        </w:rPr>
        <w:t>consequence of refusing or withdrawing Participant’s consent is that the Company would not be able to grant this Option or other equity awards to Participant or administer or maintain such awards.</w:t>
      </w:r>
    </w:p>
    <w:p>
      <w:pPr>
        <w:spacing w:after="0" w:line="146" w:lineRule="exact"/>
        <w:rPr>
          <w:sz w:val="20"/>
          <w:szCs w:val="20"/>
          <w:color w:val="auto"/>
        </w:rPr>
      </w:pPr>
    </w:p>
    <w:p>
      <w:pPr>
        <w:jc w:val="both"/>
        <w:ind w:firstLine="980"/>
        <w:spacing w:after="0" w:line="253" w:lineRule="auto"/>
        <w:tabs>
          <w:tab w:leader="none" w:pos="129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Data Subject Rights</w:t>
      </w:r>
      <w:r>
        <w:rPr>
          <w:rFonts w:ascii="Times New Roman" w:cs="Times New Roman" w:eastAsia="Times New Roman" w:hAnsi="Times New Roman"/>
          <w:sz w:val="20"/>
          <w:szCs w:val="20"/>
          <w:color w:val="auto"/>
        </w:rPr>
        <w:t>. Participant may have a number of rights under data privacy laws in Participant’s jurisdiction. Depending on where Participant is based, such rights may include the right to (i) request access or copies of Data the Company processes, (ii) request rectification of incorrect Data, (iii) delete Data, (iv) restrict processing of Data, (v) portability of Data, (vi) lodge complaints with competent authorities in Participant’s jurisdiction, and/or (vii) receive a list with the names and addresses of any potential recipients of Data. To receive clarification regarding these rights or to exercise these rights, Participant can contact his or her local human resources representative.</w:t>
      </w:r>
    </w:p>
    <w:p>
      <w:pPr>
        <w:spacing w:after="0" w:line="192" w:lineRule="exact"/>
        <w:rPr>
          <w:rFonts w:ascii="Times New Roman" w:cs="Times New Roman" w:eastAsia="Times New Roman" w:hAnsi="Times New Roman"/>
          <w:sz w:val="20"/>
          <w:szCs w:val="20"/>
          <w:color w:val="auto"/>
        </w:rPr>
      </w:pPr>
    </w:p>
    <w:p>
      <w:pPr>
        <w:jc w:val="both"/>
        <w:ind w:firstLine="980"/>
        <w:spacing w:after="0" w:line="266" w:lineRule="auto"/>
        <w:tabs>
          <w:tab w:leader="none" w:pos="1284"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Alternate Basis and Additional Consents</w:t>
      </w:r>
      <w:r>
        <w:rPr>
          <w:rFonts w:ascii="Times New Roman" w:cs="Times New Roman" w:eastAsia="Times New Roman" w:hAnsi="Times New Roman"/>
          <w:sz w:val="19"/>
          <w:szCs w:val="19"/>
          <w:color w:val="auto"/>
        </w:rPr>
        <w:t>. Finally, Participant understands that the Company may rely on a different basis for the processing or transfer of Data in the future and/or request that Participant provide another data privacy consent. If applicable, Participant agrees that upon request of the Company or the Participating Company, Participant will provide an executed acknowledgement or data privacy consent form (or any other agreements or consents) that the Company and/or the Participating Company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he or she fails to provide any such consent or agreement requested by the Company and/or the Participating Company.</w:t>
      </w:r>
    </w:p>
    <w:p>
      <w:pPr>
        <w:spacing w:after="0" w:line="16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5.20</w:t>
      </w:r>
      <w:r>
        <w:rPr>
          <w:sz w:val="20"/>
          <w:szCs w:val="20"/>
          <w:color w:val="auto"/>
        </w:rPr>
        <w:tab/>
      </w:r>
      <w:r>
        <w:rPr>
          <w:rFonts w:ascii="Times New Roman" w:cs="Times New Roman" w:eastAsia="Times New Roman" w:hAnsi="Times New Roman"/>
          <w:sz w:val="19"/>
          <w:szCs w:val="19"/>
          <w:u w:val="single" w:color="auto"/>
          <w:color w:val="auto"/>
        </w:rPr>
        <w:t xml:space="preserve">Language </w:t>
      </w:r>
      <w:r>
        <w:rPr>
          <w:rFonts w:ascii="Times New Roman" w:cs="Times New Roman" w:eastAsia="Times New Roman" w:hAnsi="Times New Roman"/>
          <w:sz w:val="19"/>
          <w:szCs w:val="19"/>
          <w:color w:val="auto"/>
        </w:rPr>
        <w:t>Participant acknowledges that he or she is proficient in the English language, or has consulted with an advisor who</w:t>
      </w:r>
    </w:p>
    <w:p>
      <w:pPr>
        <w:spacing w:after="0" w:line="215" w:lineRule="auto"/>
        <w:rPr>
          <w:sz w:val="20"/>
          <w:szCs w:val="20"/>
          <w:color w:val="auto"/>
        </w:rPr>
      </w:pPr>
      <w:r>
        <w:rPr>
          <w:rFonts w:ascii="Times New Roman" w:cs="Times New Roman" w:eastAsia="Times New Roman" w:hAnsi="Times New Roman"/>
          <w:sz w:val="19"/>
          <w:szCs w:val="19"/>
          <w:color w:val="auto"/>
        </w:rPr>
        <w:t>is proficient in the English language, so as to enable Participant to understand the provisions of this Agreement and the Plan. If Participant has received this Agreement or any other document related to the Plan translated into a language other than English and if the meaning of the</w:t>
      </w:r>
    </w:p>
    <w:p>
      <w:pPr>
        <w:spacing w:after="0" w:line="211" w:lineRule="auto"/>
        <w:rPr>
          <w:sz w:val="20"/>
          <w:szCs w:val="20"/>
          <w:color w:val="auto"/>
        </w:rPr>
      </w:pPr>
      <w:r>
        <w:rPr>
          <w:rFonts w:ascii="Times New Roman" w:cs="Times New Roman" w:eastAsia="Times New Roman" w:hAnsi="Times New Roman"/>
          <w:sz w:val="20"/>
          <w:szCs w:val="20"/>
          <w:color w:val="auto"/>
        </w:rPr>
        <w:t>translated version is different than the English version, the English version will control.</w:t>
      </w:r>
    </w:p>
    <w:p>
      <w:pPr>
        <w:ind w:firstLine="648"/>
        <w:spacing w:after="0" w:line="204" w:lineRule="auto"/>
        <w:rPr>
          <w:sz w:val="20"/>
          <w:szCs w:val="20"/>
          <w:color w:val="auto"/>
        </w:rPr>
      </w:pPr>
      <w:r>
        <w:rPr>
          <w:rFonts w:ascii="Times New Roman" w:cs="Times New Roman" w:eastAsia="Times New Roman" w:hAnsi="Times New Roman"/>
          <w:sz w:val="20"/>
          <w:szCs w:val="20"/>
          <w:color w:val="auto"/>
        </w:rPr>
        <w:t xml:space="preserve">5.21 Electronic Delivery and Participation The Company may, in its sole discretion, decide to deliver any documents related to </w:t>
      </w:r>
      <w:r>
        <w:rPr>
          <w:rFonts w:ascii="Times New Roman" w:cs="Times New Roman" w:eastAsia="Times New Roman" w:hAnsi="Times New Roman"/>
          <w:sz w:val="20"/>
          <w:szCs w:val="20"/>
          <w:color w:val="auto"/>
          <w:highlight w:val="white"/>
        </w:rPr>
        <w:t>current or future participation in the Plan by electronic means. Participant hereby consents to receive such documents by electronic delivery</w:t>
      </w:r>
    </w:p>
    <w:p>
      <w:pPr>
        <w:spacing w:after="0" w:line="211" w:lineRule="auto"/>
        <w:rPr>
          <w:sz w:val="20"/>
          <w:szCs w:val="20"/>
          <w:color w:val="auto"/>
        </w:rPr>
      </w:pPr>
      <w:r>
        <w:rPr>
          <w:rFonts w:ascii="Times New Roman" w:cs="Times New Roman" w:eastAsia="Times New Roman" w:hAnsi="Times New Roman"/>
          <w:sz w:val="20"/>
          <w:szCs w:val="20"/>
          <w:color w:val="auto"/>
          <w:highlight w:val="white"/>
        </w:rPr>
        <w:t>and agrees to participate in the Plan through an online or electronic system established and maintained by the Company or a third party</w:t>
      </w:r>
    </w:p>
    <w:p>
      <w:pPr>
        <w:spacing w:after="0" w:line="198" w:lineRule="auto"/>
        <w:rPr>
          <w:sz w:val="20"/>
          <w:szCs w:val="20"/>
          <w:color w:val="auto"/>
        </w:rPr>
      </w:pPr>
      <w:r>
        <w:rPr>
          <w:rFonts w:ascii="Times New Roman" w:cs="Times New Roman" w:eastAsia="Times New Roman" w:hAnsi="Times New Roman"/>
          <w:sz w:val="20"/>
          <w:szCs w:val="20"/>
          <w:color w:val="auto"/>
          <w:highlight w:val="white"/>
        </w:rPr>
        <w:t>designated by the Company.</w:t>
      </w:r>
    </w:p>
    <w:p>
      <w:pPr>
        <w:ind w:left="660"/>
        <w:spacing w:after="0" w:line="211" w:lineRule="auto"/>
        <w:tabs>
          <w:tab w:leader="none" w:pos="1280" w:val="left"/>
        </w:tabs>
        <w:rPr>
          <w:sz w:val="20"/>
          <w:szCs w:val="20"/>
          <w:color w:val="auto"/>
        </w:rPr>
      </w:pPr>
      <w:r>
        <w:rPr>
          <w:rFonts w:ascii="Times New Roman" w:cs="Times New Roman" w:eastAsia="Times New Roman" w:hAnsi="Times New Roman"/>
          <w:sz w:val="20"/>
          <w:szCs w:val="20"/>
          <w:color w:val="auto"/>
        </w:rPr>
        <w:t>5.22</w:t>
      </w:r>
      <w:r>
        <w:rPr>
          <w:sz w:val="20"/>
          <w:szCs w:val="20"/>
          <w:color w:val="auto"/>
        </w:rPr>
        <w:tab/>
      </w:r>
      <w:r>
        <w:rPr>
          <w:rFonts w:ascii="Times New Roman" w:cs="Times New Roman" w:eastAsia="Times New Roman" w:hAnsi="Times New Roman"/>
          <w:sz w:val="20"/>
          <w:szCs w:val="20"/>
          <w:u w:val="single" w:color="auto"/>
          <w:color w:val="auto"/>
        </w:rPr>
        <w:t xml:space="preserve">Country-Specific Provisions </w:t>
      </w:r>
      <w:r>
        <w:rPr>
          <w:rFonts w:ascii="Times New Roman" w:cs="Times New Roman" w:eastAsia="Times New Roman" w:hAnsi="Times New Roman"/>
          <w:sz w:val="20"/>
          <w:szCs w:val="20"/>
          <w:color w:val="auto"/>
        </w:rPr>
        <w:t>Participant’s participation in the Plan shall be subject to any special terms and conditions set</w:t>
      </w:r>
    </w:p>
    <w:p>
      <w:pPr>
        <w:ind w:right="20"/>
        <w:spacing w:after="0" w:line="204" w:lineRule="auto"/>
        <w:rPr>
          <w:sz w:val="20"/>
          <w:szCs w:val="20"/>
          <w:color w:val="auto"/>
        </w:rPr>
      </w:pPr>
      <w:r>
        <w:rPr>
          <w:rFonts w:ascii="Times New Roman" w:cs="Times New Roman" w:eastAsia="Times New Roman" w:hAnsi="Times New Roman"/>
          <w:sz w:val="20"/>
          <w:szCs w:val="20"/>
          <w:color w:val="auto"/>
        </w:rPr>
        <w:t>forth in the Country-Specific Provisions for Non-U.S. Participants attached hereto as Exhibit B. Moreover, if Participant relocates to one of the countries included in Exhibit B, the special terms and conditions for such country will apply to Participant to the extent the Company</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determines that the application of such terms and conditions is necessary or advisable for legal or administrative reasons. Exhibit B constitutes part of this Agreement.</w:t>
      </w:r>
    </w:p>
    <w:p>
      <w:pPr>
        <w:spacing w:after="0" w:line="1"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20"/>
          <w:szCs w:val="20"/>
          <w:color w:val="auto"/>
        </w:rPr>
        <w:t xml:space="preserve">5.23 </w:t>
      </w:r>
      <w:r>
        <w:rPr>
          <w:rFonts w:ascii="Times New Roman" w:cs="Times New Roman" w:eastAsia="Times New Roman" w:hAnsi="Times New Roman"/>
          <w:sz w:val="20"/>
          <w:szCs w:val="20"/>
          <w:u w:val="single" w:color="auto"/>
          <w:color w:val="auto"/>
        </w:rPr>
        <w:t>Imposition of Other Requirements</w:t>
      </w:r>
      <w:r>
        <w:rPr>
          <w:rFonts w:ascii="Times New Roman" w:cs="Times New Roman" w:eastAsia="Times New Roman" w:hAnsi="Times New Roman"/>
          <w:sz w:val="20"/>
          <w:szCs w:val="20"/>
          <w:color w:val="auto"/>
        </w:rPr>
        <w:t xml:space="preserve"> The Company reserves the right to impose other requirements on Participant’s participation in the Plan, on any Option granted under the Plan and on any Shares acquired under the Plan, to the extent the Company</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determines it is necessary or advisable for legal or administrative reasons, and to require Participant to sign any additional agreements, consents, authorizations or undertakings that may be necessary to accomplish the foregoing.</w:t>
      </w:r>
    </w:p>
    <w:p>
      <w:pPr>
        <w:ind w:left="660"/>
        <w:spacing w:after="0" w:line="211" w:lineRule="auto"/>
        <w:tabs>
          <w:tab w:leader="none" w:pos="1280" w:val="left"/>
        </w:tabs>
        <w:rPr>
          <w:sz w:val="20"/>
          <w:szCs w:val="20"/>
          <w:color w:val="auto"/>
        </w:rPr>
      </w:pPr>
      <w:r>
        <w:rPr>
          <w:rFonts w:ascii="Times New Roman" w:cs="Times New Roman" w:eastAsia="Times New Roman" w:hAnsi="Times New Roman"/>
          <w:sz w:val="20"/>
          <w:szCs w:val="20"/>
          <w:color w:val="auto"/>
        </w:rPr>
        <w:t>5.24</w:t>
      </w:r>
      <w:r>
        <w:rPr>
          <w:sz w:val="20"/>
          <w:szCs w:val="20"/>
          <w:color w:val="auto"/>
        </w:rPr>
        <w:tab/>
      </w:r>
      <w:r>
        <w:rPr>
          <w:rFonts w:ascii="Times New Roman" w:cs="Times New Roman" w:eastAsia="Times New Roman" w:hAnsi="Times New Roman"/>
          <w:sz w:val="20"/>
          <w:szCs w:val="20"/>
          <w:u w:val="single" w:color="auto"/>
          <w:color w:val="auto"/>
        </w:rPr>
        <w:t xml:space="preserve">Waiver </w:t>
      </w:r>
      <w:r>
        <w:rPr>
          <w:rFonts w:ascii="Times New Roman" w:cs="Times New Roman" w:eastAsia="Times New Roman" w:hAnsi="Times New Roman"/>
          <w:sz w:val="20"/>
          <w:szCs w:val="20"/>
          <w:color w:val="auto"/>
        </w:rPr>
        <w:t>Participant acknowledges that a waiver by the Company of breach of any provision of this Agreement shall not</w:t>
      </w:r>
    </w:p>
    <w:p>
      <w:pPr>
        <w:spacing w:after="0" w:line="1" w:lineRule="exact"/>
        <w:rPr>
          <w:sz w:val="20"/>
          <w:szCs w:val="20"/>
          <w:color w:val="auto"/>
        </w:rPr>
      </w:pPr>
    </w:p>
    <w:p>
      <w:pPr>
        <w:jc w:val="right"/>
        <w:ind w:right="20"/>
        <w:spacing w:after="0" w:line="204" w:lineRule="auto"/>
        <w:rPr>
          <w:sz w:val="20"/>
          <w:szCs w:val="20"/>
          <w:color w:val="auto"/>
        </w:rPr>
      </w:pPr>
      <w:r>
        <w:rPr>
          <w:rFonts w:ascii="Times New Roman" w:cs="Times New Roman" w:eastAsia="Times New Roman" w:hAnsi="Times New Roman"/>
          <w:sz w:val="20"/>
          <w:szCs w:val="20"/>
          <w:color w:val="auto"/>
        </w:rPr>
        <w:t xml:space="preserve">operate or be construed as a waiver of any other provision of this Agreement, or of any subsequent breach, whether of like or different nature. 5.25   </w:t>
      </w:r>
      <w:r>
        <w:rPr>
          <w:rFonts w:ascii="Times New Roman" w:cs="Times New Roman" w:eastAsia="Times New Roman" w:hAnsi="Times New Roman"/>
          <w:sz w:val="20"/>
          <w:szCs w:val="20"/>
          <w:u w:val="single" w:color="auto"/>
          <w:color w:val="auto"/>
        </w:rPr>
        <w:t>Foreign Asset/Account Reporting; Exchange Control and Tax Reporting and Other Requirements</w:t>
      </w:r>
      <w:r>
        <w:rPr>
          <w:rFonts w:ascii="Times New Roman" w:cs="Times New Roman" w:eastAsia="Times New Roman" w:hAnsi="Times New Roman"/>
          <w:sz w:val="20"/>
          <w:szCs w:val="20"/>
          <w:color w:val="auto"/>
        </w:rPr>
        <w:t xml:space="preserve"> Depending on Participant’s</w:t>
      </w:r>
    </w:p>
    <w:p>
      <w:pPr>
        <w:spacing w:after="0" w:line="223" w:lineRule="auto"/>
        <w:rPr>
          <w:sz w:val="20"/>
          <w:szCs w:val="20"/>
          <w:color w:val="auto"/>
        </w:rPr>
      </w:pPr>
      <w:r>
        <w:rPr>
          <w:rFonts w:ascii="Times New Roman" w:cs="Times New Roman" w:eastAsia="Times New Roman" w:hAnsi="Times New Roman"/>
          <w:sz w:val="19"/>
          <w:szCs w:val="19"/>
          <w:color w:val="auto"/>
        </w:rPr>
        <w:t>country, Participant may be subject to foreign asset/account, exchange control and/or tax reporting requirements as a result of the exercise of</w:t>
      </w:r>
    </w:p>
    <w:p>
      <w:pPr>
        <w:spacing w:after="0" w:line="204" w:lineRule="auto"/>
        <w:rPr>
          <w:sz w:val="20"/>
          <w:szCs w:val="20"/>
          <w:color w:val="auto"/>
        </w:rPr>
      </w:pPr>
      <w:r>
        <w:rPr>
          <w:rFonts w:ascii="Times New Roman" w:cs="Times New Roman" w:eastAsia="Times New Roman" w:hAnsi="Times New Roman"/>
          <w:sz w:val="20"/>
          <w:szCs w:val="20"/>
          <w:color w:val="auto"/>
        </w:rPr>
        <w:t>the Option, the acquisition, holding and/or transfer of Shares or cash resulting from participation in the Plan and/or the opening and maintaining of a brokerage or bank account in connection with the Plan. Participant may be required to report such assets, accounts, account</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balances and values, and/or related transactions to the applicable authorities in his or her country. Participant may also be required to repatriate sale proceeds or other funds received as a result of Participant’s participation in the Plan to his or her country through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A-9</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color w:val="auto"/>
        </w:rPr>
        <w:t>designated bank or broker and/or within a certain time after receipt. Participant acknowledges that he or she is responsible for ensuring</w:t>
      </w:r>
    </w:p>
    <w:p>
      <w:pPr>
        <w:spacing w:after="0" w:line="204" w:lineRule="auto"/>
        <w:rPr>
          <w:sz w:val="20"/>
          <w:szCs w:val="20"/>
          <w:color w:val="auto"/>
        </w:rPr>
      </w:pPr>
      <w:r>
        <w:rPr>
          <w:rFonts w:ascii="Times New Roman" w:cs="Times New Roman" w:eastAsia="Times New Roman" w:hAnsi="Times New Roman"/>
          <w:sz w:val="20"/>
          <w:szCs w:val="20"/>
          <w:color w:val="auto"/>
        </w:rPr>
        <w:t>compliance with any applicable foreign asset/account, exchange control and tax reporting and other requirements. Participant further understands that he or she should consult Participant’s personal tax and legal advisors, as applicable on these matters.</w:t>
      </w:r>
    </w:p>
    <w:p>
      <w:pPr>
        <w:spacing w:after="0" w:line="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5.26</w:t>
      </w:r>
      <w:r>
        <w:rPr>
          <w:sz w:val="20"/>
          <w:szCs w:val="20"/>
          <w:color w:val="auto"/>
        </w:rPr>
        <w:tab/>
      </w:r>
      <w:r>
        <w:rPr>
          <w:rFonts w:ascii="Times New Roman" w:cs="Times New Roman" w:eastAsia="Times New Roman" w:hAnsi="Times New Roman"/>
          <w:sz w:val="19"/>
          <w:szCs w:val="19"/>
          <w:u w:val="single" w:color="auto"/>
          <w:color w:val="auto"/>
        </w:rPr>
        <w:t>Insider Trading Restrictions/Market Abuse Laws</w:t>
      </w:r>
    </w:p>
    <w:p>
      <w:pPr>
        <w:spacing w:after="0" w:line="180" w:lineRule="exact"/>
        <w:rPr>
          <w:sz w:val="20"/>
          <w:szCs w:val="20"/>
          <w:color w:val="auto"/>
        </w:rPr>
      </w:pPr>
    </w:p>
    <w:p>
      <w:pPr>
        <w:jc w:val="both"/>
        <w:ind w:firstLine="980"/>
        <w:spacing w:after="0" w:line="250" w:lineRule="auto"/>
        <w:tabs>
          <w:tab w:leader="none" w:pos="1375" w:val="left"/>
        </w:tabs>
        <w:numPr>
          <w:ilvl w:val="0"/>
          <w:numId w:val="5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Participant acknowledges that, depending on his or her country or the broker’s country or where the Shares are listed, Participant may be subject to insider-trading restrictions and/or market-abuse laws, which may affect his or her ability to accept, acquire, sell or otherwise dispose of Shares or rights to Shares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the Option) or rights linked to the value of Shares under the Plan during such times as Participant is considered to have “inside information” regarding the Company (as defined by laws or regulations in the applicable jurisdictions). Further, Participant acknowledges that local insider trading laws and regulations may prohibit the cancellation or amendment of orders Participant placed before he or she possessed inside information and that Participant may be prohibited from disclosing inside information to any third party and “tipping” third parties or causing them to otherwise buy or sell securities. Third parties includes fellow employees. Any restrictions under these laws or regulations are separate from and in addition to any restrictions that may be imposed under the Company’s insider-trading policy. Participant is responsible for ensuring compliance with any applicable restrictions and should consult his or her personal legal advisor on this matter.</w:t>
      </w:r>
    </w:p>
    <w:p>
      <w:pPr>
        <w:spacing w:after="0" w:line="183"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5.27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 each of which shall be deemed an original and all of which together shall constitute one instrument.</w:t>
      </w:r>
    </w:p>
    <w:p>
      <w:pPr>
        <w:ind w:left="660"/>
        <w:spacing w:after="0" w:line="212" w:lineRule="auto"/>
        <w:tabs>
          <w:tab w:leader="none" w:pos="1280" w:val="left"/>
        </w:tabs>
        <w:rPr>
          <w:sz w:val="20"/>
          <w:szCs w:val="20"/>
          <w:color w:val="auto"/>
        </w:rPr>
      </w:pPr>
      <w:r>
        <w:rPr>
          <w:rFonts w:ascii="Times New Roman" w:cs="Times New Roman" w:eastAsia="Times New Roman" w:hAnsi="Times New Roman"/>
          <w:sz w:val="20"/>
          <w:szCs w:val="20"/>
          <w:color w:val="auto"/>
        </w:rPr>
        <w:t>5.28</w:t>
      </w:r>
      <w:r>
        <w:rPr>
          <w:sz w:val="20"/>
          <w:szCs w:val="20"/>
          <w:color w:val="auto"/>
        </w:rPr>
        <w:tab/>
      </w:r>
      <w:r>
        <w:rPr>
          <w:rFonts w:ascii="Times New Roman" w:cs="Times New Roman" w:eastAsia="Times New Roman" w:hAnsi="Times New Roman"/>
          <w:sz w:val="20"/>
          <w:szCs w:val="20"/>
          <w:u w:val="single" w:color="auto"/>
          <w:color w:val="auto"/>
        </w:rPr>
        <w:t>Broker-Assisted Sales</w:t>
      </w:r>
      <w:r>
        <w:rPr>
          <w:rFonts w:ascii="Times New Roman" w:cs="Times New Roman" w:eastAsia="Times New Roman" w:hAnsi="Times New Roman"/>
          <w:sz w:val="20"/>
          <w:szCs w:val="20"/>
          <w:color w:val="auto"/>
        </w:rPr>
        <w:t>. In the event of any broker-assisted sale of Shares in connection with the payment of withholding</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taxes as provided in </w:t>
      </w:r>
      <w:r>
        <w:rPr>
          <w:rFonts w:ascii="Times New Roman" w:cs="Times New Roman" w:eastAsia="Times New Roman" w:hAnsi="Times New Roman"/>
          <w:sz w:val="19"/>
          <w:szCs w:val="19"/>
          <w:u w:val="single" w:color="auto"/>
          <w:color w:val="auto"/>
        </w:rPr>
        <w:t>Section 3.4(c)</w:t>
      </w:r>
      <w:r>
        <w:rPr>
          <w:rFonts w:ascii="Times New Roman" w:cs="Times New Roman" w:eastAsia="Times New Roman" w:hAnsi="Times New Roman"/>
          <w:sz w:val="19"/>
          <w:szCs w:val="19"/>
          <w:color w:val="auto"/>
        </w:rPr>
        <w:t xml:space="preserve"> or the payment of the Exercise Price as provided in </w:t>
      </w:r>
      <w:r>
        <w:rPr>
          <w:rFonts w:ascii="Times New Roman" w:cs="Times New Roman" w:eastAsia="Times New Roman" w:hAnsi="Times New Roman"/>
          <w:sz w:val="19"/>
          <w:szCs w:val="19"/>
          <w:u w:val="single" w:color="auto"/>
          <w:color w:val="auto"/>
        </w:rPr>
        <w:t>Section 4.4(c)</w:t>
      </w:r>
      <w:r>
        <w:rPr>
          <w:rFonts w:ascii="Times New Roman" w:cs="Times New Roman" w:eastAsia="Times New Roman" w:hAnsi="Times New Roman"/>
          <w:sz w:val="19"/>
          <w:szCs w:val="19"/>
          <w:color w:val="auto"/>
        </w:rPr>
        <w:t>: (a) any Shares to be sold through a broker-assisted sale will be sold on the day the tax withholding obligation or exercise of the Option, as applicable, occurs or arises, or as soon</w:t>
      </w:r>
    </w:p>
    <w:p>
      <w:pPr>
        <w:spacing w:after="0" w:line="211" w:lineRule="auto"/>
        <w:rPr>
          <w:sz w:val="20"/>
          <w:szCs w:val="20"/>
          <w:color w:val="auto"/>
        </w:rPr>
      </w:pPr>
      <w:r>
        <w:rPr>
          <w:rFonts w:ascii="Times New Roman" w:cs="Times New Roman" w:eastAsia="Times New Roman" w:hAnsi="Times New Roman"/>
          <w:sz w:val="20"/>
          <w:szCs w:val="20"/>
          <w:color w:val="auto"/>
        </w:rPr>
        <w:t>thereafter as practicable; (b) such Shares may be sold as part of a block trade with other participants in the Plan in which all participants</w:t>
      </w:r>
    </w:p>
    <w:p>
      <w:pPr>
        <w:spacing w:after="0" w:line="215" w:lineRule="auto"/>
        <w:rPr>
          <w:sz w:val="20"/>
          <w:szCs w:val="20"/>
          <w:color w:val="auto"/>
        </w:rPr>
      </w:pPr>
      <w:r>
        <w:rPr>
          <w:rFonts w:ascii="Times New Roman" w:cs="Times New Roman" w:eastAsia="Times New Roman" w:hAnsi="Times New Roman"/>
          <w:sz w:val="19"/>
          <w:szCs w:val="19"/>
          <w:color w:val="auto"/>
        </w:rPr>
        <w:t>receive an average price; (c) Participant will be responsible for all broker’s fees and other costs of sale, and Participant agrees to indemnify and hold the Company harmless from any losses, costs, damages, or expenses relating to any such sale; (d) to the extent the proceeds of such</w:t>
      </w:r>
    </w:p>
    <w:p>
      <w:pPr>
        <w:spacing w:after="0" w:line="215" w:lineRule="auto"/>
        <w:rPr>
          <w:sz w:val="20"/>
          <w:szCs w:val="20"/>
          <w:color w:val="auto"/>
        </w:rPr>
      </w:pPr>
      <w:r>
        <w:rPr>
          <w:rFonts w:ascii="Times New Roman" w:cs="Times New Roman" w:eastAsia="Times New Roman" w:hAnsi="Times New Roman"/>
          <w:sz w:val="19"/>
          <w:szCs w:val="19"/>
          <w:color w:val="auto"/>
        </w:rPr>
        <w:t>sale exceed the applicable tax withholding obligation or Exercise Price, the Company agrees to pay such excess in cash to Participant as soon as reasonably practicable; (e) Participant acknowledges that the Company or its designee is under no obligation to arrange for such sale at</w:t>
      </w:r>
    </w:p>
    <w:p>
      <w:pPr>
        <w:spacing w:after="0" w:line="211" w:lineRule="auto"/>
        <w:rPr>
          <w:sz w:val="20"/>
          <w:szCs w:val="20"/>
          <w:color w:val="auto"/>
        </w:rPr>
      </w:pPr>
      <w:r>
        <w:rPr>
          <w:rFonts w:ascii="Times New Roman" w:cs="Times New Roman" w:eastAsia="Times New Roman" w:hAnsi="Times New Roman"/>
          <w:sz w:val="20"/>
          <w:szCs w:val="20"/>
          <w:color w:val="auto"/>
        </w:rPr>
        <w:t>any particular price, and that the proceeds of any such sale may not be sufficient to satisfy the applicable tax withholding obligation or</w:t>
      </w:r>
    </w:p>
    <w:p>
      <w:pPr>
        <w:spacing w:after="0" w:line="204" w:lineRule="auto"/>
        <w:rPr>
          <w:sz w:val="20"/>
          <w:szCs w:val="20"/>
          <w:color w:val="auto"/>
        </w:rPr>
      </w:pPr>
      <w:r>
        <w:rPr>
          <w:rFonts w:ascii="Times New Roman" w:cs="Times New Roman" w:eastAsia="Times New Roman" w:hAnsi="Times New Roman"/>
          <w:sz w:val="20"/>
          <w:szCs w:val="20"/>
          <w:color w:val="auto"/>
        </w:rPr>
        <w:t>Exercise Price; and (f) in the event the proceeds of such sale are insufficient to satisfy the applicable tax withholding obligation, Participant agrees to pay immediately upon demand to the Participating Company with respect to which the withholding obligation arises an amount in</w:t>
      </w:r>
    </w:p>
    <w:p>
      <w:pPr>
        <w:spacing w:after="0" w:line="211" w:lineRule="auto"/>
        <w:rPr>
          <w:sz w:val="20"/>
          <w:szCs w:val="20"/>
          <w:color w:val="auto"/>
        </w:rPr>
      </w:pPr>
      <w:r>
        <w:rPr>
          <w:rFonts w:ascii="Times New Roman" w:cs="Times New Roman" w:eastAsia="Times New Roman" w:hAnsi="Times New Roman"/>
          <w:sz w:val="20"/>
          <w:szCs w:val="20"/>
          <w:color w:val="auto"/>
        </w:rPr>
        <w:t>cash sufficient to satisfy any remaining portion of the applicable Participating Company’s withholding obligation.</w:t>
      </w:r>
    </w:p>
    <w:p>
      <w:pPr>
        <w:spacing w:after="0" w:line="1" w:lineRule="exact"/>
        <w:rPr>
          <w:sz w:val="20"/>
          <w:szCs w:val="20"/>
          <w:color w:val="auto"/>
        </w:rPr>
      </w:pPr>
    </w:p>
    <w:p>
      <w:pPr>
        <w:ind w:firstLine="648"/>
        <w:spacing w:after="0" w:line="204" w:lineRule="auto"/>
        <w:rPr>
          <w:sz w:val="20"/>
          <w:szCs w:val="20"/>
          <w:color w:val="auto"/>
        </w:rPr>
      </w:pPr>
      <w:r>
        <w:rPr>
          <w:rFonts w:ascii="Times New Roman" w:cs="Times New Roman" w:eastAsia="Times New Roman" w:hAnsi="Times New Roman"/>
          <w:sz w:val="20"/>
          <w:szCs w:val="20"/>
          <w:color w:val="auto"/>
        </w:rPr>
        <w:t xml:space="preserve">5.29 </w:t>
      </w:r>
      <w:r>
        <w:rPr>
          <w:rFonts w:ascii="Times New Roman" w:cs="Times New Roman" w:eastAsia="Times New Roman" w:hAnsi="Times New Roman"/>
          <w:sz w:val="20"/>
          <w:szCs w:val="20"/>
          <w:u w:val="single" w:color="auto"/>
          <w:color w:val="auto"/>
        </w:rPr>
        <w:t>Clawback</w:t>
      </w:r>
      <w:r>
        <w:rPr>
          <w:rFonts w:ascii="Times New Roman" w:cs="Times New Roman" w:eastAsia="Times New Roman" w:hAnsi="Times New Roman"/>
          <w:sz w:val="20"/>
          <w:szCs w:val="20"/>
          <w:color w:val="auto"/>
        </w:rPr>
        <w:t>. The Option (including any proceeds, gains or other economic benefit actually or constructively received by the Participant upon any receipt or exercise of the Option or upon the receipt or resale of any Shares underlying the Option) will be subject to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any Company claw-back policy as in effect from time to time, including any claw-back policy adopted to comply with Applicable Laws (including the Dodd-Frank Wall Street Reform and Consumer Protection Act and any rules or regulations promulgated thereunder).</w:t>
      </w:r>
    </w:p>
    <w:p>
      <w:pPr>
        <w:spacing w:after="0" w:line="1"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20"/>
          <w:szCs w:val="20"/>
          <w:color w:val="auto"/>
        </w:rPr>
        <w:t xml:space="preserve">5.30 </w:t>
      </w:r>
      <w:r>
        <w:rPr>
          <w:rFonts w:ascii="Times New Roman" w:cs="Times New Roman" w:eastAsia="Times New Roman" w:hAnsi="Times New Roman"/>
          <w:sz w:val="20"/>
          <w:szCs w:val="20"/>
          <w:u w:val="single" w:color="auto"/>
          <w:color w:val="auto"/>
        </w:rPr>
        <w:t>Incentive Stock Options</w:t>
      </w:r>
      <w:r>
        <w:rPr>
          <w:rFonts w:ascii="Times New Roman" w:cs="Times New Roman" w:eastAsia="Times New Roman" w:hAnsi="Times New Roman"/>
          <w:sz w:val="20"/>
          <w:szCs w:val="20"/>
          <w:color w:val="auto"/>
        </w:rPr>
        <w:t>. For Participants who are US taxpayers, Participant acknowledges that to the extent the aggregate Fair Market Value of Shares (determined as of the time the option with respect to the Shares is granted) with respect to which Incentive Stock</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Options, including this Option (if applicable), are exercisable for the first time by Participant during any calendar year exceeds $100,000 or if for any other reason such Incentive Stock Options do not qualify or cease to qualify for treatment as “incentive stock options” under Section</w:t>
      </w:r>
    </w:p>
    <w:p>
      <w:pPr>
        <w:spacing w:after="0" w:line="211" w:lineRule="auto"/>
        <w:rPr>
          <w:sz w:val="20"/>
          <w:szCs w:val="20"/>
          <w:color w:val="auto"/>
        </w:rPr>
      </w:pPr>
      <w:r>
        <w:rPr>
          <w:rFonts w:ascii="Times New Roman" w:cs="Times New Roman" w:eastAsia="Times New Roman" w:hAnsi="Times New Roman"/>
          <w:sz w:val="20"/>
          <w:szCs w:val="20"/>
          <w:color w:val="auto"/>
        </w:rPr>
        <w:t>422 of the Code, such Incentive Stock Options shall be treated as Non-Qualified Stock Options. Participant further acknowledges that the</w:t>
      </w:r>
    </w:p>
    <w:p>
      <w:pPr>
        <w:spacing w:after="0" w:line="204" w:lineRule="auto"/>
        <w:rPr>
          <w:sz w:val="20"/>
          <w:szCs w:val="20"/>
          <w:color w:val="auto"/>
        </w:rPr>
      </w:pPr>
      <w:r>
        <w:rPr>
          <w:rFonts w:ascii="Times New Roman" w:cs="Times New Roman" w:eastAsia="Times New Roman" w:hAnsi="Times New Roman"/>
          <w:sz w:val="20"/>
          <w:szCs w:val="20"/>
          <w:color w:val="auto"/>
        </w:rPr>
        <w:t>rule set forth in the preceding sentence shall be applied by taking the Option and other stock options into account in the order in which they were granted, as determined under Section 422(d) of the Code and the Treasury Regulations thereunder. Participant also acknowledges that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 Incentive Stock Option exercised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A-10</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4" w:right="339" w:bottom="1440" w:gutter="0" w:footer="0" w:header="0"/>
        </w:sectPr>
      </w:pPr>
    </w:p>
    <w:bookmarkStart w:id="112" w:name="page113"/>
    <w:bookmarkEnd w:id="112"/>
    <w:p>
      <w:pPr>
        <w:spacing w:after="0" w:line="215" w:lineRule="auto"/>
        <w:rPr>
          <w:sz w:val="20"/>
          <w:szCs w:val="20"/>
          <w:color w:val="auto"/>
        </w:rPr>
      </w:pPr>
      <w:r>
        <w:rPr>
          <w:rFonts w:ascii="Times New Roman" w:cs="Times New Roman" w:eastAsia="Times New Roman" w:hAnsi="Times New Roman"/>
          <w:sz w:val="20"/>
          <w:szCs w:val="20"/>
          <w:color w:val="auto"/>
        </w:rPr>
        <w:t>than three (3) months after Participant’s Termination of Service, other than by reason of death or disability, will be taxed as a Non-Qualified Stock Option.</w:t>
      </w:r>
    </w:p>
    <w:p>
      <w:pPr>
        <w:spacing w:after="0" w:line="1"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20"/>
          <w:szCs w:val="20"/>
          <w:color w:val="auto"/>
        </w:rPr>
        <w:t xml:space="preserve">5.31 </w:t>
      </w:r>
      <w:r>
        <w:rPr>
          <w:rFonts w:ascii="Times New Roman" w:cs="Times New Roman" w:eastAsia="Times New Roman" w:hAnsi="Times New Roman"/>
          <w:sz w:val="20"/>
          <w:szCs w:val="20"/>
          <w:u w:val="single" w:color="auto"/>
          <w:color w:val="auto"/>
        </w:rPr>
        <w:t>Notification of Disposition</w:t>
      </w:r>
      <w:r>
        <w:rPr>
          <w:rFonts w:ascii="Times New Roman" w:cs="Times New Roman" w:eastAsia="Times New Roman" w:hAnsi="Times New Roman"/>
          <w:sz w:val="20"/>
          <w:szCs w:val="20"/>
          <w:color w:val="auto"/>
        </w:rPr>
        <w:t>. If this Option is designated as an Incentive Stock Option, Participant shall give prompt written notice to the Company of any disposition or other transfer of any Shares acquired under this Agreement if such disposition or transfer is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made (a) within two (2) years from the Grant Date or (b) within one (1) year after the transfer of such Shares to Participant. Such notice shall specify the date of such disposition or other transfer and the amount realized, in cash, other property, assumption of indebtedness or other</w:t>
      </w:r>
    </w:p>
    <w:p>
      <w:pPr>
        <w:spacing w:after="0" w:line="225" w:lineRule="auto"/>
        <w:rPr>
          <w:sz w:val="20"/>
          <w:szCs w:val="20"/>
          <w:color w:val="auto"/>
        </w:rPr>
      </w:pPr>
      <w:r>
        <w:rPr>
          <w:rFonts w:ascii="Times New Roman" w:cs="Times New Roman" w:eastAsia="Times New Roman" w:hAnsi="Times New Roman"/>
          <w:sz w:val="20"/>
          <w:szCs w:val="20"/>
          <w:color w:val="auto"/>
        </w:rPr>
        <w:t>consideration, by Participant in such disposition or other transfer.</w:t>
      </w:r>
    </w:p>
    <w:p>
      <w:pPr>
        <w:jc w:val="center"/>
        <w:spacing w:after="0"/>
        <w:rPr>
          <w:sz w:val="20"/>
          <w:szCs w:val="20"/>
          <w:color w:val="auto"/>
        </w:rPr>
      </w:pPr>
      <w:r>
        <w:rPr>
          <w:rFonts w:ascii="Times New Roman" w:cs="Times New Roman" w:eastAsia="Times New Roman" w:hAnsi="Times New Roman"/>
          <w:sz w:val="20"/>
          <w:szCs w:val="20"/>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9"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TO GLOBAL STOCK OPTION GRANT NOTICE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COUNTRY-SPECIFIC PROVISIONS FOR NON-U.S. PARTICIPANTS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includes additional (or, if so indicated, different) terms and conditions that govern the Option granted to Participant if Participant is in one of the countries listed herein.</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If Participant is a citizen or resident of a country (or if Participant is considered as such for local law purposes) other than the one in which Participant is currently residing and/or working, or if Participant transfers employment and/or residency to another country after being granted the Option, the Company will, in its discretion, determine the extent to which the terms and conditions contained herein will be applicable to Participant.</w:t>
      </w:r>
    </w:p>
    <w:p>
      <w:pPr>
        <w:spacing w:after="0" w:line="18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Capitalized terms used but not defined herein shall have the same meanings as set forth in the Plan or the Global Stock Option Agreement, as applicable.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also includes information regarding certain issues of which Participant should be aware with respect to Participant’s participation in the Plan. The information is based on securities, exchange control and other laws in effect in the respective countries as of March 2024. Such laws are often complex and change frequently. As a result, Participant should not rely on the information in this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as the only source of information relating to the consequences of participation in the Plan because the information may be out of date at the time Participant exercises the Option or sells Shares acquired under the Plan.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addition, the information contained herein is general in nature and may not apply to Participant’s particular situation, and the Company is not in a position to assure Participant of a particular result. Accordingly, Participant should seek appropriate professional advice as to how the relevant laws in his or her country may apply to Participant’s individual situation.</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Finally, if Participant is a citizen or resident of a country (or if Participant is considered as such for local law purposes) other than the one in which Participant is currently residing and/or working, or if Participant transfers employment and/or residency to another country after being granted the Option, the information contained herein may not be applicable in the same manner.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BRAZIL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u w:val="single" w:color="auto"/>
          <w:color w:val="auto"/>
        </w:rPr>
        <w:t>Compliance with Law</w:t>
      </w:r>
      <w:r>
        <w:rPr>
          <w:rFonts w:ascii="Times New Roman" w:cs="Times New Roman" w:eastAsia="Times New Roman" w:hAnsi="Times New Roman"/>
          <w:sz w:val="20"/>
          <w:szCs w:val="20"/>
          <w:color w:val="auto"/>
        </w:rPr>
        <w:t>. By accepting the Option, Participant acknowledges and agrees to comply with applicable Brazilian laws and to pay any and all applicable taxes associated with the exercise of the Option, the receipt of any dividends, and the sale of Shares acquired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A-12</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09" w:right="339" w:bottom="1440" w:gutter="0" w:footer="0" w:header="0"/>
        </w:sectPr>
      </w:pPr>
    </w:p>
    <w:bookmarkStart w:id="114" w:name="page115"/>
    <w:bookmarkEnd w:id="114"/>
    <w:p>
      <w:pPr>
        <w:jc w:val="both"/>
        <w:spacing w:after="0" w:line="283" w:lineRule="auto"/>
        <w:rPr>
          <w:sz w:val="20"/>
          <w:szCs w:val="20"/>
          <w:color w:val="auto"/>
        </w:rPr>
      </w:pPr>
      <w:r>
        <w:rPr>
          <w:rFonts w:ascii="Times New Roman" w:cs="Times New Roman" w:eastAsia="Times New Roman" w:hAnsi="Times New Roman"/>
          <w:sz w:val="20"/>
          <w:szCs w:val="20"/>
          <w:u w:val="single" w:color="auto"/>
          <w:color w:val="auto"/>
        </w:rPr>
        <w:t>Labor Law Acknowledgment</w:t>
      </w:r>
      <w:r>
        <w:rPr>
          <w:rFonts w:ascii="Times New Roman" w:cs="Times New Roman" w:eastAsia="Times New Roman" w:hAnsi="Times New Roman"/>
          <w:sz w:val="20"/>
          <w:szCs w:val="20"/>
          <w:color w:val="auto"/>
        </w:rPr>
        <w:t>. By accepting and/or exercising the Option, Participant agrees that (i) Participant is making an investment decision, and (ii) the value of the underlying Shares is not fixed and may increase or decrease in value without compensation.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u w:val="single" w:color="auto"/>
          <w:color w:val="auto"/>
        </w:rPr>
        <w:t>Exchange Control Notice</w:t>
      </w:r>
      <w:r>
        <w:rPr>
          <w:rFonts w:ascii="Times New Roman" w:cs="Times New Roman" w:eastAsia="Times New Roman" w:hAnsi="Times New Roman"/>
          <w:sz w:val="20"/>
          <w:szCs w:val="20"/>
          <w:color w:val="auto"/>
        </w:rPr>
        <w:t>. If Participant is a Brazilian resident, Participant must submit an annual or quarterly declaration of assets and rights held outside of Brazil to the Central Bank of Brazil if the aggregate value of such assets and rights exceeds certain thresholds. Assets and rights that must be reported include Shares acquired under the Plan.</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Tax on Financial Transaction (IOF)</w:t>
      </w:r>
      <w:r>
        <w:rPr>
          <w:rFonts w:ascii="Times New Roman" w:cs="Times New Roman" w:eastAsia="Times New Roman" w:hAnsi="Times New Roman"/>
          <w:sz w:val="20"/>
          <w:szCs w:val="20"/>
          <w:color w:val="auto"/>
        </w:rPr>
        <w:t>. Repatriation of funds into Brazil and the conversion between BRL and USD associated with such fund transfers may be subject to the Tax on Financial Transactions. Participant is responsible for complying with any applicable Tax on Financial Transactions arising from Participant’s participation in the Plan. Participant should consult with his or her personal tax advisor for additional details.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ECUADOR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u w:val="single" w:color="auto"/>
          <w:color w:val="auto"/>
        </w:rPr>
        <w:t>Foreign Asset/Account Reporting Notice</w:t>
      </w:r>
      <w:r>
        <w:rPr>
          <w:rFonts w:ascii="Times New Roman" w:cs="Times New Roman" w:eastAsia="Times New Roman" w:hAnsi="Times New Roman"/>
          <w:sz w:val="20"/>
          <w:szCs w:val="20"/>
          <w:color w:val="auto"/>
        </w:rPr>
        <w:t>. Individuals who are resident or domiciled in Ecuador are generally required to file an annual Net Worth Declaration with the Internal Revenue Service of Ecuador if the aggregate value of assets held by such individuals exceeds certain thresholds. Assets included in this annual declaration include Shares acquired under the Plan. In addition, Ecuadorian resident individuals are required to report on an annual basis, all monetary assets held in foreign financial entities in excess of US$100,000. Participant should consult his or her legal or tax advisor to ensure compliance with all applicable reporting obligations.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GERMANY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u w:val="single" w:color="auto"/>
          <w:color w:val="auto"/>
        </w:rPr>
        <w:t>Exchange Control Notice</w:t>
      </w:r>
      <w:r>
        <w:rPr>
          <w:rFonts w:ascii="Times New Roman" w:cs="Times New Roman" w:eastAsia="Times New Roman" w:hAnsi="Times New Roman"/>
          <w:sz w:val="20"/>
          <w:szCs w:val="20"/>
          <w:color w:val="auto"/>
        </w:rPr>
        <w:t>. Certain cross-border transactions in excess of €12,500 (the "</w:t>
      </w:r>
      <w:r>
        <w:rPr>
          <w:rFonts w:ascii="Times New Roman" w:cs="Times New Roman" w:eastAsia="Times New Roman" w:hAnsi="Times New Roman"/>
          <w:sz w:val="20"/>
          <w:szCs w:val="20"/>
          <w:u w:val="single" w:color="auto"/>
          <w:color w:val="auto"/>
        </w:rPr>
        <w:t>Threshold</w:t>
      </w:r>
      <w:r>
        <w:rPr>
          <w:rFonts w:ascii="Times New Roman" w:cs="Times New Roman" w:eastAsia="Times New Roman" w:hAnsi="Times New Roman"/>
          <w:sz w:val="20"/>
          <w:szCs w:val="20"/>
          <w:color w:val="auto"/>
        </w:rPr>
        <w:t>") must be reported to the German Federal Bank (</w:t>
      </w:r>
      <w:r>
        <w:rPr>
          <w:rFonts w:ascii="Times New Roman" w:cs="Times New Roman" w:eastAsia="Times New Roman" w:hAnsi="Times New Roman"/>
          <w:sz w:val="20"/>
          <w:szCs w:val="20"/>
          <w:i w:val="1"/>
          <w:iCs w:val="1"/>
          <w:color w:val="auto"/>
        </w:rPr>
        <w:t>Bundesbank</w:t>
      </w:r>
      <w:r>
        <w:rPr>
          <w:rFonts w:ascii="Times New Roman" w:cs="Times New Roman" w:eastAsia="Times New Roman" w:hAnsi="Times New Roman"/>
          <w:sz w:val="20"/>
          <w:szCs w:val="20"/>
          <w:color w:val="auto"/>
        </w:rPr>
        <w:t>). If Participant is a German resident and he or she makes or receives a payment in excess of the Threshold (including if Participant acquires Shares under the Plan in excess of the Threshold or sell Shares via a foreign broker, bank or service provider and receives proceeds in excess of the Threshold) and/or if the Company withholds or sells Shares with a value in excess of the Threshold to cover Tax-Related Items, Participant must report the payment and/or the value of Shares withheld or sold to Bundesbank, either electronically using the “General Statistics Reporting Portal” (“</w:t>
      </w:r>
      <w:r>
        <w:rPr>
          <w:rFonts w:ascii="Times New Roman" w:cs="Times New Roman" w:eastAsia="Times New Roman" w:hAnsi="Times New Roman"/>
          <w:sz w:val="20"/>
          <w:szCs w:val="20"/>
          <w:i w:val="1"/>
          <w:iCs w:val="1"/>
          <w:color w:val="auto"/>
        </w:rPr>
        <w:t>Allgemeines Meldeportal Statistik</w:t>
      </w:r>
      <w:r>
        <w:rPr>
          <w:rFonts w:ascii="Times New Roman" w:cs="Times New Roman" w:eastAsia="Times New Roman" w:hAnsi="Times New Roman"/>
          <w:sz w:val="20"/>
          <w:szCs w:val="20"/>
          <w:color w:val="auto"/>
        </w:rPr>
        <w:t>”) available on the Bundesbank’s website (</w:t>
      </w:r>
      <w:r>
        <w:rPr>
          <w:rFonts w:ascii="Times New Roman" w:cs="Times New Roman" w:eastAsia="Times New Roman" w:hAnsi="Times New Roman"/>
          <w:sz w:val="20"/>
          <w:szCs w:val="20"/>
          <w:color w:val="0094FF"/>
        </w:rPr>
        <w:t>www.bundesbank.de</w:t>
      </w:r>
      <w:r>
        <w:rPr>
          <w:rFonts w:ascii="Times New Roman" w:cs="Times New Roman" w:eastAsia="Times New Roman" w:hAnsi="Times New Roman"/>
          <w:sz w:val="20"/>
          <w:szCs w:val="20"/>
          <w:color w:val="auto"/>
        </w:rPr>
        <w:t>) or via such other method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xml:space="preserve">, by email or telephone) as is permitted or required by Bundesbank. The report must be submitted monthly or within such other timing as is permitted or required by Bundesbank. </w:t>
      </w:r>
      <w:r>
        <w:rPr>
          <w:rFonts w:ascii="Times New Roman" w:cs="Times New Roman" w:eastAsia="Times New Roman" w:hAnsi="Times New Roman"/>
          <w:sz w:val="20"/>
          <w:szCs w:val="20"/>
          <w:i w:val="1"/>
          <w:iCs w:val="1"/>
          <w:color w:val="auto"/>
        </w:rPr>
        <w:t>Participant is responsible for complying with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applicable reporting requirements and should consult with a personal legal advisor to ensure compliance</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HONG KONG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115" w:name="page116"/>
    <w:bookmarkEnd w:id="115"/>
    <w:p>
      <w:pPr>
        <w:jc w:val="both"/>
        <w:spacing w:after="0" w:line="310" w:lineRule="auto"/>
        <w:rPr>
          <w:sz w:val="20"/>
          <w:szCs w:val="20"/>
          <w:color w:val="auto"/>
        </w:rPr>
      </w:pPr>
      <w:r>
        <w:rPr>
          <w:rFonts w:ascii="Times New Roman" w:cs="Times New Roman" w:eastAsia="Times New Roman" w:hAnsi="Times New Roman"/>
          <w:sz w:val="19"/>
          <w:szCs w:val="19"/>
          <w:u w:val="single" w:color="auto"/>
          <w:color w:val="auto"/>
        </w:rPr>
        <w:t>Sale Restriction</w:t>
      </w:r>
      <w:r>
        <w:rPr>
          <w:rFonts w:ascii="Times New Roman" w:cs="Times New Roman" w:eastAsia="Times New Roman" w:hAnsi="Times New Roman"/>
          <w:sz w:val="19"/>
          <w:szCs w:val="19"/>
          <w:color w:val="auto"/>
        </w:rPr>
        <w:t>. In the event that Shares are issued to Participant or his or her heirs earlier than six months from the Grant Date, due to legal requirements in Hong Kong, Participant understands and agrees that such Shares may not be sold prior to six months after the Grant Date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u w:val="single" w:color="auto"/>
          <w:color w:val="auto"/>
        </w:rPr>
        <w:t>Securities Law Notice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WARNING: The Options and the Shares issued upon exercise do not constitute a public offering of securities under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Hong Kong law and are available only to certain eligible employees. The Agreement, including this Exhibit B, the Plan and other incidental communication materials have not been prepared in accordance with and are not intended to constitute a “prospectus” for a public offering of securities under the applicable securities legislation in Hong Kong. In addition, the documents have not been reviewed by any regulatory authority in Hong Kong. The Options are intended only for the personal use of each Participant, and may not be distributed to any other person. If Participant is in any doubt about any of the contents of the Agreement, including this Exhibit B, or the Plan, Participant should obtain independent professional advice.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SINGAPORE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u w:val="single" w:color="auto"/>
          <w:color w:val="auto"/>
        </w:rPr>
        <w:t>Sale Restriction</w:t>
      </w:r>
      <w:r>
        <w:rPr>
          <w:rFonts w:ascii="Times New Roman" w:cs="Times New Roman" w:eastAsia="Times New Roman" w:hAnsi="Times New Roman"/>
          <w:sz w:val="20"/>
          <w:szCs w:val="20"/>
          <w:color w:val="auto"/>
        </w:rPr>
        <w:t>. Shares acquired under the Plan may not be sold or otherwise offered for sale in Singapore prior to the six (6) month anniversary of the Grant Date, unless such sale or offer in Singapore is made pursuant to the exemptions under Part XIII Division (1) Subdivision (4) (other than Section 280) of the Singapore Securities and Futures Act (Chapter 289, 2006 Ed.) (“</w:t>
      </w:r>
      <w:r>
        <w:rPr>
          <w:rFonts w:ascii="Times New Roman" w:cs="Times New Roman" w:eastAsia="Times New Roman" w:hAnsi="Times New Roman"/>
          <w:sz w:val="20"/>
          <w:szCs w:val="20"/>
          <w:u w:val="single" w:color="auto"/>
          <w:color w:val="auto"/>
        </w:rPr>
        <w:t>SFA</w:t>
      </w:r>
      <w:r>
        <w:rPr>
          <w:rFonts w:ascii="Times New Roman" w:cs="Times New Roman" w:eastAsia="Times New Roman" w:hAnsi="Times New Roman"/>
          <w:sz w:val="20"/>
          <w:szCs w:val="20"/>
          <w:color w:val="auto"/>
        </w:rPr>
        <w:t>”) or pursuant to, and accordance with the conditions of, any other applicable provision(s) of the SFA.</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Securities Law Notice</w:t>
      </w:r>
      <w:r>
        <w:rPr>
          <w:rFonts w:ascii="Times New Roman" w:cs="Times New Roman" w:eastAsia="Times New Roman" w:hAnsi="Times New Roman"/>
          <w:sz w:val="20"/>
          <w:szCs w:val="20"/>
          <w:color w:val="auto"/>
        </w:rPr>
        <w:t>. The grant of the Option is being made pursuant to the “Qualifying Person” exemption under section 273(1)(f) of the SFA under which it is exempt from the prospectus and registration requirements and is not made with a view to the underlying Shares being subsequently offered for sale to any other party. The Plan has not been, nor will it be, lodged or registered as a prospectus with the Monetary Authority of Singapore.</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u w:val="single" w:color="auto"/>
          <w:color w:val="auto"/>
        </w:rPr>
        <w:t>Director Notification Requirement</w:t>
      </w:r>
      <w:r>
        <w:rPr>
          <w:rFonts w:ascii="Times New Roman" w:cs="Times New Roman" w:eastAsia="Times New Roman" w:hAnsi="Times New Roman"/>
          <w:sz w:val="20"/>
          <w:szCs w:val="20"/>
          <w:color w:val="auto"/>
        </w:rPr>
        <w:t>. The directors, associate directors or shadow directors of a Singapore Participating Company are subject to certain notification requirements under the Singapore Companies Act. The directors, associate directors or shadow directors must notify the Singapore Participating Company in writing of an interest (e.g., the Option, Shares, etc.) in the Company or any related company within two (2) business days of (i) its acquisition or disposal, (ii) any change in a previously-disclosed interest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upon issuance of the Shares or when Shares acquired under the Plan are subsequently sold), or (iii) becoming a director, associate director or shadow director if the director, associate director or shadow director holds such an interest at that time. The above notification requirements also may apply to the Chief Executive Officer of a Singapore Participating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UNITED KINGDOM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This section supplements Section 3.5 of the Global Stock Option Agreement:</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Without limitation to Section 3.5 of the Global Stock Option Agreement, Participant agrees that Participant is liable for all Tax-Related Items and hereby covenants to pay all such Tax-Related Items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A-14</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116" w:name="page117"/>
    <w:bookmarkEnd w:id="116"/>
    <w:p>
      <w:pPr>
        <w:jc w:val="both"/>
        <w:spacing w:after="0" w:line="258" w:lineRule="auto"/>
        <w:rPr>
          <w:sz w:val="20"/>
          <w:szCs w:val="20"/>
          <w:color w:val="auto"/>
        </w:rPr>
      </w:pPr>
      <w:r>
        <w:rPr>
          <w:rFonts w:ascii="Times New Roman" w:cs="Times New Roman" w:eastAsia="Times New Roman" w:hAnsi="Times New Roman"/>
          <w:sz w:val="20"/>
          <w:szCs w:val="20"/>
          <w:color w:val="auto"/>
        </w:rPr>
        <w:t>and when requested by the Company or the Participating Company or by HM Revenue and Customs (“</w:t>
      </w:r>
      <w:r>
        <w:rPr>
          <w:rFonts w:ascii="Times New Roman" w:cs="Times New Roman" w:eastAsia="Times New Roman" w:hAnsi="Times New Roman"/>
          <w:sz w:val="20"/>
          <w:szCs w:val="20"/>
          <w:u w:val="single" w:color="auto"/>
          <w:color w:val="auto"/>
        </w:rPr>
        <w:t>HMRC</w:t>
      </w:r>
      <w:r>
        <w:rPr>
          <w:rFonts w:ascii="Times New Roman" w:cs="Times New Roman" w:eastAsia="Times New Roman" w:hAnsi="Times New Roman"/>
          <w:sz w:val="20"/>
          <w:szCs w:val="20"/>
          <w:color w:val="auto"/>
        </w:rPr>
        <w:t>”) (or any other tax authority or any other relevant authority). Participant also agrees to indemnify and keep indemnified the Company and the Participating Company against any Tax–Related Items that they are required to pay or withhold or have paid or will pay to HMRC (or any other tax authority or any other relevant authority) on Participant’s behalf.</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Notwithstanding the foregoing, if Participant is a director or executive officer (within the meaning of Section 13(k) of the Exchange Act), the terms of the immediately foregoing provision will not apply. In the event that Participant is a director or executive officer and income tax due is not collected from or paid by Participant within ninety (90) days of the U.K. tax year in which an event giving rise to the indemnification described above occurs, the amount of any uncollected tax may constitute a benefit to Participant on which additional income tax and National Insurance contributions (“</w:t>
      </w:r>
      <w:r>
        <w:rPr>
          <w:rFonts w:ascii="Times New Roman" w:cs="Times New Roman" w:eastAsia="Times New Roman" w:hAnsi="Times New Roman"/>
          <w:sz w:val="20"/>
          <w:szCs w:val="20"/>
          <w:u w:val="single" w:color="auto"/>
          <w:color w:val="auto"/>
        </w:rPr>
        <w:t>NICs</w:t>
      </w:r>
      <w:r>
        <w:rPr>
          <w:rFonts w:ascii="Times New Roman" w:cs="Times New Roman" w:eastAsia="Times New Roman" w:hAnsi="Times New Roman"/>
          <w:sz w:val="20"/>
          <w:szCs w:val="20"/>
          <w:color w:val="auto"/>
        </w:rPr>
        <w:t>”) may be payable. Participant understands that he or she will be responsible for reporting and paying any income tax due on this additional benefit directly to HMRC under the self-assessment regime and for paying to the Company and/or the Participating Company (as appropriate) the amount of any NICs due on this additional benefit, which may also be recovered from Participant by any of the means referred to in Section 3.5 of the Global Stock 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13"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0"/>
          <w:szCs w:val="20"/>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40575" cy="6261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0">
                      <a:extLst>
                        <a:ext uri="{28A0092B-C50C-407E-A947-70E740481C1C}"/>
                      </a:extLst>
                    </a:blip>
                    <a:srcRect/>
                    <a:stretch>
                      <a:fillRect/>
                    </a:stretch>
                  </pic:blipFill>
                  <pic:spPr bwMode="auto">
                    <a:xfrm>
                      <a:off x="0" y="0"/>
                      <a:ext cx="7140575" cy="62611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VITA COCO COMPANY, INC.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2021 INCENTIVE AWARD PLAN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GLOBAL RESTRICTED STOCK UNIT GRANT NOTICE</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Capitalized terms not specifically defined in this Global Restricted Stock Unit Grant Notice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have the meanings given to them in the 2021 Incentive Award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of The Vita Coco Company,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Company hereby grants to the participant listed below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the Restricted Stock Units described in this Grant Notice (the “</w:t>
      </w: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xml:space="preserve">”), subject to the terms and conditions of the Plan and the Global Restricted Stock Unit Award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and the Country-Specific Provisions for Non-U.S. Participants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(together,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both of which are incorporated into this Grant Notice by reference.</w:t>
      </w:r>
    </w:p>
    <w:p>
      <w:pPr>
        <w:sectPr>
          <w:pgSz w:w="11900" w:h="16838" w:orient="portrait"/>
          <w:cols w:equalWidth="0" w:num="1">
            <w:col w:w="11240"/>
          </w:cols>
          <w:pgMar w:left="320" w:top="981" w:right="339" w:bottom="1440" w:gutter="0" w:footer="0" w:header="0"/>
        </w:sectPr>
      </w:pP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[Insert Participant Name]</w:t>
      </w:r>
    </w:p>
    <w:p>
      <w:pPr>
        <w:spacing w:after="0" w:line="173" w:lineRule="exact"/>
        <w:rPr>
          <w:sz w:val="20"/>
          <w:szCs w:val="20"/>
          <w:color w:val="auto"/>
        </w:rPr>
      </w:pPr>
    </w:p>
    <w:p>
      <w:pPr>
        <w:sectPr>
          <w:pgSz w:w="11900" w:h="16838" w:orient="portrait"/>
          <w:cols w:equalWidth="0" w:num="2">
            <w:col w:w="3980" w:space="720"/>
            <w:col w:w="6540"/>
          </w:cols>
          <w:pgMar w:left="320" w:top="981"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i w:val="1"/>
          <w:iCs w:val="1"/>
          <w:color w:val="auto"/>
        </w:rPr>
        <w:t>[Insert Grant Date]</w:t>
      </w:r>
    </w:p>
    <w:p>
      <w:pPr>
        <w:spacing w:after="0" w:line="173" w:lineRule="exact"/>
        <w:rPr>
          <w:sz w:val="20"/>
          <w:szCs w:val="20"/>
          <w:color w:val="auto"/>
        </w:rPr>
      </w:pPr>
    </w:p>
    <w:p>
      <w:pPr>
        <w:sectPr>
          <w:pgSz w:w="11900" w:h="16838" w:orient="portrait"/>
          <w:cols w:equalWidth="0" w:num="2">
            <w:col w:w="3980" w:space="720"/>
            <w:col w:w="6540"/>
          </w:cols>
          <w:pgMar w:left="320" w:top="981"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9"/>
          <w:szCs w:val="19"/>
          <w:b w:val="1"/>
          <w:bCs w:val="1"/>
          <w:color w:val="auto"/>
        </w:rPr>
        <w:t>Number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i w:val="1"/>
          <w:iCs w:val="1"/>
          <w:color w:val="auto"/>
        </w:rPr>
        <w:t>[Insert Number of RSUs]</w:t>
      </w:r>
    </w:p>
    <w:p>
      <w:pPr>
        <w:spacing w:after="0" w:line="200" w:lineRule="exact"/>
        <w:rPr>
          <w:sz w:val="20"/>
          <w:szCs w:val="20"/>
          <w:color w:val="auto"/>
        </w:rPr>
      </w:pPr>
    </w:p>
    <w:p>
      <w:pPr>
        <w:sectPr>
          <w:pgSz w:w="11900" w:h="16838" w:orient="portrait"/>
          <w:cols w:equalWidth="0" w:num="2">
            <w:col w:w="3980" w:space="720"/>
            <w:col w:w="6540"/>
          </w:cols>
          <w:pgMar w:left="320" w:top="981" w:right="339" w:bottom="1440" w:gutter="0" w:footer="0" w:header="0"/>
          <w:type w:val="continuous"/>
        </w:sectPr>
      </w:pPr>
    </w:p>
    <w:p>
      <w:pPr>
        <w:spacing w:after="0" w:line="2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b w:val="1"/>
          <w:bCs w:val="1"/>
          <w:color w:val="auto"/>
        </w:rPr>
        <w:t>Vesting Schedule:</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[To be specified in individual agreements]</w:t>
      </w:r>
    </w:p>
    <w:p>
      <w:pPr>
        <w:spacing w:after="0" w:line="200" w:lineRule="exact"/>
        <w:rPr>
          <w:sz w:val="20"/>
          <w:szCs w:val="20"/>
          <w:color w:val="auto"/>
        </w:rPr>
      </w:pPr>
    </w:p>
    <w:p>
      <w:pPr>
        <w:sectPr>
          <w:pgSz w:w="11900" w:h="16838" w:orient="portrait"/>
          <w:cols w:equalWidth="0" w:num="2">
            <w:col w:w="3920" w:space="720"/>
            <w:col w:w="6600"/>
          </w:cols>
          <w:pgMar w:left="320" w:top="981" w:right="339" w:bottom="1440" w:gutter="0" w:footer="0" w:header="0"/>
          <w:type w:val="continuous"/>
        </w:sectPr>
      </w:pPr>
    </w:p>
    <w:p>
      <w:pPr>
        <w:spacing w:after="0" w:line="13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By accepting this Award electronically through the Plan service provider’s online grant acceptance policy, Participant agrees to be bound by the terms and conditions of the Plan, the Agreement and the Grant Notice. Participant has reviewed the Agreement, the Plan and the Grant Notice in their entirety, has had an opportunity to obtain the advice of counsel prior to executing the Grant Notice and fully understands all provisions of the Grant Notice, the Agreement and the Plan. Participant hereby agrees to accept as binding, conclusive and final all decisions or interpretations of the Administrator upon any questions arising under the Plan, the Grant Notice and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5511800" cy="15170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1">
                      <a:extLst>
                        <a:ext uri="{28A0092B-C50C-407E-A947-70E740481C1C}"/>
                      </a:extLst>
                    </a:blip>
                    <a:srcRect/>
                    <a:stretch>
                      <a:fillRect/>
                    </a:stretch>
                  </pic:blipFill>
                  <pic:spPr bwMode="auto">
                    <a:xfrm>
                      <a:off x="0" y="0"/>
                      <a:ext cx="5511800" cy="151701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TO GLOBAL RESTRICTED STOCK UNIT GRANT NOTICE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GLOBAL RESTRICTED STOCK UNIT AWARD AGREEMENT</w:t>
      </w:r>
    </w:p>
    <w:p>
      <w:pPr>
        <w:spacing w:after="0" w:line="233"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Pursuant to the Grant Notice to which this Global Restricted Stock Unit Award Agreement is attached, the Company has granted to Participant the number of RSUs set forth in the Grant Notice.</w:t>
      </w:r>
    </w:p>
    <w:p>
      <w:pPr>
        <w:spacing w:after="0" w:line="29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107"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u w:val="single" w:color="auto"/>
          <w:color w:val="auto"/>
        </w:rPr>
        <w:t>Section 1.1 Defined Terms</w:t>
      </w:r>
      <w:r>
        <w:rPr>
          <w:rFonts w:ascii="Times New Roman" w:cs="Times New Roman" w:eastAsia="Times New Roman" w:hAnsi="Times New Roman"/>
          <w:sz w:val="20"/>
          <w:szCs w:val="20"/>
          <w:color w:val="auto"/>
        </w:rPr>
        <w:t>. Capitalized terms not specifically defined herein shall have the meanings specified in the Plan or the Grant Notice. For purposes of this Agreement,</w:t>
      </w:r>
    </w:p>
    <w:p>
      <w:pPr>
        <w:spacing w:after="0" w:line="161" w:lineRule="exact"/>
        <w:rPr>
          <w:sz w:val="20"/>
          <w:szCs w:val="20"/>
          <w:color w:val="auto"/>
        </w:rPr>
      </w:pPr>
    </w:p>
    <w:p>
      <w:pPr>
        <w:ind w:left="1940" w:hanging="636"/>
        <w:spacing w:after="0"/>
        <w:tabs>
          <w:tab w:leader="none" w:pos="19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Participating Company</w:t>
      </w:r>
      <w:r>
        <w:rPr>
          <w:rFonts w:ascii="Times New Roman" w:cs="Times New Roman" w:eastAsia="Times New Roman" w:hAnsi="Times New Roman"/>
          <w:sz w:val="20"/>
          <w:szCs w:val="20"/>
          <w:color w:val="auto"/>
        </w:rPr>
        <w:t>” shall mean the Company or any of its parents or Subsidiaries.</w:t>
      </w:r>
    </w:p>
    <w:p>
      <w:pPr>
        <w:spacing w:after="0" w:line="170"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0"/>
          <w:szCs w:val="20"/>
          <w:u w:val="single" w:color="auto"/>
          <w:color w:val="auto"/>
        </w:rPr>
        <w:t>Section 1.2</w:t>
      </w:r>
      <w:r>
        <w:rPr>
          <w:sz w:val="20"/>
          <w:szCs w:val="20"/>
          <w:color w:val="auto"/>
        </w:rPr>
        <w:tab/>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RSUs and the shares of Common Stock issued to Participant hereunder</w:t>
      </w:r>
    </w:p>
    <w:p>
      <w:pPr>
        <w:ind w:right="20"/>
        <w:spacing w:after="0" w:line="20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are subject to the terms and conditions set forth in this Agreement and the Plan (including, without limitation, Section 10.6 thereof), which is incorporated herein by reference. In the event of any inconsistency between the Plan and this Agreement, the terms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Plan shall control.</w:t>
      </w: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AWARD OF RESTRICTED STOCK UNITS</w:t>
      </w:r>
    </w:p>
    <w:p>
      <w:pPr>
        <w:spacing w:after="0" w:line="10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u w:val="single" w:color="auto"/>
          <w:color w:val="auto"/>
        </w:rPr>
        <w:t>Section 2.1</w:t>
      </w:r>
      <w:r>
        <w:rPr>
          <w:sz w:val="20"/>
          <w:szCs w:val="20"/>
          <w:color w:val="auto"/>
        </w:rPr>
        <w:tab/>
      </w:r>
      <w:r>
        <w:rPr>
          <w:rFonts w:ascii="Times New Roman" w:cs="Times New Roman" w:eastAsia="Times New Roman" w:hAnsi="Times New Roman"/>
          <w:sz w:val="19"/>
          <w:szCs w:val="19"/>
          <w:u w:val="single" w:color="auto"/>
          <w:color w:val="auto"/>
        </w:rPr>
        <w:t>Award of RSUs</w:t>
      </w:r>
    </w:p>
    <w:p>
      <w:pPr>
        <w:spacing w:after="0" w:line="189" w:lineRule="exact"/>
        <w:rPr>
          <w:sz w:val="20"/>
          <w:szCs w:val="20"/>
          <w:color w:val="auto"/>
        </w:rPr>
      </w:pPr>
    </w:p>
    <w:p>
      <w:pPr>
        <w:jc w:val="both"/>
        <w:ind w:firstLine="1304"/>
        <w:spacing w:after="0" w:line="215" w:lineRule="auto"/>
        <w:tabs>
          <w:tab w:leader="none" w:pos="193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consideration of Participant’s past and/or continued employment with or service to a Participating Company and for other good and valuable consideration, effective as of the grant date set forth in the Grant Notice (the “</w:t>
      </w:r>
      <w:r>
        <w:rPr>
          <w:rFonts w:ascii="Times New Roman" w:cs="Times New Roman" w:eastAsia="Times New Roman" w:hAnsi="Times New Roman"/>
          <w:sz w:val="20"/>
          <w:szCs w:val="20"/>
          <w:u w:val="single" w:color="auto"/>
          <w:color w:val="auto"/>
        </w:rPr>
        <w:t>Grant Date</w:t>
      </w:r>
      <w:r>
        <w:rPr>
          <w:rFonts w:ascii="Times New Roman" w:cs="Times New Roman" w:eastAsia="Times New Roman" w:hAnsi="Times New Roman"/>
          <w:sz w:val="20"/>
          <w:szCs w:val="20"/>
          <w:color w:val="auto"/>
        </w:rPr>
        <w:t>”), the Company has granted to Participant the number of RSUs set forth in the Grant Notice, upon the terms and conditions set forth in the Grant Notice, the Plan and this Agreement, subject to adjustment as provided in Article VIII of the Plan. Each RSU represents the right to receive one Share at the times and subject to the conditions set forth herein. However, unless and until the RSUs have vested, Participant will have no right to the payment of any Shares subject thereto. Prior to the actual delivery of any Shares, the RSUs will represent an unsecured obligation of the Company, payable only from the general assets of the Company.</w:t>
      </w:r>
    </w:p>
    <w:p>
      <w:pPr>
        <w:spacing w:after="0" w:line="15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u w:val="single" w:color="auto"/>
          <w:color w:val="auto"/>
        </w:rPr>
        <w:t>Section 2.2</w:t>
      </w:r>
      <w:r>
        <w:rPr>
          <w:sz w:val="20"/>
          <w:szCs w:val="20"/>
          <w:color w:val="auto"/>
        </w:rPr>
        <w:tab/>
      </w:r>
      <w:r>
        <w:rPr>
          <w:rFonts w:ascii="Times New Roman" w:cs="Times New Roman" w:eastAsia="Times New Roman" w:hAnsi="Times New Roman"/>
          <w:sz w:val="19"/>
          <w:szCs w:val="19"/>
          <w:u w:val="single" w:color="auto"/>
          <w:color w:val="auto"/>
        </w:rPr>
        <w:t xml:space="preserve">Vesting of RSUs </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1304"/>
        <w:spacing w:after="0" w:line="261" w:lineRule="auto"/>
        <w:tabs>
          <w:tab w:leader="none" w:pos="193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Participant’s continued employment with or service to a Participating Company on each applicable vesting date and subject to the terms of this Agreement, the RSUs shall vest in such amounts and at such times as are set forth in the Grant Notice.</w:t>
      </w:r>
    </w:p>
    <w:p>
      <w:pPr>
        <w:spacing w:after="0" w:line="167" w:lineRule="exact"/>
        <w:rPr>
          <w:rFonts w:ascii="Times New Roman" w:cs="Times New Roman" w:eastAsia="Times New Roman" w:hAnsi="Times New Roman"/>
          <w:sz w:val="20"/>
          <w:szCs w:val="20"/>
          <w:color w:val="auto"/>
        </w:rPr>
      </w:pPr>
    </w:p>
    <w:p>
      <w:pPr>
        <w:jc w:val="both"/>
        <w:ind w:firstLine="1304"/>
        <w:spacing w:after="0" w:line="217" w:lineRule="auto"/>
        <w:tabs>
          <w:tab w:leader="none" w:pos="1932"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Participant incurs a Termination of Service for any reason other than Death or Disability or Retirement (as defined below), as provided in Section 2.2(c) below, except as may be otherwise provided by the Administrator or as set forth in the Grant Notice or a written agreement between Participant and the Company, Participant shall immediately forfeit any and all RSUs granted under this Agreement that have not vested or do not vest on or prior to the date on which such Termination of Service occurs, and Participant’s rights in any such RSUs that are not so vested shall lapse and expire.</w:t>
      </w:r>
    </w:p>
    <w:p>
      <w:pPr>
        <w:sectPr>
          <w:pgSz w:w="11900" w:h="16838" w:orient="portrait"/>
          <w:cols w:equalWidth="0" w:num="1">
            <w:col w:w="11240"/>
          </w:cols>
          <w:pgMar w:left="320" w:top="1409" w:right="339" w:bottom="1440" w:gutter="0" w:footer="0" w:header="0"/>
        </w:sectPr>
      </w:pPr>
    </w:p>
    <w:bookmarkStart w:id="119" w:name="page120"/>
    <w:bookmarkEnd w:id="119"/>
    <w:p>
      <w:pPr>
        <w:jc w:val="both"/>
        <w:ind w:firstLine="1304"/>
        <w:spacing w:after="0" w:line="226" w:lineRule="auto"/>
        <w:tabs>
          <w:tab w:leader="none" w:pos="193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Participant incurs a Termination of Service due to (i) the Participant’s Death or (ii) the Participant’s Disability, one-hundred percent (100%) of then-outstanding unvested RSUs granted under this Agreement shall immediately vest in full as of the date of such Termination of Service and be settled pursuant to Section 2.3.</w:t>
      </w:r>
    </w:p>
    <w:p>
      <w:pPr>
        <w:spacing w:after="0" w:line="160"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the RSUs and Participant’s participation in the Plan, Participant’s Termination of Service will be considered to be the date Participant is no longer actively providing services to the Company or the Participating Company (regardless of the reason for such termination and whether or not later found to be invalid or in breach of employment laws in the jurisdiction where Participant is employed or the terms of Participant’s employment agreement, if any), and unless otherwise expressly provided in this Agreement or determined by the Company, Participant’s right to vest in the RSUs under the Plan, if any, will terminate as of such date and will not be extended by any notice period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Participant’s period of service would not include any contractual notice period or any period of “garden leave” or similar period mandated under employment laws in the jurisdiction where Participant is employed or the terms of Participant’s employment agreement, if any); the Administrator shall have the exclusive discretion to determine when Participant is no longer actively providing services for purposes of the RSUs.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Section 2.3</w:t>
      </w:r>
    </w:p>
    <w:p>
      <w:pPr>
        <w:spacing w:after="0" w:line="20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2.4 (a) </w:t>
      </w:r>
      <w:r>
        <w:rPr>
          <w:rFonts w:ascii="Times New Roman" w:cs="Times New Roman" w:eastAsia="Times New Roman" w:hAnsi="Times New Roman"/>
          <w:sz w:val="20"/>
          <w:szCs w:val="20"/>
          <w:u w:val="single" w:color="auto"/>
          <w:color w:val="auto"/>
        </w:rPr>
        <w:t>Distribution or Payment of RSUs</w:t>
      </w:r>
      <w:r>
        <w:rPr>
          <w:rFonts w:ascii="Times New Roman" w:cs="Times New Roman" w:eastAsia="Times New Roman" w:hAnsi="Times New Roman"/>
          <w:sz w:val="20"/>
          <w:szCs w:val="20"/>
          <w:color w:val="auto"/>
        </w:rPr>
        <w:t xml:space="preserve">. Participant’s RSUs shall be distributed in Shares (either in book-entry form or otherwise) within 60 days following the vesting of the applicable RSU pursuant to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Notwithstanding the foregoing, the Company may delay a distribution or payment in settlement of RSUs if it reasonably determines that such payment or distribution will violate federal securities laws or any other Applicable Law,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distribution or payment shall be made at the earliest date at which the Company reasonably determines that the making of such distribution or payment will not cause such violation, as required by Treasury Regulation Section 1.409A-2(b)(7)(ii), and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no payment or distribution shall be delayed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2.3(a)</w:t>
      </w:r>
      <w:r>
        <w:rPr>
          <w:rFonts w:ascii="Times New Roman" w:cs="Times New Roman" w:eastAsia="Times New Roman" w:hAnsi="Times New Roman"/>
          <w:sz w:val="20"/>
          <w:szCs w:val="20"/>
          <w:color w:val="auto"/>
        </w:rPr>
        <w:t xml:space="preserve"> if such delay will result in a violation of Section 409A.</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Section 2.5 (b) All distributions shall be made by the Company in the form of whole Shares, and any fractional share shall be distributed in cash in an amount equal to the value of such fractional share determined based on the Fair Market Value as of the date immediately preceding the date of such distribution.</w:t>
      </w:r>
    </w:p>
    <w:p>
      <w:pPr>
        <w:spacing w:after="0" w:line="154" w:lineRule="exact"/>
        <w:rPr>
          <w:sz w:val="20"/>
          <w:szCs w:val="20"/>
          <w:color w:val="auto"/>
        </w:rPr>
      </w:pPr>
    </w:p>
    <w:p>
      <w:pPr>
        <w:jc w:val="both"/>
        <w:ind w:right="20" w:firstLine="648"/>
        <w:spacing w:after="0" w:line="222" w:lineRule="auto"/>
        <w:rPr>
          <w:sz w:val="20"/>
          <w:szCs w:val="20"/>
          <w:color w:val="auto"/>
        </w:rPr>
      </w:pPr>
      <w:r>
        <w:rPr>
          <w:rFonts w:ascii="Times New Roman" w:cs="Times New Roman" w:eastAsia="Times New Roman" w:hAnsi="Times New Roman"/>
          <w:sz w:val="20"/>
          <w:szCs w:val="20"/>
          <w:u w:val="single" w:color="auto"/>
          <w:color w:val="auto"/>
        </w:rPr>
        <w:t>Section 2.6 Conditions to Issuance of Certificates</w:t>
      </w:r>
      <w:r>
        <w:rPr>
          <w:rFonts w:ascii="Times New Roman" w:cs="Times New Roman" w:eastAsia="Times New Roman" w:hAnsi="Times New Roman"/>
          <w:sz w:val="20"/>
          <w:szCs w:val="20"/>
          <w:color w:val="auto"/>
        </w:rPr>
        <w:t>. The Company shall not be required to issue or deliver any certificate or certificates for any Shares or to cause any Shares to be held in book-entry form prior to the fulfillment of all of the following conditions: (a)</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the admission of the Shares to listing on all stock exchanges on which such Shares are then listed, (b) the completion of any registration or other qualification of the Shares under any state or federal law or under rulings or regulations of the U.S. Securities and Exchange</w:t>
      </w:r>
    </w:p>
    <w:p>
      <w:pPr>
        <w:spacing w:after="0" w:line="211" w:lineRule="auto"/>
        <w:rPr>
          <w:sz w:val="20"/>
          <w:szCs w:val="20"/>
          <w:color w:val="auto"/>
        </w:rPr>
      </w:pPr>
      <w:r>
        <w:rPr>
          <w:rFonts w:ascii="Times New Roman" w:cs="Times New Roman" w:eastAsia="Times New Roman" w:hAnsi="Times New Roman"/>
          <w:sz w:val="20"/>
          <w:szCs w:val="20"/>
          <w:color w:val="auto"/>
        </w:rPr>
        <w:t>Commission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highlight w:val="white"/>
        </w:rPr>
        <w:t>”)</w:t>
      </w:r>
      <w:r>
        <w:rPr>
          <w:rFonts w:ascii="Times New Roman" w:cs="Times New Roman" w:eastAsia="Times New Roman" w:hAnsi="Times New Roman"/>
          <w:sz w:val="20"/>
          <w:szCs w:val="20"/>
          <w:color w:val="auto"/>
        </w:rPr>
        <w:t xml:space="preserve"> or other governmental regulatory body, which the Administrator shall, in its absolute discretion, deem necessary or</w:t>
      </w:r>
    </w:p>
    <w:p>
      <w:pPr>
        <w:spacing w:after="0" w:line="1"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advisable, (c) the obtaining of any approval or other clearance from any state or federal governmental agency that the Administrator shall, in its absolute discretion, determine to be necessary or advisable, and (d) the receipt of full payment of any applicable Tax-Related Items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accordance with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by the Participating Company with respect to which the applicable withholding obligation arises.</w:t>
      </w:r>
    </w:p>
    <w:p>
      <w:pPr>
        <w:spacing w:after="0" w:line="16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u w:val="single" w:color="auto"/>
          <w:color w:val="auto"/>
        </w:rPr>
        <w:t>Section 2.7</w:t>
      </w:r>
      <w:r>
        <w:rPr>
          <w:sz w:val="20"/>
          <w:szCs w:val="20"/>
          <w:color w:val="auto"/>
        </w:rPr>
        <w:tab/>
      </w:r>
      <w:r>
        <w:rPr>
          <w:rFonts w:ascii="Times New Roman" w:cs="Times New Roman" w:eastAsia="Times New Roman" w:hAnsi="Times New Roman"/>
          <w:sz w:val="19"/>
          <w:szCs w:val="19"/>
          <w:u w:val="single" w:color="auto"/>
          <w:color w:val="auto"/>
        </w:rPr>
        <w:t>Tax Withholding</w:t>
      </w:r>
      <w:r>
        <w:rPr>
          <w:rFonts w:ascii="Times New Roman" w:cs="Times New Roman" w:eastAsia="Times New Roman" w:hAnsi="Times New Roman"/>
          <w:sz w:val="19"/>
          <w:szCs w:val="19"/>
          <w:color w:val="auto"/>
        </w:rPr>
        <w:t>. Notwithstanding any other provision of this Agreement:</w:t>
      </w:r>
    </w:p>
    <w:p>
      <w:pPr>
        <w:spacing w:after="0" w:line="175" w:lineRule="exact"/>
        <w:rPr>
          <w:sz w:val="20"/>
          <w:szCs w:val="20"/>
          <w:color w:val="auto"/>
        </w:rPr>
      </w:pPr>
    </w:p>
    <w:p>
      <w:pPr>
        <w:jc w:val="both"/>
        <w:ind w:firstLine="1304"/>
        <w:spacing w:after="0" w:line="220" w:lineRule="auto"/>
        <w:tabs>
          <w:tab w:leader="none" w:pos="193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Participating Companies have the authority to deduct or withhold, or require Participant to remit to the applicable Participating Company, an amount sufficient to satisfy any applicable federal, state, local and foreign taxes (including the employee portion of any FICA obligation) (“</w:t>
      </w:r>
      <w:r>
        <w:rPr>
          <w:rFonts w:ascii="Times New Roman" w:cs="Times New Roman" w:eastAsia="Times New Roman" w:hAnsi="Times New Roman"/>
          <w:sz w:val="20"/>
          <w:szCs w:val="20"/>
          <w:u w:val="single" w:color="auto"/>
          <w:color w:val="auto"/>
        </w:rPr>
        <w:t>Tax-Related Items</w:t>
      </w:r>
      <w:r>
        <w:rPr>
          <w:rFonts w:ascii="Times New Roman" w:cs="Times New Roman" w:eastAsia="Times New Roman" w:hAnsi="Times New Roman"/>
          <w:sz w:val="20"/>
          <w:szCs w:val="20"/>
          <w:color w:val="auto"/>
        </w:rPr>
        <w:t>”) required by Applicable Law to be withheld with respect to any taxable event arising pursuant to this Agreement. The Participating Companies may withhold or Participant may make such payment in one or more of the forms specified below:</w:t>
      </w:r>
    </w:p>
    <w:p>
      <w:pPr>
        <w:sectPr>
          <w:pgSz w:w="11900" w:h="16838" w:orient="portrait"/>
          <w:cols w:equalWidth="0" w:num="1">
            <w:col w:w="11240"/>
          </w:cols>
          <w:pgMar w:left="320" w:top="1399" w:right="339" w:bottom="1440" w:gutter="0" w:footer="0" w:header="0"/>
        </w:sectPr>
      </w:pPr>
    </w:p>
    <w:bookmarkStart w:id="120" w:name="page121"/>
    <w:bookmarkEnd w:id="120"/>
    <w:p>
      <w:pPr>
        <w:ind w:left="2112"/>
        <w:spacing w:after="0"/>
        <w:tabs>
          <w:tab w:leader="none" w:pos="2572" w:val="left"/>
        </w:tabs>
        <w:rPr>
          <w:sz w:val="20"/>
          <w:szCs w:val="20"/>
          <w:color w:val="auto"/>
        </w:rPr>
      </w:pPr>
      <w:r>
        <w:rPr>
          <w:rFonts w:ascii="Times New Roman" w:cs="Times New Roman" w:eastAsia="Times New Roman" w:hAnsi="Times New Roman"/>
          <w:sz w:val="20"/>
          <w:szCs w:val="20"/>
          <w:color w:val="auto"/>
        </w:rPr>
        <w:t>(i)</w:t>
        <w:tab/>
        <w:t>by cash or check made payable to the Participating Company with respect to which the withholding</w:t>
      </w:r>
    </w:p>
    <w:p>
      <w:pPr>
        <w:ind w:left="652"/>
        <w:spacing w:after="0"/>
        <w:rPr>
          <w:sz w:val="20"/>
          <w:szCs w:val="20"/>
          <w:color w:val="auto"/>
        </w:rPr>
      </w:pPr>
      <w:r>
        <w:rPr>
          <w:rFonts w:ascii="Times New Roman" w:cs="Times New Roman" w:eastAsia="Times New Roman" w:hAnsi="Times New Roman"/>
          <w:sz w:val="20"/>
          <w:szCs w:val="20"/>
          <w:color w:val="auto"/>
        </w:rPr>
        <w:t>obligation arises;</w:t>
      </w:r>
    </w:p>
    <w:p>
      <w:pPr>
        <w:spacing w:after="0" w:line="153" w:lineRule="exact"/>
        <w:rPr>
          <w:sz w:val="20"/>
          <w:szCs w:val="20"/>
          <w:color w:val="auto"/>
        </w:rPr>
      </w:pPr>
    </w:p>
    <w:p>
      <w:pPr>
        <w:ind w:left="2592" w:hanging="486"/>
        <w:spacing w:after="0"/>
        <w:tabs>
          <w:tab w:leader="none" w:pos="2592" w:val="left"/>
        </w:tabs>
        <w:numPr>
          <w:ilvl w:val="2"/>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deduction of such amount from other compensation payable to Participant;</w:t>
      </w:r>
    </w:p>
    <w:p>
      <w:pPr>
        <w:spacing w:after="0" w:line="188" w:lineRule="exact"/>
        <w:rPr>
          <w:rFonts w:ascii="Times New Roman" w:cs="Times New Roman" w:eastAsia="Times New Roman" w:hAnsi="Times New Roman"/>
          <w:sz w:val="20"/>
          <w:szCs w:val="20"/>
          <w:color w:val="auto"/>
        </w:rPr>
      </w:pPr>
    </w:p>
    <w:p>
      <w:pPr>
        <w:jc w:val="both"/>
        <w:ind w:left="652" w:firstLine="1454"/>
        <w:spacing w:after="0" w:line="231" w:lineRule="auto"/>
        <w:tabs>
          <w:tab w:leader="none" w:pos="2596" w:val="left"/>
        </w:tabs>
        <w:numPr>
          <w:ilvl w:val="2"/>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withholding taxes arising in connection with the vesting or settlement of the RSUs, with the consent of the Administrator, by requesting that the Company withhold a net number of vested shares of Stock otherwise issuable pursuant to the RSUs having a then current Fair Market Value not exceeding the amount necessary to satisfy the withholding obligation of the Participating Companies based on the maximum statutory withholding rates in Participant’s applicable jurisdictions for federal, state, local and foreign income tax and payroll tax purposes that are applicable to such taxable income;</w:t>
      </w:r>
    </w:p>
    <w:p>
      <w:pPr>
        <w:spacing w:after="0" w:line="150" w:lineRule="exact"/>
        <w:rPr>
          <w:rFonts w:ascii="Times New Roman" w:cs="Times New Roman" w:eastAsia="Times New Roman" w:hAnsi="Times New Roman"/>
          <w:sz w:val="19"/>
          <w:szCs w:val="19"/>
          <w:color w:val="auto"/>
        </w:rPr>
      </w:pPr>
    </w:p>
    <w:p>
      <w:pPr>
        <w:jc w:val="both"/>
        <w:ind w:left="652" w:firstLine="1454"/>
        <w:spacing w:after="0" w:line="220" w:lineRule="auto"/>
        <w:tabs>
          <w:tab w:leader="none" w:pos="2585" w:val="left"/>
        </w:tabs>
        <w:numPr>
          <w:ilvl w:val="2"/>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withholding taxes arising in connection with the vesting or settlement of the RSUs, with the consent of the Administrator, by tendering to the Company vested shares of Stock having a then current Fair Market Value not exceeding the amount necessary to satisfy the withholding obligation of the Participating Companies based on the maximum statutory withholding rates in Participant’s applicable jurisdictions for federal, state, local and foreign income tax and payroll tax purposes that are applicable to such taxable income;</w:t>
      </w:r>
    </w:p>
    <w:p>
      <w:pPr>
        <w:spacing w:after="0" w:line="160" w:lineRule="exact"/>
        <w:rPr>
          <w:rFonts w:ascii="Times New Roman" w:cs="Times New Roman" w:eastAsia="Times New Roman" w:hAnsi="Times New Roman"/>
          <w:sz w:val="20"/>
          <w:szCs w:val="20"/>
          <w:color w:val="auto"/>
        </w:rPr>
      </w:pPr>
    </w:p>
    <w:p>
      <w:pPr>
        <w:jc w:val="both"/>
        <w:ind w:left="652" w:firstLine="1454"/>
        <w:spacing w:after="0" w:line="216" w:lineRule="auto"/>
        <w:tabs>
          <w:tab w:leader="none" w:pos="2584" w:val="left"/>
        </w:tabs>
        <w:numPr>
          <w:ilvl w:val="2"/>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withholding taxes arising in connection with the vesting or settlement of the RSUs, through the delivery of a notice that Participant has placed a market sell order with a broker acceptable to the Company with respect to shares of Stock then issuable to Participant pursuant to the RSUs, and that the broker has been directed to pay a sufficient portion of the net proceeds of the sale to the Participating Company with respect to which the withholding obligation arises in satisfaction of such withholding taxes;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payment of such proceeds is then made to the applicable Participating Company at such time as may be required by the Administrator, but in any event not later than the settlement of such sale; or</w:t>
      </w:r>
    </w:p>
    <w:p>
      <w:pPr>
        <w:spacing w:after="0" w:line="148" w:lineRule="exact"/>
        <w:rPr>
          <w:rFonts w:ascii="Times New Roman" w:cs="Times New Roman" w:eastAsia="Times New Roman" w:hAnsi="Times New Roman"/>
          <w:sz w:val="20"/>
          <w:szCs w:val="20"/>
          <w:color w:val="auto"/>
        </w:rPr>
      </w:pPr>
    </w:p>
    <w:p>
      <w:pPr>
        <w:ind w:left="2572" w:hanging="466"/>
        <w:spacing w:after="0"/>
        <w:tabs>
          <w:tab w:leader="none" w:pos="2572" w:val="left"/>
        </w:tabs>
        <w:numPr>
          <w:ilvl w:val="2"/>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combination of the foregoing.</w:t>
      </w:r>
    </w:p>
    <w:p>
      <w:pPr>
        <w:spacing w:after="0" w:line="188" w:lineRule="exact"/>
        <w:rPr>
          <w:rFonts w:ascii="Times New Roman" w:cs="Times New Roman" w:eastAsia="Times New Roman" w:hAnsi="Times New Roman"/>
          <w:sz w:val="20"/>
          <w:szCs w:val="20"/>
          <w:color w:val="auto"/>
        </w:rPr>
      </w:pPr>
    </w:p>
    <w:p>
      <w:pPr>
        <w:jc w:val="both"/>
        <w:ind w:left="-8" w:firstLine="1304"/>
        <w:spacing w:after="0" w:line="214" w:lineRule="auto"/>
        <w:tabs>
          <w:tab w:leader="none" w:pos="1924"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withholding taxes arising in connection with the RSUs, in the event Participant fails to provide timely payment of all sums required pursuant to </w:t>
      </w:r>
      <w:r>
        <w:rPr>
          <w:rFonts w:ascii="Times New Roman" w:cs="Times New Roman" w:eastAsia="Times New Roman" w:hAnsi="Times New Roman"/>
          <w:sz w:val="20"/>
          <w:szCs w:val="20"/>
          <w:u w:val="single" w:color="auto"/>
          <w:color w:val="auto"/>
        </w:rPr>
        <w:t>Section 2.5(a)</w:t>
      </w:r>
      <w:r>
        <w:rPr>
          <w:rFonts w:ascii="Times New Roman" w:cs="Times New Roman" w:eastAsia="Times New Roman" w:hAnsi="Times New Roman"/>
          <w:sz w:val="20"/>
          <w:szCs w:val="20"/>
          <w:color w:val="auto"/>
        </w:rPr>
        <w:t xml:space="preserve">, the Company shall have the right and option, but not the obligation, to treat such failure as an election by Participant to satisfy all or any portion of Participant’s required payment obligation pursuant to </w:t>
      </w:r>
      <w:r>
        <w:rPr>
          <w:rFonts w:ascii="Times New Roman" w:cs="Times New Roman" w:eastAsia="Times New Roman" w:hAnsi="Times New Roman"/>
          <w:sz w:val="20"/>
          <w:szCs w:val="20"/>
          <w:u w:val="single" w:color="auto"/>
          <w:color w:val="auto"/>
        </w:rPr>
        <w:t>Section 2.5(a)</w:t>
      </w:r>
    </w:p>
    <w:p>
      <w:pPr>
        <w:jc w:val="both"/>
        <w:ind w:left="-8" w:firstLine="8"/>
        <w:spacing w:after="0" w:line="215" w:lineRule="auto"/>
        <w:tabs>
          <w:tab w:leader="none" w:pos="290" w:val="left"/>
        </w:tabs>
        <w:numPr>
          <w:ilvl w:val="0"/>
          <w:numId w:val="5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or </w:t>
      </w:r>
      <w:r>
        <w:rPr>
          <w:rFonts w:ascii="Times New Roman" w:cs="Times New Roman" w:eastAsia="Times New Roman" w:hAnsi="Times New Roman"/>
          <w:sz w:val="20"/>
          <w:szCs w:val="20"/>
          <w:u w:val="single" w:color="auto"/>
          <w:color w:val="auto"/>
        </w:rPr>
        <w:t>Section 2.5(a)(iii)</w:t>
      </w:r>
      <w:r>
        <w:rPr>
          <w:rFonts w:ascii="Times New Roman" w:cs="Times New Roman" w:eastAsia="Times New Roman" w:hAnsi="Times New Roman"/>
          <w:sz w:val="20"/>
          <w:szCs w:val="20"/>
          <w:color w:val="auto"/>
        </w:rPr>
        <w:t xml:space="preserve"> above, or any combination of the foregoing as the Company may determine to be appropriate. The Company shall not be obligated to deliver any certificate representing shares of Stock issuable with respect to the RSUs to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RSUs or any other taxable event related to the RSUs.</w:t>
      </w:r>
    </w:p>
    <w:p>
      <w:pPr>
        <w:spacing w:after="0" w:line="149" w:lineRule="exact"/>
        <w:rPr>
          <w:rFonts w:ascii="Times New Roman" w:cs="Times New Roman" w:eastAsia="Times New Roman" w:hAnsi="Times New Roman"/>
          <w:sz w:val="20"/>
          <w:szCs w:val="20"/>
          <w:u w:val="single" w:color="auto"/>
          <w:color w:val="auto"/>
        </w:rPr>
      </w:pPr>
    </w:p>
    <w:p>
      <w:pPr>
        <w:jc w:val="both"/>
        <w:ind w:left="-8" w:firstLine="1304"/>
        <w:spacing w:after="0" w:line="214" w:lineRule="auto"/>
        <w:tabs>
          <w:tab w:leader="none" w:pos="1926"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any tax withholding obligation arising in connection with the RSUs will be satisfied under </w:t>
      </w:r>
      <w:r>
        <w:rPr>
          <w:rFonts w:ascii="Times New Roman" w:cs="Times New Roman" w:eastAsia="Times New Roman" w:hAnsi="Times New Roman"/>
          <w:sz w:val="20"/>
          <w:szCs w:val="20"/>
          <w:u w:val="single" w:color="auto"/>
          <w:color w:val="auto"/>
        </w:rPr>
        <w:t>Section 2.5(a)(iii)</w:t>
      </w:r>
      <w:r>
        <w:rPr>
          <w:rFonts w:ascii="Times New Roman" w:cs="Times New Roman" w:eastAsia="Times New Roman" w:hAnsi="Times New Roman"/>
          <w:sz w:val="20"/>
          <w:szCs w:val="20"/>
          <w:color w:val="auto"/>
        </w:rPr>
        <w:t xml:space="preserve">, then the Company may elect to instruct any brokerage firm determined acceptable to the Company for such purpose to sell on Participant’s behalf a whole number of shares from those shares of Stock then issuable to Participant pursuant to the RSUs as the Company determines to be appropriate to generate cash proceeds sufficient to satisfy the tax withholding obligation and to remit the proceeds of such sale to the Participating Company with respect to which the withholding obligation arises. Participant’s acceptance of this Award constitutes Participant’s instruction and authorization to the Company and such brokerage firm to complete the transactions described in this </w:t>
      </w:r>
      <w:r>
        <w:rPr>
          <w:rFonts w:ascii="Times New Roman" w:cs="Times New Roman" w:eastAsia="Times New Roman" w:hAnsi="Times New Roman"/>
          <w:sz w:val="20"/>
          <w:szCs w:val="20"/>
          <w:u w:val="single" w:color="auto"/>
          <w:color w:val="auto"/>
        </w:rPr>
        <w:t>Section 2.5(c)</w:t>
      </w:r>
      <w:r>
        <w:rPr>
          <w:rFonts w:ascii="Times New Roman" w:cs="Times New Roman" w:eastAsia="Times New Roman" w:hAnsi="Times New Roman"/>
          <w:sz w:val="20"/>
          <w:szCs w:val="20"/>
          <w:color w:val="auto"/>
        </w:rPr>
        <w:t>, including the transactions described in the previous sentence, as applicable. The Company may refuse to issue any shares of Stock in settlement of the RSUs to Participant until the foregoing tax withholding obligations are satisfied, provided that no payment shall be delayed under this Section 2.5(c) if such delay will result in a violation of Section 409A of the Code.</w:t>
      </w:r>
    </w:p>
    <w:p>
      <w:pPr>
        <w:sectPr>
          <w:pgSz w:w="11900" w:h="16838" w:orient="portrait"/>
          <w:cols w:equalWidth="0" w:num="1">
            <w:col w:w="11232"/>
          </w:cols>
          <w:pgMar w:left="328" w:top="1394" w:right="339" w:bottom="1440" w:gutter="0" w:footer="0" w:header="0"/>
        </w:sectPr>
      </w:pPr>
    </w:p>
    <w:bookmarkStart w:id="121" w:name="page122"/>
    <w:bookmarkEnd w:id="121"/>
    <w:p>
      <w:pPr>
        <w:jc w:val="both"/>
        <w:ind w:firstLine="1304"/>
        <w:spacing w:after="0" w:line="220" w:lineRule="auto"/>
        <w:tabs>
          <w:tab w:leader="none" w:pos="1932"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ultimately liable and responsible for all taxes owed in connection with the RSUs, regardless of any action any Participating Company takes with respect to any tax withholding obligations that arise in connection with the RSUs. No Participating Company makes any representation or undertaking regarding the treatment of any tax withholding in connection with the awarding, vesting or payment of the RSUs or the subsequent sale of Shares. The Participating Companies do not commit and are under no obligation to structure the RSUs to reduce or eliminate Participant’s tax liability.</w:t>
      </w:r>
    </w:p>
    <w:p>
      <w:pPr>
        <w:spacing w:after="0" w:line="147"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u w:val="single" w:color="auto"/>
          <w:color w:val="auto"/>
        </w:rPr>
        <w:t>Section 2.8 Rights as Stockholder</w:t>
      </w:r>
      <w:r>
        <w:rPr>
          <w:rFonts w:ascii="Times New Roman" w:cs="Times New Roman" w:eastAsia="Times New Roman" w:hAnsi="Times New Roman"/>
          <w:sz w:val="20"/>
          <w:szCs w:val="20"/>
          <w:color w:val="auto"/>
        </w:rPr>
        <w:t>. Neither Participant nor any Person claiming under or through Participant will have any of the rights or privileges of a stockholder of the Company in respect of any Shares deliverable hereunder unless and until certificates representing</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such Shares (which may be in book-entry form) will have been issued and recorded on the records of the Company or its transfer agents or registrars and delivered to Participant (including through electronic delivery to a brokerage account). Except as otherwise provided herein,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after such issuance, recordation and delivery, Participant will have all the rights of a stockholder of the Company with respect to such Shares, including, without limitation, the right to receipt of dividends and distributions on such Shares.</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u w:val="single" w:color="auto"/>
          <w:color w:val="auto"/>
        </w:rPr>
        <w:t>Section 2.9 Restrictive Covenants; Forfeiture</w:t>
      </w:r>
      <w:r>
        <w:rPr>
          <w:rFonts w:ascii="Times New Roman" w:cs="Times New Roman" w:eastAsia="Times New Roman" w:hAnsi="Times New Roman"/>
          <w:sz w:val="20"/>
          <w:szCs w:val="20"/>
          <w:color w:val="auto"/>
        </w:rPr>
        <w:t>. The Participant hereby acknowledges and agrees that any restrictive covenants or similar written agreements (the “</w:t>
      </w:r>
      <w:r>
        <w:rPr>
          <w:rFonts w:ascii="Times New Roman" w:cs="Times New Roman" w:eastAsia="Times New Roman" w:hAnsi="Times New Roman"/>
          <w:sz w:val="20"/>
          <w:szCs w:val="20"/>
          <w:u w:val="single" w:color="auto"/>
          <w:color w:val="auto"/>
        </w:rPr>
        <w:t>Restrictive Covenant Agreements</w:t>
      </w:r>
      <w:r>
        <w:rPr>
          <w:rFonts w:ascii="Times New Roman" w:cs="Times New Roman" w:eastAsia="Times New Roman" w:hAnsi="Times New Roman"/>
          <w:sz w:val="20"/>
          <w:szCs w:val="20"/>
          <w:color w:val="auto"/>
        </w:rPr>
        <w:t>”) between such Participant and the Company or any other Participating</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Company are incorporated herein by reference, and that such agreements, as applicable, remain in full force and effect. In the event the Participant materially breaches any Restrictive Covenant Agreement or any other written covenants between such Participant and any</w:t>
      </w:r>
    </w:p>
    <w:p>
      <w:pPr>
        <w:spacing w:after="0" w:line="223" w:lineRule="auto"/>
        <w:rPr>
          <w:sz w:val="20"/>
          <w:szCs w:val="20"/>
          <w:color w:val="auto"/>
        </w:rPr>
      </w:pPr>
      <w:r>
        <w:rPr>
          <w:rFonts w:ascii="Times New Roman" w:cs="Times New Roman" w:eastAsia="Times New Roman" w:hAnsi="Times New Roman"/>
          <w:sz w:val="19"/>
          <w:szCs w:val="19"/>
          <w:color w:val="auto"/>
        </w:rPr>
        <w:t>Participating Company, the Participant shall immediately forfeit any and all RSUs granted under this Agreement (whether or not vested), and</w:t>
      </w:r>
    </w:p>
    <w:p>
      <w:pPr>
        <w:spacing w:after="0" w:line="221" w:lineRule="auto"/>
        <w:rPr>
          <w:sz w:val="20"/>
          <w:szCs w:val="20"/>
          <w:color w:val="auto"/>
        </w:rPr>
      </w:pPr>
      <w:r>
        <w:rPr>
          <w:rFonts w:ascii="Times New Roman" w:cs="Times New Roman" w:eastAsia="Times New Roman" w:hAnsi="Times New Roman"/>
          <w:sz w:val="20"/>
          <w:szCs w:val="20"/>
          <w:color w:val="auto"/>
        </w:rPr>
        <w:t>Participant’s rights in any such RSUs shall lapse and expire. For the avoidance of doubt, such forfeiture, lapse and expiration shall not limit the Participating Companies’ ability to seek other remedies for such breach.</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47" w:lineRule="exact"/>
        <w:rPr>
          <w:sz w:val="20"/>
          <w:szCs w:val="20"/>
          <w:color w:val="auto"/>
        </w:rPr>
      </w:pPr>
    </w:p>
    <w:p>
      <w:pPr>
        <w:ind w:left="3580"/>
        <w:spacing w:after="0"/>
        <w:tabs>
          <w:tab w:leader="none" w:pos="5460" w:val="left"/>
        </w:tabs>
        <w:rPr>
          <w:sz w:val="20"/>
          <w:szCs w:val="20"/>
          <w:color w:val="auto"/>
        </w:rPr>
      </w:pPr>
      <w:r>
        <w:rPr>
          <w:rFonts w:ascii="Times New Roman" w:cs="Times New Roman" w:eastAsia="Times New Roman" w:hAnsi="Times New Roman"/>
          <w:sz w:val="22"/>
          <w:szCs w:val="22"/>
          <w:b w:val="1"/>
          <w:bCs w:val="1"/>
          <w:color w:val="auto"/>
        </w:rPr>
        <w:t>ARTICLE IV.</w:t>
      </w:r>
      <w:r>
        <w:rPr>
          <w:sz w:val="20"/>
          <w:szCs w:val="20"/>
          <w:color w:val="auto"/>
        </w:rPr>
        <w:tab/>
      </w:r>
      <w:r>
        <w:rPr>
          <w:rFonts w:ascii="Times New Roman" w:cs="Times New Roman" w:eastAsia="Times New Roman" w:hAnsi="Times New Roman"/>
          <w:sz w:val="21"/>
          <w:szCs w:val="21"/>
          <w:b w:val="1"/>
          <w:bCs w:val="1"/>
          <w:color w:val="auto"/>
        </w:rPr>
        <w:t>OTHER PROVISIONS</w:t>
      </w:r>
    </w:p>
    <w:p>
      <w:pPr>
        <w:spacing w:after="0" w:line="10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u w:val="single" w:color="auto"/>
          <w:color w:val="auto"/>
        </w:rPr>
        <w:t>Section 4.1</w:t>
      </w:r>
      <w:r>
        <w:rPr>
          <w:sz w:val="20"/>
          <w:szCs w:val="20"/>
          <w:color w:val="auto"/>
        </w:rPr>
        <w:tab/>
      </w: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 The Administrator shall have the power to interpret the Plan, the Grant Notice and this Agreement</w:t>
      </w:r>
    </w:p>
    <w:p>
      <w:pPr>
        <w:spacing w:after="0" w:line="204" w:lineRule="auto"/>
        <w:rPr>
          <w:sz w:val="20"/>
          <w:szCs w:val="20"/>
          <w:color w:val="auto"/>
        </w:rPr>
      </w:pPr>
      <w:r>
        <w:rPr>
          <w:rFonts w:ascii="Times New Roman" w:cs="Times New Roman" w:eastAsia="Times New Roman" w:hAnsi="Times New Roman"/>
          <w:sz w:val="20"/>
          <w:szCs w:val="20"/>
          <w:color w:val="auto"/>
        </w:rPr>
        <w:t>and to adopt such rules for the administration, interpretation and application of the Plan, the Grant Notice and this Agreement as are consistent therewith and to interpret, amend or revoke any such rules. All actions taken and all interpretations and determinations made by</w:t>
      </w:r>
    </w:p>
    <w:p>
      <w:pPr>
        <w:spacing w:after="0" w:line="223" w:lineRule="auto"/>
        <w:rPr>
          <w:sz w:val="20"/>
          <w:szCs w:val="20"/>
          <w:color w:val="auto"/>
        </w:rPr>
      </w:pPr>
      <w:r>
        <w:rPr>
          <w:rFonts w:ascii="Times New Roman" w:cs="Times New Roman" w:eastAsia="Times New Roman" w:hAnsi="Times New Roman"/>
          <w:sz w:val="19"/>
          <w:szCs w:val="19"/>
          <w:color w:val="auto"/>
        </w:rPr>
        <w:t>the Administrator will be final and binding upon Participant, the Company and all other interested Persons. To the extent allowable pursuant</w:t>
      </w:r>
    </w:p>
    <w:p>
      <w:pPr>
        <w:spacing w:after="0" w:line="221" w:lineRule="auto"/>
        <w:rPr>
          <w:sz w:val="20"/>
          <w:szCs w:val="20"/>
          <w:color w:val="auto"/>
        </w:rPr>
      </w:pPr>
      <w:r>
        <w:rPr>
          <w:rFonts w:ascii="Times New Roman" w:cs="Times New Roman" w:eastAsia="Times New Roman" w:hAnsi="Times New Roman"/>
          <w:sz w:val="20"/>
          <w:szCs w:val="20"/>
          <w:color w:val="auto"/>
        </w:rPr>
        <w:t>to Applicable Law, no member of the Committee or the Board will be personally liable for any action, determination or interpretation made with respect to the Plan, the Grant Notice or this Agreement.</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u w:val="single" w:color="auto"/>
          <w:color w:val="auto"/>
        </w:rPr>
        <w:t>Section 4.2</w:t>
      </w:r>
      <w:r>
        <w:rPr>
          <w:sz w:val="20"/>
          <w:szCs w:val="20"/>
          <w:color w:val="auto"/>
        </w:rPr>
        <w:tab/>
      </w:r>
      <w:r>
        <w:rPr>
          <w:rFonts w:ascii="Times New Roman" w:cs="Times New Roman" w:eastAsia="Times New Roman" w:hAnsi="Times New Roman"/>
          <w:sz w:val="20"/>
          <w:szCs w:val="20"/>
          <w:u w:val="single" w:color="auto"/>
          <w:color w:val="auto"/>
        </w:rPr>
        <w:t>RSUs Not Transferable</w:t>
      </w:r>
      <w:r>
        <w:rPr>
          <w:rFonts w:ascii="Times New Roman" w:cs="Times New Roman" w:eastAsia="Times New Roman" w:hAnsi="Times New Roman"/>
          <w:sz w:val="20"/>
          <w:szCs w:val="20"/>
          <w:color w:val="auto"/>
        </w:rPr>
        <w:t>. The RSUs may not be sold, pledged, assigned or transferred in any manner other than by</w:t>
      </w:r>
    </w:p>
    <w:p>
      <w:pPr>
        <w:spacing w:after="0" w:line="204" w:lineRule="auto"/>
        <w:rPr>
          <w:sz w:val="20"/>
          <w:szCs w:val="20"/>
          <w:color w:val="auto"/>
        </w:rPr>
      </w:pPr>
      <w:r>
        <w:rPr>
          <w:rFonts w:ascii="Times New Roman" w:cs="Times New Roman" w:eastAsia="Times New Roman" w:hAnsi="Times New Roman"/>
          <w:sz w:val="20"/>
          <w:szCs w:val="20"/>
          <w:color w:val="auto"/>
        </w:rPr>
        <w:t>will or the laws of descent and distribution, unless and until the Shares underlying the RSUs have been issued, and all restrictions applicable to such Shares have lapsed. No RSUs or any interest or right therein or part thereof shall be liable for the debts, contracts or engagements of</w:t>
      </w:r>
    </w:p>
    <w:p>
      <w:pPr>
        <w:spacing w:after="0" w:line="211" w:lineRule="auto"/>
        <w:rPr>
          <w:sz w:val="20"/>
          <w:szCs w:val="20"/>
          <w:color w:val="auto"/>
        </w:rPr>
      </w:pPr>
      <w:r>
        <w:rPr>
          <w:rFonts w:ascii="Times New Roman" w:cs="Times New Roman" w:eastAsia="Times New Roman" w:hAnsi="Times New Roman"/>
          <w:sz w:val="20"/>
          <w:szCs w:val="20"/>
          <w:color w:val="auto"/>
        </w:rPr>
        <w:t>Participant or his or her successors in interest or shall be subject to disposition by transfer, alienation, anticipation, pledge, encumbrance,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assignment or any other means whether such disposition be voluntary or involuntary or by operation of law by judgment, levy, attachment, garnishment or any other legal or equitable proceedings (including bankruptcy), and any attempted disposition thereof shall be null and void</w:t>
      </w:r>
    </w:p>
    <w:p>
      <w:pPr>
        <w:spacing w:after="0" w:line="211" w:lineRule="auto"/>
        <w:rPr>
          <w:sz w:val="20"/>
          <w:szCs w:val="20"/>
          <w:color w:val="auto"/>
        </w:rPr>
      </w:pPr>
      <w:r>
        <w:rPr>
          <w:rFonts w:ascii="Times New Roman" w:cs="Times New Roman" w:eastAsia="Times New Roman" w:hAnsi="Times New Roman"/>
          <w:sz w:val="20"/>
          <w:szCs w:val="20"/>
          <w:color w:val="auto"/>
        </w:rPr>
        <w:t>and of no effect, except to the extent that such disposition is permitted by the preceding sentence. Notwithstanding the foregoing, with the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consent of the Administrator, the RSUs may be transferred to Permitted Transferees, pursuant to any such conditions and procedures the Administrator may require.</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u w:val="single" w:color="auto"/>
          <w:color w:val="auto"/>
        </w:rPr>
        <w:t>Section 4.3</w:t>
      </w:r>
      <w:r>
        <w:rPr>
          <w:sz w:val="20"/>
          <w:szCs w:val="20"/>
          <w:color w:val="auto"/>
        </w:rPr>
        <w:tab/>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The Administrator may accelerate the vesting of all or a portion of the RSUs in such circumstances as</w:t>
      </w:r>
    </w:p>
    <w:p>
      <w:pPr>
        <w:ind w:right="20"/>
        <w:spacing w:after="0" w:line="221" w:lineRule="auto"/>
        <w:rPr>
          <w:sz w:val="20"/>
          <w:szCs w:val="20"/>
          <w:color w:val="auto"/>
        </w:rPr>
      </w:pPr>
      <w:r>
        <w:rPr>
          <w:rFonts w:ascii="Times New Roman" w:cs="Times New Roman" w:eastAsia="Times New Roman" w:hAnsi="Times New Roman"/>
          <w:sz w:val="20"/>
          <w:szCs w:val="20"/>
          <w:color w:val="auto"/>
        </w:rPr>
        <w:t>it, in its sole discretion, may determine. Participant acknowledges that the RSUs and the Shares subject to the RSUs are subject to adjustment, modification and termination in certain events as provided in this Agreement and the Plan, including Article VIII of the Plan.</w:t>
      </w:r>
    </w:p>
    <w:p>
      <w:pPr>
        <w:sectPr>
          <w:pgSz w:w="11900" w:h="16838" w:orient="portrait"/>
          <w:cols w:equalWidth="0" w:num="1">
            <w:col w:w="11240"/>
          </w:cols>
          <w:pgMar w:left="320" w:top="1399" w:right="339" w:bottom="1440" w:gutter="0" w:footer="0" w:header="0"/>
        </w:sectPr>
      </w:pPr>
    </w:p>
    <w:bookmarkStart w:id="122" w:name="page123"/>
    <w:bookmarkEnd w:id="122"/>
    <w:p>
      <w:pPr>
        <w:ind w:left="660"/>
        <w:spacing w:after="0"/>
        <w:tabs>
          <w:tab w:leader="none" w:pos="1960" w:val="left"/>
        </w:tabs>
        <w:rPr>
          <w:sz w:val="20"/>
          <w:szCs w:val="20"/>
          <w:color w:val="auto"/>
        </w:rPr>
      </w:pPr>
      <w:r>
        <w:rPr>
          <w:rFonts w:ascii="Times New Roman" w:cs="Times New Roman" w:eastAsia="Times New Roman" w:hAnsi="Times New Roman"/>
          <w:sz w:val="20"/>
          <w:szCs w:val="20"/>
          <w:u w:val="single" w:color="auto"/>
          <w:color w:val="auto"/>
        </w:rPr>
        <w:t>Section 4.4</w:t>
      </w:r>
      <w:r>
        <w:rPr>
          <w:sz w:val="20"/>
          <w:szCs w:val="20"/>
          <w:color w:val="auto"/>
        </w:rPr>
        <w:tab/>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shall be addressed to the</w:t>
      </w:r>
    </w:p>
    <w:p>
      <w:pPr>
        <w:spacing w:after="0" w:line="215" w:lineRule="auto"/>
        <w:rPr>
          <w:sz w:val="20"/>
          <w:szCs w:val="20"/>
          <w:color w:val="auto"/>
        </w:rPr>
      </w:pPr>
      <w:r>
        <w:rPr>
          <w:rFonts w:ascii="Times New Roman" w:cs="Times New Roman" w:eastAsia="Times New Roman" w:hAnsi="Times New Roman"/>
          <w:sz w:val="19"/>
          <w:szCs w:val="19"/>
          <w:color w:val="auto"/>
        </w:rPr>
        <w:t>Company in care of the General Counsel of the Company at the Company’s principal office, and any notice to be given to Participant shall be addressed to Participant at Participant’s last email or physical address reflected on the Company’s records. By a notice given pursuant to this</w:t>
      </w:r>
    </w:p>
    <w:p>
      <w:pPr>
        <w:spacing w:after="0" w:line="211" w:lineRule="auto"/>
        <w:rPr>
          <w:sz w:val="20"/>
          <w:szCs w:val="20"/>
          <w:color w:val="auto"/>
        </w:rPr>
      </w:pP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either party may hereafter designate a different address for notices to be given to that party. Any notice shall be deemed duly</w:t>
      </w:r>
    </w:p>
    <w:p>
      <w:pPr>
        <w:spacing w:after="0" w:line="221" w:lineRule="auto"/>
        <w:rPr>
          <w:sz w:val="20"/>
          <w:szCs w:val="20"/>
          <w:color w:val="auto"/>
        </w:rPr>
      </w:pPr>
      <w:r>
        <w:rPr>
          <w:rFonts w:ascii="Times New Roman" w:cs="Times New Roman" w:eastAsia="Times New Roman" w:hAnsi="Times New Roman"/>
          <w:sz w:val="20"/>
          <w:szCs w:val="20"/>
          <w:color w:val="auto"/>
        </w:rPr>
        <w:t>given when sent via email (to Participant only) or when sent by certified mail (return receipt requested) and deposited (with postage prepaid) in a post office or branch post office regularly maintained by the United States Postal Service.</w:t>
      </w:r>
    </w:p>
    <w:p>
      <w:pPr>
        <w:spacing w:after="0" w:line="162"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u w:val="single" w:color="auto"/>
          <w:color w:val="auto"/>
        </w:rPr>
        <w:t>Section 4.5 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48"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9"/>
          <w:szCs w:val="19"/>
          <w:u w:val="single" w:color="auto"/>
          <w:color w:val="auto"/>
        </w:rPr>
        <w:t>Section 4.6 Governing Law</w:t>
      </w:r>
      <w:r>
        <w:rPr>
          <w:rFonts w:ascii="Times New Roman" w:cs="Times New Roman" w:eastAsia="Times New Roman" w:hAnsi="Times New Roman"/>
          <w:sz w:val="19"/>
          <w:szCs w:val="19"/>
          <w:color w:val="auto"/>
        </w:rPr>
        <w:t>. The laws of the State of Delaware, U.S.A., shall govern the interpretation, validity, administration, enforcement and performance of the terms of this Agreement regardless of the law that might be applied under principles of conflicts of laws.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Any action, lawsuit or other proceedings brought to enforce this Agreement, relating to it, or arising from it, or relating to or arising from the Plan, may be brought only in the state or federal courts located in the State of New York, U.S.A., where this grant is made and/or to be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performed, and the parties to this Agreement hereby submit to and consent to the sole and exclusive jurisdiction of such courts, and no other courts.</w:t>
      </w:r>
    </w:p>
    <w:p>
      <w:pPr>
        <w:spacing w:after="0" w:line="14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u w:val="single" w:color="auto"/>
          <w:color w:val="auto"/>
        </w:rPr>
        <w:t>Section 4.7 Conformity to Securities Laws</w:t>
      </w:r>
      <w:r>
        <w:rPr>
          <w:rFonts w:ascii="Times New Roman" w:cs="Times New Roman" w:eastAsia="Times New Roman" w:hAnsi="Times New Roman"/>
          <w:sz w:val="19"/>
          <w:szCs w:val="19"/>
          <w:color w:val="auto"/>
        </w:rPr>
        <w:t>. Participant acknowledges that the Plan, the Grant Notice and this Agreement are intended to conform to the extent necessary with all Applicable Laws, including, without limitation, the provisions of the U.S. Securities Act</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of 1933, as amended and the Exchange Act, and any and all regulations and rules promulgated thereunder by the SEC, and state securities laws and regulations. Notwithstanding any other provision of the Plan or this Agreement, unless there is an exemption from any registration,</w:t>
      </w:r>
    </w:p>
    <w:p>
      <w:pPr>
        <w:spacing w:after="0" w:line="204" w:lineRule="auto"/>
        <w:rPr>
          <w:sz w:val="20"/>
          <w:szCs w:val="20"/>
          <w:color w:val="auto"/>
        </w:rPr>
      </w:pPr>
      <w:r>
        <w:rPr>
          <w:rFonts w:ascii="Times New Roman" w:cs="Times New Roman" w:eastAsia="Times New Roman" w:hAnsi="Times New Roman"/>
          <w:sz w:val="20"/>
          <w:szCs w:val="20"/>
          <w:color w:val="auto"/>
        </w:rPr>
        <w:t>qualification or other legal requirement applicable to the Shares the Company shall not be required to deliver any Shares issuable upon settlement of the RSUs prior to the completion of any registration or qualification of the Shares under any local, state, federal or foreign</w:t>
      </w:r>
    </w:p>
    <w:p>
      <w:pPr>
        <w:spacing w:after="0" w:line="211" w:lineRule="auto"/>
        <w:rPr>
          <w:sz w:val="20"/>
          <w:szCs w:val="20"/>
          <w:color w:val="auto"/>
        </w:rPr>
      </w:pPr>
      <w:r>
        <w:rPr>
          <w:rFonts w:ascii="Times New Roman" w:cs="Times New Roman" w:eastAsia="Times New Roman" w:hAnsi="Times New Roman"/>
          <w:sz w:val="20"/>
          <w:szCs w:val="20"/>
          <w:color w:val="auto"/>
        </w:rPr>
        <w:t>securities or exchange control law or under rulings or regulations of the SEC or of any other governmental regulatory body, or prior to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obtaining any approval or other clearance from any local, state, federal or foreign governmental agency, which registration, qualification or approval the Company shall, in its absolute discretion, deem necessary or advisable. Participant understands that the Company is under no</w:t>
      </w:r>
    </w:p>
    <w:p>
      <w:pPr>
        <w:spacing w:after="0" w:line="211" w:lineRule="auto"/>
        <w:rPr>
          <w:sz w:val="20"/>
          <w:szCs w:val="20"/>
          <w:color w:val="auto"/>
        </w:rPr>
      </w:pPr>
      <w:r>
        <w:rPr>
          <w:rFonts w:ascii="Times New Roman" w:cs="Times New Roman" w:eastAsia="Times New Roman" w:hAnsi="Times New Roman"/>
          <w:sz w:val="20"/>
          <w:szCs w:val="20"/>
          <w:color w:val="auto"/>
        </w:rPr>
        <w:t>obligation to register or qualify the shares with the SEC or any state or foreign securities commission or to seek approval or clearance from</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any governmental authority for the issuance or sale of the Shares. Further, Participant agrees that the Company shall have unilateral authority to amend this Agreement without his or her consent to the extent necessary to comply with securities or other laws applicable to issuance of</w:t>
      </w:r>
    </w:p>
    <w:p>
      <w:pPr>
        <w:spacing w:after="0"/>
        <w:rPr>
          <w:sz w:val="20"/>
          <w:szCs w:val="20"/>
          <w:color w:val="auto"/>
        </w:rPr>
      </w:pPr>
      <w:r>
        <w:rPr>
          <w:rFonts w:ascii="Times New Roman" w:cs="Times New Roman" w:eastAsia="Times New Roman" w:hAnsi="Times New Roman"/>
          <w:sz w:val="20"/>
          <w:szCs w:val="20"/>
          <w:color w:val="auto"/>
        </w:rPr>
        <w:t>Shares.</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u w:val="single" w:color="auto"/>
          <w:color w:val="auto"/>
        </w:rPr>
        <w:t>Section 4.8 Amendment, Suspension and Termination</w:t>
      </w:r>
      <w:r>
        <w:rPr>
          <w:rFonts w:ascii="Times New Roman" w:cs="Times New Roman" w:eastAsia="Times New Roman" w:hAnsi="Times New Roman"/>
          <w:sz w:val="20"/>
          <w:szCs w:val="20"/>
          <w:color w:val="auto"/>
        </w:rPr>
        <w:t>. To the extent permitted by the Plan, this Agreement may be wholly or partially amended or otherwise modified, suspended or terminated at any time or from time to time by the Administrator or the Board</w:t>
      </w:r>
      <w:r>
        <w:rPr>
          <w:rFonts w:ascii="Times New Roman" w:cs="Times New Roman" w:eastAsia="Times New Roman" w:hAnsi="Times New Roman"/>
          <w:sz w:val="20"/>
          <w:szCs w:val="20"/>
          <w:i w:val="1"/>
          <w:iCs w:val="1"/>
          <w:color w:val="auto"/>
        </w:rPr>
        <w:t>,</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except as may otherwise be provided by the Plan, no amendment, modification, suspension or termination of this Agreement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shall adversely affect the RSUs in any material way without the prior written consent of Participant.</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u w:val="single" w:color="auto"/>
          <w:color w:val="auto"/>
        </w:rPr>
        <w:t>Section 4.9 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shall inure to the benefit of the successors and assigns of the Company. Subject to the restrictions on transfer</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set forth in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and the Plan, this Agreement shall be binding upon and inure to the benefit of the heirs, legatees, legal representatives, successors and assigns of the parties hereto.</w:t>
      </w:r>
    </w:p>
    <w:p>
      <w:pPr>
        <w:spacing w:after="0" w:line="15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u w:val="single" w:color="auto"/>
          <w:color w:val="auto"/>
        </w:rPr>
        <w:t>Section 4.10</w:t>
      </w:r>
      <w:r>
        <w:rPr>
          <w:sz w:val="20"/>
          <w:szCs w:val="20"/>
          <w:color w:val="auto"/>
        </w:rPr>
        <w:tab/>
      </w:r>
      <w:r>
        <w:rPr>
          <w:rFonts w:ascii="Times New Roman" w:cs="Times New Roman" w:eastAsia="Times New Roman" w:hAnsi="Times New Roman"/>
          <w:sz w:val="19"/>
          <w:szCs w:val="19"/>
          <w:u w:val="single" w:color="auto"/>
          <w:color w:val="auto"/>
        </w:rPr>
        <w:t>Limitations Applicable to Section 16 Persons</w:t>
      </w:r>
      <w:r>
        <w:rPr>
          <w:rFonts w:ascii="Times New Roman" w:cs="Times New Roman" w:eastAsia="Times New Roman" w:hAnsi="Times New Roman"/>
          <w:sz w:val="19"/>
          <w:szCs w:val="19"/>
          <w:color w:val="auto"/>
        </w:rPr>
        <w:t>. Notwithstanding any other provision of the Plan or this Agreement, if</w:t>
      </w:r>
    </w:p>
    <w:p>
      <w:pPr>
        <w:spacing w:after="0" w:line="204" w:lineRule="auto"/>
        <w:rPr>
          <w:sz w:val="20"/>
          <w:szCs w:val="20"/>
          <w:color w:val="auto"/>
        </w:rPr>
      </w:pPr>
      <w:r>
        <w:rPr>
          <w:rFonts w:ascii="Times New Roman" w:cs="Times New Roman" w:eastAsia="Times New Roman" w:hAnsi="Times New Roman"/>
          <w:sz w:val="20"/>
          <w:szCs w:val="20"/>
          <w:color w:val="auto"/>
        </w:rPr>
        <w:t>Participant is subject to Section 16 of the Exchange Act, the Plan, the RSUs, the Grant Notice and the Global Restricted Stock Unit Award Agreement shall be subject to any additional limitations set forth in any applicable exemptive rule under Section 16 of the Exchange Act</w:t>
      </w:r>
    </w:p>
    <w:p>
      <w:pPr>
        <w:spacing w:after="0" w:line="223" w:lineRule="auto"/>
        <w:rPr>
          <w:sz w:val="20"/>
          <w:szCs w:val="20"/>
          <w:color w:val="auto"/>
        </w:rPr>
      </w:pPr>
      <w:r>
        <w:rPr>
          <w:rFonts w:ascii="Times New Roman" w:cs="Times New Roman" w:eastAsia="Times New Roman" w:hAnsi="Times New Roman"/>
          <w:sz w:val="19"/>
          <w:szCs w:val="19"/>
          <w:color w:val="auto"/>
        </w:rPr>
        <w:t>(including any amendment to Rule 16b-3 of the Exchange Act) that are requirements for the application of such exemptive rule. To the extent</w:t>
      </w:r>
    </w:p>
    <w:p>
      <w:pPr>
        <w:spacing w:after="0" w:line="221" w:lineRule="auto"/>
        <w:rPr>
          <w:sz w:val="20"/>
          <w:szCs w:val="20"/>
          <w:color w:val="auto"/>
        </w:rPr>
      </w:pPr>
      <w:r>
        <w:rPr>
          <w:rFonts w:ascii="Times New Roman" w:cs="Times New Roman" w:eastAsia="Times New Roman" w:hAnsi="Times New Roman"/>
          <w:sz w:val="20"/>
          <w:szCs w:val="20"/>
          <w:color w:val="auto"/>
        </w:rPr>
        <w:t>permitted by Applicable Law, this Agreement shall be deemed amended to the extent necessary to conform to such applicable exemptive rule.</w:t>
      </w:r>
    </w:p>
    <w:p>
      <w:pPr>
        <w:sectPr>
          <w:pgSz w:w="11900" w:h="16838" w:orient="portrait"/>
          <w:cols w:equalWidth="0" w:num="1">
            <w:col w:w="11240"/>
          </w:cols>
          <w:pgMar w:left="320" w:top="1394" w:right="339" w:bottom="1440" w:gutter="0" w:footer="0" w:header="0"/>
        </w:sectPr>
      </w:pPr>
    </w:p>
    <w:bookmarkStart w:id="123" w:name="page124"/>
    <w:bookmarkEnd w:id="123"/>
    <w:p>
      <w:pPr>
        <w:ind w:left="660"/>
        <w:spacing w:after="0"/>
        <w:tabs>
          <w:tab w:leader="none" w:pos="1920" w:val="left"/>
        </w:tabs>
        <w:rPr>
          <w:sz w:val="20"/>
          <w:szCs w:val="20"/>
          <w:color w:val="auto"/>
        </w:rPr>
      </w:pPr>
      <w:r>
        <w:rPr>
          <w:rFonts w:ascii="Times New Roman" w:cs="Times New Roman" w:eastAsia="Times New Roman" w:hAnsi="Times New Roman"/>
          <w:sz w:val="20"/>
          <w:szCs w:val="20"/>
          <w:u w:val="single" w:color="auto"/>
          <w:color w:val="auto"/>
        </w:rPr>
        <w:t>Section 4.11</w:t>
      </w:r>
      <w:r>
        <w:rPr>
          <w:sz w:val="20"/>
          <w:szCs w:val="20"/>
          <w:color w:val="auto"/>
        </w:rPr>
        <w:tab/>
      </w:r>
      <w:r>
        <w:rPr>
          <w:rFonts w:ascii="Times New Roman" w:cs="Times New Roman" w:eastAsia="Times New Roman" w:hAnsi="Times New Roman"/>
          <w:sz w:val="19"/>
          <w:szCs w:val="19"/>
          <w:u w:val="single" w:color="auto"/>
          <w:color w:val="auto"/>
        </w:rPr>
        <w:t>Not a Contract of Employment</w:t>
      </w:r>
      <w:r>
        <w:rPr>
          <w:rFonts w:ascii="Times New Roman" w:cs="Times New Roman" w:eastAsia="Times New Roman" w:hAnsi="Times New Roman"/>
          <w:sz w:val="19"/>
          <w:szCs w:val="19"/>
          <w:color w:val="auto"/>
        </w:rPr>
        <w:t>. Nothing in this Agreement or in the Plan shall be interpreted as forming or amending</w:t>
      </w:r>
    </w:p>
    <w:p>
      <w:pPr>
        <w:ind w:right="20"/>
        <w:spacing w:after="0" w:line="204" w:lineRule="auto"/>
        <w:rPr>
          <w:sz w:val="20"/>
          <w:szCs w:val="20"/>
          <w:color w:val="auto"/>
        </w:rPr>
      </w:pPr>
      <w:r>
        <w:rPr>
          <w:rFonts w:ascii="Times New Roman" w:cs="Times New Roman" w:eastAsia="Times New Roman" w:hAnsi="Times New Roman"/>
          <w:sz w:val="20"/>
          <w:szCs w:val="20"/>
          <w:color w:val="auto"/>
        </w:rPr>
        <w:t>an employment or service contract with any Participating Company or shall interfere with or restrict in any way the rights of any Participating Company, which rights are hereby expressly reserved, to discharge or terminate the services of Participant at any time for any</w:t>
      </w:r>
    </w:p>
    <w:p>
      <w:pPr>
        <w:spacing w:after="0" w:line="211" w:lineRule="auto"/>
        <w:rPr>
          <w:sz w:val="20"/>
          <w:szCs w:val="20"/>
          <w:color w:val="auto"/>
        </w:rPr>
      </w:pPr>
      <w:r>
        <w:rPr>
          <w:rFonts w:ascii="Times New Roman" w:cs="Times New Roman" w:eastAsia="Times New Roman" w:hAnsi="Times New Roman"/>
          <w:sz w:val="20"/>
          <w:szCs w:val="20"/>
          <w:color w:val="auto"/>
        </w:rPr>
        <w:t>reason whatsoever, with or without cause, except to the extent (a) expressly provided otherwise in a written agreement between a</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Participating Company and Participant or (b) where such provisions are not consistent with applicable foreign or local laws, in which case such applicable foreign or local laws shall control.</w:t>
      </w:r>
    </w:p>
    <w:p>
      <w:pPr>
        <w:spacing w:after="0" w:line="15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u w:val="single" w:color="auto"/>
          <w:color w:val="auto"/>
        </w:rPr>
        <w:t>Section 4.12</w:t>
      </w:r>
      <w:r>
        <w:rPr>
          <w:sz w:val="20"/>
          <w:szCs w:val="20"/>
          <w:color w:val="auto"/>
        </w:rPr>
        <w:tab/>
      </w:r>
      <w:r>
        <w:rPr>
          <w:rFonts w:ascii="Times New Roman" w:cs="Times New Roman" w:eastAsia="Times New Roman" w:hAnsi="Times New Roman"/>
          <w:sz w:val="20"/>
          <w:szCs w:val="20"/>
          <w:u w:val="single" w:color="auto"/>
          <w:color w:val="auto"/>
        </w:rPr>
        <w:t>No Advice Regarding Grant</w:t>
      </w:r>
      <w:r>
        <w:rPr>
          <w:rFonts w:ascii="Times New Roman" w:cs="Times New Roman" w:eastAsia="Times New Roman" w:hAnsi="Times New Roman"/>
          <w:sz w:val="20"/>
          <w:szCs w:val="20"/>
          <w:color w:val="auto"/>
        </w:rPr>
        <w:t>. The Company is not providing any tax, legal or financial advice, nor is the Company</w:t>
      </w:r>
    </w:p>
    <w:p>
      <w:pPr>
        <w:spacing w:after="0" w:line="215" w:lineRule="auto"/>
        <w:rPr>
          <w:sz w:val="20"/>
          <w:szCs w:val="20"/>
          <w:color w:val="auto"/>
        </w:rPr>
      </w:pPr>
      <w:r>
        <w:rPr>
          <w:rFonts w:ascii="Times New Roman" w:cs="Times New Roman" w:eastAsia="Times New Roman" w:hAnsi="Times New Roman"/>
          <w:sz w:val="19"/>
          <w:szCs w:val="19"/>
          <w:color w:val="auto"/>
        </w:rPr>
        <w:t>making any recommendations regarding Participant’s participation in the Plan, or my acquisition or sale of the underlying Shares. Participant should consult with Participant’s own personal tax, legal and financial advisors regarding Participant’s participation in the Plan before taking</w:t>
      </w:r>
    </w:p>
    <w:p>
      <w:pPr>
        <w:spacing w:after="0"/>
        <w:rPr>
          <w:sz w:val="20"/>
          <w:szCs w:val="20"/>
          <w:color w:val="auto"/>
        </w:rPr>
      </w:pPr>
      <w:r>
        <w:rPr>
          <w:rFonts w:ascii="Times New Roman" w:cs="Times New Roman" w:eastAsia="Times New Roman" w:hAnsi="Times New Roman"/>
          <w:sz w:val="20"/>
          <w:szCs w:val="20"/>
          <w:color w:val="auto"/>
        </w:rPr>
        <w:t>any action related to the Plan.</w:t>
      </w:r>
    </w:p>
    <w:p>
      <w:pPr>
        <w:spacing w:after="0" w:line="167"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0"/>
          <w:szCs w:val="20"/>
          <w:u w:val="single" w:color="auto"/>
          <w:color w:val="auto"/>
        </w:rPr>
        <w:t>Section 4.13 Entire Agreement</w:t>
      </w:r>
      <w:r>
        <w:rPr>
          <w:rFonts w:ascii="Times New Roman" w:cs="Times New Roman" w:eastAsia="Times New Roman" w:hAnsi="Times New Roman"/>
          <w:sz w:val="20"/>
          <w:szCs w:val="20"/>
          <w:color w:val="auto"/>
        </w:rPr>
        <w:t>. The Plan, the Grant Notice and this Agreement constitute the entire agreement of the parties and supersede in their entirety all prior undertakings and agreements of the Company and Participant with respect to the subject matter hereof.</w:t>
      </w:r>
    </w:p>
    <w:p>
      <w:pPr>
        <w:spacing w:after="0" w:line="15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u w:val="single" w:color="auto"/>
          <w:color w:val="auto"/>
        </w:rPr>
        <w:t>Section 4.14</w:t>
      </w:r>
      <w:r>
        <w:rPr>
          <w:sz w:val="20"/>
          <w:szCs w:val="20"/>
          <w:color w:val="auto"/>
        </w:rPr>
        <w:tab/>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This Award is not intended to constitute “nonqualified deferred compensation” within the meaning of</w:t>
      </w:r>
    </w:p>
    <w:p>
      <w:pPr>
        <w:spacing w:after="0" w:line="204" w:lineRule="auto"/>
        <w:rPr>
          <w:sz w:val="20"/>
          <w:szCs w:val="20"/>
          <w:color w:val="auto"/>
        </w:rPr>
      </w:pPr>
      <w:r>
        <w:rPr>
          <w:rFonts w:ascii="Times New Roman" w:cs="Times New Roman" w:eastAsia="Times New Roman" w:hAnsi="Times New Roman"/>
          <w:sz w:val="20"/>
          <w:szCs w:val="20"/>
          <w:color w:val="auto"/>
        </w:rPr>
        <w:t>Section 409A and shall be interpreted consistent with such intent. However, notwithstanding any other provision of the Plan, the Grant Notice or this Agreement, if at any time the Administrator determines that this Award (or any portion thereof) may be subject to Section</w:t>
      </w:r>
    </w:p>
    <w:p>
      <w:pPr>
        <w:spacing w:after="0" w:line="211" w:lineRule="auto"/>
        <w:rPr>
          <w:sz w:val="20"/>
          <w:szCs w:val="20"/>
          <w:color w:val="auto"/>
        </w:rPr>
      </w:pPr>
      <w:r>
        <w:rPr>
          <w:rFonts w:ascii="Times New Roman" w:cs="Times New Roman" w:eastAsia="Times New Roman" w:hAnsi="Times New Roman"/>
          <w:sz w:val="20"/>
          <w:szCs w:val="20"/>
          <w:color w:val="auto"/>
        </w:rPr>
        <w:t>409A, the Administrator shall have the right in its sole discretion (without any obligation to do so or to indemnify Participant or any other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Person for failure to do so) to adopt such amendments to the Plan, the Grant Notice or this Agreement, or adopt other policies and procedures (including amendments, policies and procedures with retroactive effect), or take any other actions, as the Administrator determines are</w:t>
      </w:r>
    </w:p>
    <w:p>
      <w:pPr>
        <w:spacing w:after="0" w:line="221" w:lineRule="auto"/>
        <w:rPr>
          <w:sz w:val="20"/>
          <w:szCs w:val="20"/>
          <w:color w:val="auto"/>
        </w:rPr>
      </w:pPr>
      <w:r>
        <w:rPr>
          <w:rFonts w:ascii="Times New Roman" w:cs="Times New Roman" w:eastAsia="Times New Roman" w:hAnsi="Times New Roman"/>
          <w:sz w:val="20"/>
          <w:szCs w:val="20"/>
          <w:color w:val="auto"/>
        </w:rPr>
        <w:t>necessary or appropriate for this Award either to be exempt from the application of Section 409A or to comply with the requirements of Section 409A.</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u w:val="single" w:color="auto"/>
          <w:color w:val="auto"/>
        </w:rPr>
        <w:t>Section 4.15</w:t>
      </w:r>
      <w:r>
        <w:rPr>
          <w:sz w:val="20"/>
          <w:szCs w:val="20"/>
          <w:color w:val="auto"/>
        </w:rPr>
        <w:tab/>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of the Grant Notice or this Agreement is held invalid or</w:t>
      </w:r>
    </w:p>
    <w:p>
      <w:pPr>
        <w:spacing w:after="0" w:line="221" w:lineRule="auto"/>
        <w:rPr>
          <w:sz w:val="20"/>
          <w:szCs w:val="20"/>
          <w:color w:val="auto"/>
        </w:rPr>
      </w:pPr>
      <w:r>
        <w:rPr>
          <w:rFonts w:ascii="Times New Roman" w:cs="Times New Roman" w:eastAsia="Times New Roman" w:hAnsi="Times New Roman"/>
          <w:sz w:val="20"/>
          <w:szCs w:val="20"/>
          <w:color w:val="auto"/>
        </w:rPr>
        <w:t>unenforceable, such provision will be severable from, and such invalidity or unenforceability will not be construed to have any effect on, the remaining provisions of the Grant Notice or this Agreement.</w:t>
      </w:r>
    </w:p>
    <w:p>
      <w:pPr>
        <w:spacing w:after="0" w:line="156"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u w:val="single" w:color="auto"/>
          <w:color w:val="auto"/>
        </w:rPr>
        <w:t>Section 4.16</w:t>
      </w:r>
      <w:r>
        <w:rPr>
          <w:sz w:val="20"/>
          <w:szCs w:val="20"/>
          <w:color w:val="auto"/>
        </w:rPr>
        <w:tab/>
      </w:r>
      <w:r>
        <w:rPr>
          <w:rFonts w:ascii="Times New Roman" w:cs="Times New Roman" w:eastAsia="Times New Roman" w:hAnsi="Times New Roman"/>
          <w:sz w:val="20"/>
          <w:szCs w:val="20"/>
          <w:u w:val="single" w:color="auto"/>
          <w:color w:val="auto"/>
        </w:rPr>
        <w:t>Limitation on Participant’s Rights</w:t>
      </w:r>
      <w:r>
        <w:rPr>
          <w:rFonts w:ascii="Times New Roman" w:cs="Times New Roman" w:eastAsia="Times New Roman" w:hAnsi="Times New Roman"/>
          <w:sz w:val="20"/>
          <w:szCs w:val="20"/>
          <w:color w:val="auto"/>
        </w:rPr>
        <w:t>. Participation in the Plan confers no rights or interests other than as herein</w:t>
      </w:r>
    </w:p>
    <w:p>
      <w:pPr>
        <w:spacing w:after="0" w:line="215" w:lineRule="auto"/>
        <w:rPr>
          <w:sz w:val="20"/>
          <w:szCs w:val="20"/>
          <w:color w:val="auto"/>
        </w:rPr>
      </w:pPr>
      <w:r>
        <w:rPr>
          <w:rFonts w:ascii="Times New Roman" w:cs="Times New Roman" w:eastAsia="Times New Roman" w:hAnsi="Times New Roman"/>
          <w:sz w:val="19"/>
          <w:szCs w:val="19"/>
          <w:color w:val="auto"/>
        </w:rPr>
        <w:t>provided. This Agreement creates only a contractual obligation on the part of the Company as to amounts payable and shall not be construed as creating a trust. Neither the Plan nor any underlying program, in and of itself, has any assets. Participant shall have only the rights of a</w:t>
      </w:r>
    </w:p>
    <w:p>
      <w:pPr>
        <w:spacing w:after="0"/>
        <w:rPr>
          <w:sz w:val="20"/>
          <w:szCs w:val="20"/>
          <w:color w:val="auto"/>
        </w:rPr>
      </w:pPr>
      <w:r>
        <w:rPr>
          <w:rFonts w:ascii="Times New Roman" w:cs="Times New Roman" w:eastAsia="Times New Roman" w:hAnsi="Times New Roman"/>
          <w:sz w:val="20"/>
          <w:szCs w:val="20"/>
          <w:color w:val="auto"/>
        </w:rPr>
        <w:t>general unsecured creditor of the Company with respect to amounts credited and benefits payable, if any, with respect to the RSUs.</w:t>
      </w:r>
    </w:p>
    <w:p>
      <w:pPr>
        <w:spacing w:after="0" w:line="16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u w:val="single" w:color="auto"/>
          <w:color w:val="auto"/>
        </w:rPr>
        <w:t>Section 4.17</w:t>
      </w:r>
      <w:r>
        <w:rPr>
          <w:sz w:val="20"/>
          <w:szCs w:val="20"/>
          <w:color w:val="auto"/>
        </w:rPr>
        <w:tab/>
      </w:r>
      <w:r>
        <w:rPr>
          <w:rFonts w:ascii="Times New Roman" w:cs="Times New Roman" w:eastAsia="Times New Roman" w:hAnsi="Times New Roman"/>
          <w:sz w:val="19"/>
          <w:szCs w:val="19"/>
          <w:u w:val="single" w:color="auto"/>
          <w:color w:val="auto"/>
        </w:rPr>
        <w:t>Nature of Grant</w:t>
      </w:r>
      <w:r>
        <w:rPr>
          <w:rFonts w:ascii="Times New Roman" w:cs="Times New Roman" w:eastAsia="Times New Roman" w:hAnsi="Times New Roman"/>
          <w:sz w:val="19"/>
          <w:szCs w:val="19"/>
          <w:color w:val="auto"/>
        </w:rPr>
        <w:t>. By accepting the RSUs, Participant acknowledges, understands and agrees that:</w:t>
      </w:r>
    </w:p>
    <w:p>
      <w:pPr>
        <w:spacing w:after="0" w:line="189" w:lineRule="exact"/>
        <w:rPr>
          <w:sz w:val="20"/>
          <w:szCs w:val="20"/>
          <w:color w:val="auto"/>
        </w:rPr>
      </w:pPr>
    </w:p>
    <w:p>
      <w:pPr>
        <w:ind w:firstLine="1142"/>
        <w:spacing w:after="0" w:line="283" w:lineRule="auto"/>
        <w:tabs>
          <w:tab w:leader="none" w:pos="193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59" w:lineRule="exact"/>
        <w:rPr>
          <w:rFonts w:ascii="Times New Roman" w:cs="Times New Roman" w:eastAsia="Times New Roman" w:hAnsi="Times New Roman"/>
          <w:sz w:val="20"/>
          <w:szCs w:val="20"/>
          <w:color w:val="auto"/>
        </w:rPr>
      </w:pPr>
    </w:p>
    <w:p>
      <w:pPr>
        <w:ind w:firstLine="1142"/>
        <w:spacing w:after="0" w:line="269" w:lineRule="auto"/>
        <w:tabs>
          <w:tab w:leader="none" w:pos="1932"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the RSUs is exceptional, voluntary and occasional and does not create any contractual or other right to receive future grants of RSUs, or benefits in lieu of RSUs, even if RSUs have been granted in the past;</w:t>
      </w:r>
    </w:p>
    <w:p>
      <w:pPr>
        <w:spacing w:after="0" w:line="172" w:lineRule="exact"/>
        <w:rPr>
          <w:rFonts w:ascii="Times New Roman" w:cs="Times New Roman" w:eastAsia="Times New Roman" w:hAnsi="Times New Roman"/>
          <w:sz w:val="20"/>
          <w:szCs w:val="20"/>
          <w:color w:val="auto"/>
        </w:rPr>
      </w:pPr>
    </w:p>
    <w:p>
      <w:pPr>
        <w:ind w:left="1940" w:hanging="798"/>
        <w:spacing w:after="0"/>
        <w:tabs>
          <w:tab w:leader="none" w:pos="19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RSU or other grants, if any, will be at the sole discretion of the Company;</w:t>
      </w:r>
    </w:p>
    <w:p>
      <w:pPr>
        <w:sectPr>
          <w:pgSz w:w="11900" w:h="16838" w:orient="portrait"/>
          <w:cols w:equalWidth="0" w:num="1">
            <w:col w:w="11240"/>
          </w:cols>
          <w:pgMar w:left="320" w:top="1394" w:right="339" w:bottom="1440" w:gutter="0" w:footer="0" w:header="0"/>
        </w:sectPr>
      </w:pPr>
    </w:p>
    <w:bookmarkStart w:id="124" w:name="page125"/>
    <w:bookmarkEnd w:id="124"/>
    <w:p>
      <w:pPr>
        <w:ind w:left="1940" w:hanging="798"/>
        <w:spacing w:after="0"/>
        <w:tabs>
          <w:tab w:leader="none" w:pos="19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voluntarily participating in the Plan;</w:t>
      </w:r>
    </w:p>
    <w:p>
      <w:pPr>
        <w:spacing w:after="0" w:line="229" w:lineRule="exact"/>
        <w:rPr>
          <w:rFonts w:ascii="Times New Roman" w:cs="Times New Roman" w:eastAsia="Times New Roman" w:hAnsi="Times New Roman"/>
          <w:sz w:val="20"/>
          <w:szCs w:val="20"/>
          <w:color w:val="auto"/>
        </w:rPr>
      </w:pPr>
    </w:p>
    <w:p>
      <w:pPr>
        <w:ind w:firstLine="1142"/>
        <w:spacing w:after="0" w:line="269" w:lineRule="auto"/>
        <w:tabs>
          <w:tab w:leader="none" w:pos="193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RSUs, any Shares acquired under the Plan, and the income from and value of same are not intended to replace any pension rights or compensation;</w:t>
      </w:r>
    </w:p>
    <w:p>
      <w:pPr>
        <w:spacing w:after="0" w:line="172" w:lineRule="exact"/>
        <w:rPr>
          <w:rFonts w:ascii="Times New Roman" w:cs="Times New Roman" w:eastAsia="Times New Roman" w:hAnsi="Times New Roman"/>
          <w:sz w:val="20"/>
          <w:szCs w:val="20"/>
          <w:color w:val="auto"/>
        </w:rPr>
      </w:pPr>
    </w:p>
    <w:p>
      <w:pPr>
        <w:jc w:val="both"/>
        <w:ind w:firstLine="1142"/>
        <w:spacing w:after="0" w:line="258" w:lineRule="auto"/>
        <w:tabs>
          <w:tab w:leader="none" w:pos="1939"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RSUs, any Shares acquired under the Plan, and the income from and value of same, are not part of normal or expected compensation for purposes of, including but not limited to, calculating any severance, resignation, termination, redundancy, dismissal, end-of-service payments, bonuses, long-service awards, holiday pay, pension or retirement or welfare benefits or similar mandatory payments;</w:t>
      </w:r>
    </w:p>
    <w:p>
      <w:pPr>
        <w:spacing w:after="0" w:line="172" w:lineRule="exact"/>
        <w:rPr>
          <w:rFonts w:ascii="Times New Roman" w:cs="Times New Roman" w:eastAsia="Times New Roman" w:hAnsi="Times New Roman"/>
          <w:sz w:val="20"/>
          <w:szCs w:val="20"/>
          <w:color w:val="auto"/>
        </w:rPr>
      </w:pPr>
    </w:p>
    <w:p>
      <w:pPr>
        <w:ind w:left="1940" w:hanging="798"/>
        <w:spacing w:after="0"/>
        <w:tabs>
          <w:tab w:leader="none" w:pos="19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Shares underlying the RSUs is unknown, indeterminable, and cannot be predicted with</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certainty;</w:t>
      </w:r>
    </w:p>
    <w:p>
      <w:pPr>
        <w:spacing w:after="0" w:line="200" w:lineRule="exact"/>
        <w:rPr>
          <w:rFonts w:ascii="Times New Roman" w:cs="Times New Roman" w:eastAsia="Times New Roman" w:hAnsi="Times New Roman"/>
          <w:sz w:val="20"/>
          <w:szCs w:val="20"/>
          <w:color w:val="auto"/>
        </w:rPr>
      </w:pPr>
    </w:p>
    <w:p>
      <w:pPr>
        <w:jc w:val="both"/>
        <w:ind w:firstLine="1142"/>
        <w:spacing w:after="0" w:line="268" w:lineRule="auto"/>
        <w:tabs>
          <w:tab w:leader="none" w:pos="1932"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or entitlement to compensation or damages shall arise from forfeiture of the RSUs resulting from Participant’s Termination of Service (for any reason whatsoever, whether or not later found to be invalid or in breach of employment laws in the jurisdiction where Participant is a service provider or the terms of Participant’s employment or service agreement, if any);</w:t>
      </w:r>
    </w:p>
    <w:p>
      <w:pPr>
        <w:spacing w:after="0" w:line="161" w:lineRule="exact"/>
        <w:rPr>
          <w:rFonts w:ascii="Times New Roman" w:cs="Times New Roman" w:eastAsia="Times New Roman" w:hAnsi="Times New Roman"/>
          <w:sz w:val="20"/>
          <w:szCs w:val="20"/>
          <w:color w:val="auto"/>
        </w:rPr>
      </w:pPr>
    </w:p>
    <w:p>
      <w:pPr>
        <w:jc w:val="both"/>
        <w:ind w:firstLine="1142"/>
        <w:spacing w:after="0" w:line="261" w:lineRule="auto"/>
        <w:tabs>
          <w:tab w:leader="none" w:pos="1942"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agreed with the Company in writing, the RSUs, any Shares acquired under the Plan, and the income from and value of same, are not granted as consideration for, or in connection with the service Participant may provide as a director of any Participating Company; and</w:t>
      </w:r>
    </w:p>
    <w:p>
      <w:pPr>
        <w:spacing w:after="0" w:line="181" w:lineRule="exact"/>
        <w:rPr>
          <w:rFonts w:ascii="Times New Roman" w:cs="Times New Roman" w:eastAsia="Times New Roman" w:hAnsi="Times New Roman"/>
          <w:sz w:val="20"/>
          <w:szCs w:val="20"/>
          <w:color w:val="auto"/>
        </w:rPr>
      </w:pPr>
    </w:p>
    <w:p>
      <w:pPr>
        <w:jc w:val="both"/>
        <w:ind w:firstLine="1142"/>
        <w:spacing w:after="0" w:line="261" w:lineRule="auto"/>
        <w:tabs>
          <w:tab w:leader="none" w:pos="1942"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the Participating Company shall be liable for any foreign exchange rate fluctuation between Participant’s local currency and the United States Dollar that may affect the value of the RSUs or of any amounts due to Participant pursuant to the vesting of the RSUs or the subsequent sale of any Shares acquired upon vesting.</w:t>
      </w:r>
    </w:p>
    <w:p>
      <w:pPr>
        <w:spacing w:after="0" w:line="168"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u w:val="single" w:color="auto"/>
          <w:color w:val="auto"/>
        </w:rPr>
        <w:t>Section 4.18 Data Privacy</w:t>
      </w:r>
      <w:r>
        <w:rPr>
          <w:rFonts w:ascii="Times New Roman" w:cs="Times New Roman" w:eastAsia="Times New Roman" w:hAnsi="Times New Roman"/>
          <w:sz w:val="20"/>
          <w:szCs w:val="20"/>
          <w:color w:val="auto"/>
          <w:highlight w:val="white"/>
        </w:rPr>
        <w:t>.</w:t>
      </w:r>
      <w:r>
        <w:rPr>
          <w:rFonts w:ascii="Times New Roman" w:cs="Times New Roman" w:eastAsia="Times New Roman" w:hAnsi="Times New Roman"/>
          <w:sz w:val="20"/>
          <w:szCs w:val="20"/>
          <w:color w:val="auto"/>
        </w:rPr>
        <w:t xml:space="preserve"> By accepting the RSUs and indicating consent via the Company’s acceptance procedure, Participant is declaring that he or she agrees with the data processing practices described herein and consents to the collection, processing and use of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-246380</wp:posOffset>
            </wp:positionV>
            <wp:extent cx="840105"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2">
                      <a:extLst>
                        <a:ext uri="{28A0092B-C50C-407E-A947-70E740481C1C}"/>
                      </a:extLst>
                    </a:blip>
                    <a:srcRect/>
                    <a:stretch>
                      <a:fillRect/>
                    </a:stretch>
                  </pic:blipFill>
                  <pic:spPr bwMode="auto">
                    <a:xfrm>
                      <a:off x="0" y="0"/>
                      <a:ext cx="840105" cy="137160"/>
                    </a:xfrm>
                    <a:prstGeom prst="rect">
                      <a:avLst/>
                    </a:prstGeom>
                    <a:noFill/>
                  </pic:spPr>
                </pic:pic>
              </a:graphicData>
            </a:graphic>
          </wp:anchor>
        </w:drawing>
      </w:r>
    </w:p>
    <w:p>
      <w:pPr>
        <w:spacing w:after="0" w:line="212" w:lineRule="auto"/>
        <w:rPr>
          <w:sz w:val="20"/>
          <w:szCs w:val="20"/>
          <w:color w:val="auto"/>
        </w:rPr>
      </w:pPr>
      <w:r>
        <w:rPr>
          <w:rFonts w:ascii="Times New Roman" w:cs="Times New Roman" w:eastAsia="Times New Roman" w:hAnsi="Times New Roman"/>
          <w:sz w:val="20"/>
          <w:szCs w:val="20"/>
          <w:color w:val="auto"/>
        </w:rPr>
        <w:t>(as defined below) by the Company and the transfer of Data to the recipients mentioned herein, including recipients located in countries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which do not adduce an adequate level of protection from a European (or other non-U.S.) data protection law perspective, for the purposes described herein.</w:t>
      </w:r>
    </w:p>
    <w:p>
      <w:pPr>
        <w:spacing w:after="0" w:line="175" w:lineRule="exact"/>
        <w:rPr>
          <w:sz w:val="20"/>
          <w:szCs w:val="20"/>
          <w:color w:val="auto"/>
        </w:rPr>
      </w:pPr>
    </w:p>
    <w:p>
      <w:pPr>
        <w:jc w:val="both"/>
        <w:ind w:firstLine="1142"/>
        <w:spacing w:after="0" w:line="253" w:lineRule="auto"/>
        <w:tabs>
          <w:tab w:leader="none" w:pos="193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Data Collection and Usage</w:t>
      </w:r>
      <w:r>
        <w:rPr>
          <w:rFonts w:ascii="Times New Roman" w:cs="Times New Roman" w:eastAsia="Times New Roman" w:hAnsi="Times New Roman"/>
          <w:sz w:val="20"/>
          <w:szCs w:val="20"/>
          <w:color w:val="auto"/>
        </w:rPr>
        <w:t>. The Company and the Participating Company may collect, process and use certain personal information about Participant, including, but not limited to, Participant’s name, home address and telephone number, email address, date of birth, social insurance number, passport number or other identification number, salary, nationality, job title, any shares of stock or directorships held in the Company, details of all RSUs or any other entitlement to Shares or equivalent benefits awarded, canceled, exercised, vested, unvested or outstanding in Participant’s favor (“</w:t>
      </w:r>
      <w:r>
        <w:rPr>
          <w:rFonts w:ascii="Times New Roman" w:cs="Times New Roman" w:eastAsia="Times New Roman" w:hAnsi="Times New Roman"/>
          <w:sz w:val="20"/>
          <w:szCs w:val="20"/>
          <w:u w:val="single" w:color="auto"/>
          <w:color w:val="auto"/>
        </w:rPr>
        <w:t>Data</w:t>
      </w:r>
      <w:r>
        <w:rPr>
          <w:rFonts w:ascii="Times New Roman" w:cs="Times New Roman" w:eastAsia="Times New Roman" w:hAnsi="Times New Roman"/>
          <w:sz w:val="20"/>
          <w:szCs w:val="20"/>
          <w:color w:val="auto"/>
        </w:rPr>
        <w:t>”), for the purposes of implementing, administering and managing the Plan. The legal basis, where required, for the processing of Data is Participant’s consent.</w:t>
      </w:r>
    </w:p>
    <w:p>
      <w:pPr>
        <w:spacing w:after="0" w:line="192" w:lineRule="exact"/>
        <w:rPr>
          <w:rFonts w:ascii="Times New Roman" w:cs="Times New Roman" w:eastAsia="Times New Roman" w:hAnsi="Times New Roman"/>
          <w:sz w:val="20"/>
          <w:szCs w:val="20"/>
          <w:color w:val="auto"/>
        </w:rPr>
      </w:pPr>
    </w:p>
    <w:p>
      <w:pPr>
        <w:jc w:val="both"/>
        <w:ind w:firstLine="1142"/>
        <w:spacing w:after="0" w:line="253" w:lineRule="auto"/>
        <w:tabs>
          <w:tab w:leader="none" w:pos="193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Plan Administration Service Providers</w:t>
      </w:r>
      <w:r>
        <w:rPr>
          <w:rFonts w:ascii="Times New Roman" w:cs="Times New Roman" w:eastAsia="Times New Roman" w:hAnsi="Times New Roman"/>
          <w:sz w:val="20"/>
          <w:szCs w:val="20"/>
          <w:color w:val="auto"/>
        </w:rPr>
        <w:t>. Participant understands that Data may be transferred to an escrow agent, transfer agent, trustee, broker (i.e. E*Trade) or such stock plan service provider or other third party selected by the Company to assist the Company with the implementation, administration and management of the Plan, presently or in the future. The Company may select a different service provider or additional service providers and share Data with such other provider serving in a similar manner. Participant may be asked to agree on separate terms and data</w:t>
      </w:r>
    </w:p>
    <w:p>
      <w:pPr>
        <w:sectPr>
          <w:pgSz w:w="11900" w:h="16838" w:orient="portrait"/>
          <w:cols w:equalWidth="0" w:num="1">
            <w:col w:w="11240"/>
          </w:cols>
          <w:pgMar w:left="320" w:top="1413"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0"/>
          <w:szCs w:val="20"/>
          <w:color w:val="auto"/>
        </w:rPr>
        <w:t>processing practices with the service provider, with such agreement being a condition to the ability to participate in the Plan.</w:t>
      </w:r>
    </w:p>
    <w:p>
      <w:pPr>
        <w:spacing w:after="0" w:line="229" w:lineRule="exact"/>
        <w:rPr>
          <w:sz w:val="20"/>
          <w:szCs w:val="20"/>
          <w:color w:val="auto"/>
        </w:rPr>
      </w:pPr>
    </w:p>
    <w:p>
      <w:pPr>
        <w:jc w:val="both"/>
        <w:ind w:firstLine="1142"/>
        <w:spacing w:after="0" w:line="261" w:lineRule="auto"/>
        <w:tabs>
          <w:tab w:leader="none" w:pos="193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International Data Transfers</w:t>
      </w:r>
      <w:r>
        <w:rPr>
          <w:rFonts w:ascii="Times New Roman" w:cs="Times New Roman" w:eastAsia="Times New Roman" w:hAnsi="Times New Roman"/>
          <w:sz w:val="20"/>
          <w:szCs w:val="20"/>
          <w:color w:val="auto"/>
        </w:rPr>
        <w:t>. The Company and its service providers are based in the United States. Participant’s country or jurisdiction may have different data privacy laws and protections than the United States. The Company’s legal basis, where required, for the transfer of Data is Participant’s consent.</w:t>
      </w:r>
    </w:p>
    <w:p>
      <w:pPr>
        <w:spacing w:after="0" w:line="167" w:lineRule="exact"/>
        <w:rPr>
          <w:rFonts w:ascii="Times New Roman" w:cs="Times New Roman" w:eastAsia="Times New Roman" w:hAnsi="Times New Roman"/>
          <w:sz w:val="20"/>
          <w:szCs w:val="20"/>
          <w:color w:val="auto"/>
        </w:rPr>
      </w:pPr>
    </w:p>
    <w:p>
      <w:pPr>
        <w:jc w:val="both"/>
        <w:ind w:firstLine="1142"/>
        <w:spacing w:after="0" w:line="268" w:lineRule="auto"/>
        <w:tabs>
          <w:tab w:leader="none" w:pos="1932"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Data Retention</w:t>
      </w:r>
      <w:r>
        <w:rPr>
          <w:rFonts w:ascii="Times New Roman" w:cs="Times New Roman" w:eastAsia="Times New Roman" w:hAnsi="Times New Roman"/>
          <w:sz w:val="20"/>
          <w:szCs w:val="20"/>
          <w:color w:val="auto"/>
        </w:rPr>
        <w:t>. The Company will hold and use the Data only as long as is necessary to implement, administer and manage Participant’s participation in the Plan, or as required to comply with legal or regulatory obligations, including under tax and security laws.</w:t>
      </w:r>
    </w:p>
    <w:p>
      <w:pPr>
        <w:spacing w:after="0" w:line="161" w:lineRule="exact"/>
        <w:rPr>
          <w:rFonts w:ascii="Times New Roman" w:cs="Times New Roman" w:eastAsia="Times New Roman" w:hAnsi="Times New Roman"/>
          <w:sz w:val="20"/>
          <w:szCs w:val="20"/>
          <w:color w:val="auto"/>
        </w:rPr>
      </w:pPr>
    </w:p>
    <w:p>
      <w:pPr>
        <w:jc w:val="both"/>
        <w:ind w:firstLine="1142"/>
        <w:spacing w:after="0" w:line="257" w:lineRule="auto"/>
        <w:tabs>
          <w:tab w:leader="none" w:pos="193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Voluntariness and Consequences of Consent Denial or Withdrawal</w:t>
      </w:r>
      <w:r>
        <w:rPr>
          <w:rFonts w:ascii="Times New Roman" w:cs="Times New Roman" w:eastAsia="Times New Roman" w:hAnsi="Times New Roman"/>
          <w:sz w:val="20"/>
          <w:szCs w:val="20"/>
          <w:color w:val="auto"/>
        </w:rPr>
        <w:t>. Participation in the Plan is voluntary and Participant is providing the consents herein on a purely voluntary basis. If Participant does not consent, or if Participant later seeks to revoke Participant’s consent, Participant’s salary from or employment and career with the Participating Company will not be affected; the only consequence of refusing or withdrawing Participant’s consent is that the Company would not be able to grant these RSUs or other equity awards to Participant or administer or maintain such awards.</w:t>
      </w:r>
    </w:p>
    <w:p>
      <w:pPr>
        <w:spacing w:after="0" w:line="172" w:lineRule="exact"/>
        <w:rPr>
          <w:rFonts w:ascii="Times New Roman" w:cs="Times New Roman" w:eastAsia="Times New Roman" w:hAnsi="Times New Roman"/>
          <w:sz w:val="20"/>
          <w:szCs w:val="20"/>
          <w:color w:val="auto"/>
        </w:rPr>
      </w:pPr>
    </w:p>
    <w:p>
      <w:pPr>
        <w:jc w:val="both"/>
        <w:ind w:firstLine="1142"/>
        <w:spacing w:after="0" w:line="253" w:lineRule="auto"/>
        <w:tabs>
          <w:tab w:leader="none" w:pos="1939"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Data Subject Rights</w:t>
      </w:r>
      <w:r>
        <w:rPr>
          <w:rFonts w:ascii="Times New Roman" w:cs="Times New Roman" w:eastAsia="Times New Roman" w:hAnsi="Times New Roman"/>
          <w:sz w:val="20"/>
          <w:szCs w:val="20"/>
          <w:color w:val="auto"/>
        </w:rPr>
        <w:t>. Participant may have a number of rights under data privacy laws in Participant’s jurisdiction. Depending on where Participant is based, such rights may include the right to (i) request access or copies of Data the Company processes, (ii) request rectification of incorrect Data, (iii) delete Data, (iv) restrict processing of Data, (v) portability of Data, (vi) lodge complaints with competent authorities in Participant’s jurisdiction, and/or (vii) receive a list with the names and addresses of any potential recipients of Data. To receive clarification regarding these rights or to exercise these rights, Participant can contact Participant’s local human resources representative.</w:t>
      </w:r>
    </w:p>
    <w:p>
      <w:pPr>
        <w:spacing w:after="0" w:line="192" w:lineRule="exact"/>
        <w:rPr>
          <w:rFonts w:ascii="Times New Roman" w:cs="Times New Roman" w:eastAsia="Times New Roman" w:hAnsi="Times New Roman"/>
          <w:sz w:val="20"/>
          <w:szCs w:val="20"/>
          <w:color w:val="auto"/>
        </w:rPr>
      </w:pPr>
    </w:p>
    <w:p>
      <w:pPr>
        <w:jc w:val="both"/>
        <w:ind w:firstLine="1142"/>
        <w:spacing w:after="0" w:line="251" w:lineRule="auto"/>
        <w:tabs>
          <w:tab w:leader="none" w:pos="1932"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Alternate Basis and Additional Consents</w:t>
      </w:r>
      <w:r>
        <w:rPr>
          <w:rFonts w:ascii="Times New Roman" w:cs="Times New Roman" w:eastAsia="Times New Roman" w:hAnsi="Times New Roman"/>
          <w:sz w:val="20"/>
          <w:szCs w:val="20"/>
          <w:color w:val="auto"/>
        </w:rPr>
        <w:t>. Finally, Participant understands that the Company may rely on a different basis for the processing or transfer of Data in the future and/or request that Participant provide another data privacy consent. If applicable, Participant agrees that upon request of the Company or the Participating Company, Participant will provide an executed acknowledgment or data privacy consent form (or any other agreements or consents) that the Company and/or the Participating Company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Participating Company</w:t>
      </w:r>
      <w:r>
        <w:rPr>
          <w:rFonts w:ascii="Times New Roman" w:cs="Times New Roman" w:eastAsia="Times New Roman" w:hAnsi="Times New Roman"/>
          <w:sz w:val="20"/>
          <w:szCs w:val="20"/>
          <w:b w:val="1"/>
          <w:bCs w:val="1"/>
          <w:i w:val="1"/>
          <w:iCs w:val="1"/>
          <w:color w:val="auto"/>
        </w:rPr>
        <w:t>.</w:t>
      </w:r>
    </w:p>
    <w:p>
      <w:pPr>
        <w:spacing w:after="0" w:line="17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u w:val="single" w:color="auto"/>
          <w:color w:val="auto"/>
        </w:rPr>
        <w:t>Section 4.19</w:t>
      </w:r>
      <w:r>
        <w:rPr>
          <w:sz w:val="20"/>
          <w:szCs w:val="20"/>
          <w:color w:val="auto"/>
        </w:rPr>
        <w:tab/>
      </w:r>
      <w:r>
        <w:rPr>
          <w:rFonts w:ascii="Times New Roman" w:cs="Times New Roman" w:eastAsia="Times New Roman" w:hAnsi="Times New Roman"/>
          <w:sz w:val="20"/>
          <w:szCs w:val="20"/>
          <w:u w:val="single" w:color="auto"/>
          <w:color w:val="auto"/>
        </w:rPr>
        <w:t>Language</w:t>
      </w:r>
      <w:r>
        <w:rPr>
          <w:rFonts w:ascii="Times New Roman" w:cs="Times New Roman" w:eastAsia="Times New Roman" w:hAnsi="Times New Roman"/>
          <w:sz w:val="20"/>
          <w:szCs w:val="20"/>
          <w:color w:val="auto"/>
          <w:highlight w:val="white"/>
        </w:rPr>
        <w:t>. Participant acknowledges that he or she is proficient in the English language, or has consulted with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23430" cy="3860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3">
                      <a:extLst>
                        <a:ext uri="{28A0092B-C50C-407E-A947-70E740481C1C}"/>
                      </a:extLst>
                    </a:blip>
                    <a:srcRect/>
                    <a:stretch>
                      <a:fillRect/>
                    </a:stretch>
                  </pic:blipFill>
                  <pic:spPr bwMode="auto">
                    <a:xfrm>
                      <a:off x="0" y="0"/>
                      <a:ext cx="7123430" cy="386080"/>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20"/>
          <w:szCs w:val="20"/>
          <w:color w:val="auto"/>
        </w:rPr>
        <w:t>advisor who is proficient in the English language, so as to enable Participant to understand the provisions of this Agreement and the Plan. If Participant has received this Agreement or any other document related to the Plan translated into a language other than English and if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highlight w:val="white"/>
        </w:rPr>
        <w:t>meaning of the translated version is different than the English version, the English version will control.</w:t>
      </w:r>
    </w:p>
    <w:p>
      <w:pPr>
        <w:spacing w:after="0" w:line="153"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u w:val="single" w:color="auto"/>
          <w:color w:val="auto"/>
        </w:rPr>
        <w:t>Section 4.20 Electronic Delivery and Participation</w:t>
      </w:r>
      <w:r>
        <w:rPr>
          <w:rFonts w:ascii="Times New Roman" w:cs="Times New Roman" w:eastAsia="Times New Roman" w:hAnsi="Times New Roman"/>
          <w:sz w:val="19"/>
          <w:szCs w:val="19"/>
          <w:color w:val="auto"/>
        </w:rPr>
        <w:t>. The Company may, in its sole discretion, decide to deliver any documents related to current or future participation in the Plan by electronic means. Participant hereby consents to receive such documents by electronic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3943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4">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221" w:lineRule="auto"/>
        <w:rPr>
          <w:sz w:val="20"/>
          <w:szCs w:val="20"/>
          <w:color w:val="auto"/>
        </w:rPr>
      </w:pPr>
      <w:r>
        <w:rPr>
          <w:rFonts w:ascii="Times New Roman" w:cs="Times New Roman" w:eastAsia="Times New Roman" w:hAnsi="Times New Roman"/>
          <w:sz w:val="20"/>
          <w:szCs w:val="20"/>
          <w:color w:val="auto"/>
        </w:rPr>
        <w:t xml:space="preserve">delivery and agrees to participate in the Plan through an online or electronic system established and maintained by the Company or a third </w:t>
      </w:r>
      <w:r>
        <w:rPr>
          <w:rFonts w:ascii="Times New Roman" w:cs="Times New Roman" w:eastAsia="Times New Roman" w:hAnsi="Times New Roman"/>
          <w:sz w:val="20"/>
          <w:szCs w:val="20"/>
          <w:color w:val="auto"/>
          <w:highlight w:val="white"/>
        </w:rPr>
        <w:t>party designated by the Company.</w:t>
      </w:r>
    </w:p>
    <w:p>
      <w:pPr>
        <w:sectPr>
          <w:pgSz w:w="11900" w:h="16838" w:orient="portrait"/>
          <w:cols w:equalWidth="0" w:num="1">
            <w:col w:w="11240"/>
          </w:cols>
          <w:pgMar w:left="320" w:top="1413" w:right="339" w:bottom="1440" w:gutter="0" w:footer="0" w:header="0"/>
        </w:sectPr>
      </w:pPr>
    </w:p>
    <w:bookmarkStart w:id="126" w:name="page127"/>
    <w:bookmarkEnd w:id="126"/>
    <w:p>
      <w:pPr>
        <w:ind w:left="660"/>
        <w:spacing w:after="0"/>
        <w:tabs>
          <w:tab w:leader="none" w:pos="1960" w:val="left"/>
        </w:tabs>
        <w:rPr>
          <w:sz w:val="20"/>
          <w:szCs w:val="20"/>
          <w:color w:val="auto"/>
        </w:rPr>
      </w:pPr>
      <w:r>
        <w:rPr>
          <w:rFonts w:ascii="Times New Roman" w:cs="Times New Roman" w:eastAsia="Times New Roman" w:hAnsi="Times New Roman"/>
          <w:sz w:val="20"/>
          <w:szCs w:val="20"/>
          <w:u w:val="single" w:color="auto"/>
          <w:color w:val="auto"/>
        </w:rPr>
        <w:t>Section 4.21</w:t>
      </w:r>
      <w:r>
        <w:rPr>
          <w:sz w:val="20"/>
          <w:szCs w:val="20"/>
          <w:color w:val="auto"/>
        </w:rPr>
        <w:tab/>
      </w:r>
      <w:r>
        <w:rPr>
          <w:rFonts w:ascii="Times New Roman" w:cs="Times New Roman" w:eastAsia="Times New Roman" w:hAnsi="Times New Roman"/>
          <w:sz w:val="20"/>
          <w:szCs w:val="20"/>
          <w:u w:val="single" w:color="auto"/>
          <w:color w:val="auto"/>
        </w:rPr>
        <w:t>Country-Specific Provisions</w:t>
      </w:r>
      <w:r>
        <w:rPr>
          <w:rFonts w:ascii="Times New Roman" w:cs="Times New Roman" w:eastAsia="Times New Roman" w:hAnsi="Times New Roman"/>
          <w:sz w:val="20"/>
          <w:szCs w:val="20"/>
          <w:color w:val="auto"/>
        </w:rPr>
        <w:t>. Participant’s participation in the Plan shall be subject to any special terms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-127635</wp:posOffset>
            </wp:positionV>
            <wp:extent cx="164592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5">
                      <a:extLst>
                        <a:ext uri="{28A0092B-C50C-407E-A947-70E740481C1C}"/>
                      </a:extLst>
                    </a:blip>
                    <a:srcRect/>
                    <a:stretch>
                      <a:fillRect/>
                    </a:stretch>
                  </pic:blipFill>
                  <pic:spPr bwMode="auto">
                    <a:xfrm>
                      <a:off x="0" y="0"/>
                      <a:ext cx="1645920" cy="137160"/>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20"/>
          <w:szCs w:val="20"/>
          <w:color w:val="auto"/>
          <w:highlight w:val="white"/>
        </w:rPr>
        <w:t xml:space="preserve">conditions set forth in the </w:t>
      </w:r>
      <w:r>
        <w:rPr>
          <w:rFonts w:ascii="Times New Roman" w:cs="Times New Roman" w:eastAsia="Times New Roman" w:hAnsi="Times New Roman"/>
          <w:sz w:val="20"/>
          <w:szCs w:val="20"/>
          <w:color w:val="auto"/>
        </w:rPr>
        <w:t>Country-Specific Provisions for Non-U.S. Participants attached hereto as Exhibit B. Moreover, if Participant</w:t>
      </w:r>
      <w:r>
        <w:rPr>
          <w:rFonts w:ascii="Times New Roman" w:cs="Times New Roman" w:eastAsia="Times New Roman" w:hAnsi="Times New Roman"/>
          <w:sz w:val="20"/>
          <w:szCs w:val="20"/>
          <w:color w:val="auto"/>
          <w:highlight w:val="white"/>
        </w:rPr>
        <w:t xml:space="preserve"> </w:t>
      </w:r>
      <w:r>
        <w:rPr>
          <w:rFonts w:ascii="Times New Roman" w:cs="Times New Roman" w:eastAsia="Times New Roman" w:hAnsi="Times New Roman"/>
          <w:sz w:val="20"/>
          <w:szCs w:val="20"/>
          <w:color w:val="auto"/>
        </w:rPr>
        <w:t>relocates to one of the countries included in Exhibit B, the special terms and conditions for such country will apply to Participant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2654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23" w:lineRule="auto"/>
        <w:rPr>
          <w:sz w:val="20"/>
          <w:szCs w:val="20"/>
          <w:color w:val="auto"/>
        </w:rPr>
      </w:pPr>
      <w:r>
        <w:rPr>
          <w:rFonts w:ascii="Times New Roman" w:cs="Times New Roman" w:eastAsia="Times New Roman" w:hAnsi="Times New Roman"/>
          <w:sz w:val="19"/>
          <w:szCs w:val="19"/>
          <w:color w:val="auto"/>
        </w:rPr>
        <w:t>extent the Company determines that the application of such terms and conditions is necessary or advisable for legal or administrative reasons.</w:t>
      </w:r>
    </w:p>
    <w:p>
      <w:pPr>
        <w:spacing w:after="0"/>
        <w:rPr>
          <w:sz w:val="20"/>
          <w:szCs w:val="20"/>
          <w:color w:val="auto"/>
        </w:rPr>
      </w:pPr>
      <w:r>
        <w:rPr>
          <w:rFonts w:ascii="Times New Roman" w:cs="Times New Roman" w:eastAsia="Times New Roman" w:hAnsi="Times New Roman"/>
          <w:sz w:val="20"/>
          <w:szCs w:val="20"/>
          <w:color w:val="auto"/>
          <w:highlight w:val="white"/>
        </w:rPr>
        <w:t>Exhibit B constitutes part of this Agreement.</w:t>
      </w:r>
    </w:p>
    <w:p>
      <w:pPr>
        <w:spacing w:after="0" w:line="153"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u w:val="single" w:color="auto"/>
          <w:color w:val="auto"/>
        </w:rPr>
        <w:t>Section 4.22 Imposition of Other Requirements</w:t>
      </w:r>
      <w:r>
        <w:rPr>
          <w:rFonts w:ascii="Times New Roman" w:cs="Times New Roman" w:eastAsia="Times New Roman" w:hAnsi="Times New Roman"/>
          <w:sz w:val="20"/>
          <w:szCs w:val="20"/>
          <w:color w:val="auto"/>
        </w:rPr>
        <w:t>. The Company reserves the right to impose other requirements on Participant’s participation in the Plan, on any RSUs granted under the Plan and on any Shares acquired under the Plan, to the extent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23430" cy="3943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7">
                      <a:extLst>
                        <a:ext uri="{28A0092B-C50C-407E-A947-70E740481C1C}"/>
                      </a:extLst>
                    </a:blip>
                    <a:srcRect/>
                    <a:stretch>
                      <a:fillRect/>
                    </a:stretch>
                  </pic:blipFill>
                  <pic:spPr bwMode="auto">
                    <a:xfrm>
                      <a:off x="0" y="0"/>
                      <a:ext cx="7123430" cy="394335"/>
                    </a:xfrm>
                    <a:prstGeom prst="rect">
                      <a:avLst/>
                    </a:prstGeom>
                    <a:noFill/>
                  </pic:spPr>
                </pic:pic>
              </a:graphicData>
            </a:graphic>
          </wp:anchor>
        </w:drawing>
      </w: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determines it is necessary or advisable for legal or administrative reasons, and to require Participant to sign any additional agreements, </w:t>
      </w:r>
      <w:r>
        <w:rPr>
          <w:rFonts w:ascii="Times New Roman" w:cs="Times New Roman" w:eastAsia="Times New Roman" w:hAnsi="Times New Roman"/>
          <w:sz w:val="20"/>
          <w:szCs w:val="20"/>
          <w:color w:val="auto"/>
          <w:highlight w:val="white"/>
        </w:rPr>
        <w:t>consents, authorizations or undertakings that may be necessary to accomplish the foregoing.</w:t>
      </w:r>
    </w:p>
    <w:p>
      <w:pPr>
        <w:spacing w:after="0" w:line="15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u w:val="single" w:color="auto"/>
          <w:color w:val="auto"/>
        </w:rPr>
        <w:t>Section 4.23</w:t>
      </w:r>
      <w:r>
        <w:rPr>
          <w:sz w:val="20"/>
          <w:szCs w:val="20"/>
          <w:color w:val="auto"/>
        </w:rPr>
        <w:tab/>
      </w: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highlight w:val="white"/>
        </w:rPr>
        <w:t>. Participant acknowledges that a waiver by the Company of breach of any provision of this Agreement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-127635</wp:posOffset>
            </wp:positionV>
            <wp:extent cx="54864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8">
                      <a:extLst>
                        <a:ext uri="{28A0092B-C50C-407E-A947-70E740481C1C}"/>
                      </a:extLst>
                    </a:blip>
                    <a:srcRect/>
                    <a:stretch>
                      <a:fillRect/>
                    </a:stretch>
                  </pic:blipFill>
                  <pic:spPr bwMode="auto">
                    <a:xfrm>
                      <a:off x="0" y="0"/>
                      <a:ext cx="548640" cy="137160"/>
                    </a:xfrm>
                    <a:prstGeom prst="rect">
                      <a:avLst/>
                    </a:prstGeom>
                    <a:noFill/>
                  </pic:spPr>
                </pic:pic>
              </a:graphicData>
            </a:graphic>
          </wp:anchor>
        </w:drawing>
      </w:r>
    </w:p>
    <w:p>
      <w:pPr>
        <w:spacing w:after="0" w:line="221" w:lineRule="auto"/>
        <w:rPr>
          <w:sz w:val="20"/>
          <w:szCs w:val="20"/>
          <w:color w:val="auto"/>
        </w:rPr>
      </w:pPr>
      <w:r>
        <w:rPr>
          <w:rFonts w:ascii="Times New Roman" w:cs="Times New Roman" w:eastAsia="Times New Roman" w:hAnsi="Times New Roman"/>
          <w:sz w:val="20"/>
          <w:szCs w:val="20"/>
          <w:color w:val="auto"/>
          <w:highlight w:val="white"/>
        </w:rPr>
        <w:t>not operate or be construed as a waiver of any other provision of this Agreement, or of any subsequent breach, whether of like or different nature.</w:t>
      </w:r>
    </w:p>
    <w:p>
      <w:pPr>
        <w:spacing w:after="0" w:line="15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u w:val="single" w:color="auto"/>
          <w:color w:val="auto"/>
        </w:rPr>
        <w:t>Section 4.24</w:t>
      </w:r>
      <w:r>
        <w:rPr>
          <w:sz w:val="20"/>
          <w:szCs w:val="20"/>
          <w:color w:val="auto"/>
        </w:rPr>
        <w:tab/>
      </w:r>
      <w:r>
        <w:rPr>
          <w:rFonts w:ascii="Times New Roman" w:cs="Times New Roman" w:eastAsia="Times New Roman" w:hAnsi="Times New Roman"/>
          <w:sz w:val="20"/>
          <w:szCs w:val="20"/>
          <w:u w:val="single" w:color="auto"/>
          <w:color w:val="auto"/>
        </w:rPr>
        <w:t>Foreign Asset/Account Reporting; Exchange Control and Tax Reporting and Other Requirements</w:t>
      </w:r>
      <w:r>
        <w:rPr>
          <w:rFonts w:ascii="Times New Roman" w:cs="Times New Roman" w:eastAsia="Times New Roman" w:hAnsi="Times New Roman"/>
          <w:sz w:val="20"/>
          <w:szCs w:val="20"/>
          <w:color w:val="auto"/>
        </w:rPr>
        <w:t>. Depending on</w:t>
      </w:r>
    </w:p>
    <w:p>
      <w:pPr>
        <w:ind w:right="20"/>
        <w:spacing w:after="0" w:line="215" w:lineRule="auto"/>
        <w:rPr>
          <w:sz w:val="20"/>
          <w:szCs w:val="20"/>
          <w:color w:val="auto"/>
        </w:rPr>
      </w:pPr>
      <w:r>
        <w:rPr>
          <w:rFonts w:ascii="Times New Roman" w:cs="Times New Roman" w:eastAsia="Times New Roman" w:hAnsi="Times New Roman"/>
          <w:sz w:val="19"/>
          <w:szCs w:val="19"/>
          <w:color w:val="auto"/>
        </w:rPr>
        <w:t>Participant’s country, Participant may be subject to foreign asset/account, exchange control and/or tax reporting requirements as a result of the vesting of the RSUs, the acquisition, holding and/or transfer of Shares or cash resulting from participation in the Plan and/or the opening</w:t>
      </w:r>
    </w:p>
    <w:p>
      <w:pPr>
        <w:spacing w:after="0" w:line="211" w:lineRule="auto"/>
        <w:rPr>
          <w:sz w:val="20"/>
          <w:szCs w:val="20"/>
          <w:color w:val="auto"/>
        </w:rPr>
      </w:pPr>
      <w:r>
        <w:rPr>
          <w:rFonts w:ascii="Times New Roman" w:cs="Times New Roman" w:eastAsia="Times New Roman" w:hAnsi="Times New Roman"/>
          <w:sz w:val="20"/>
          <w:szCs w:val="20"/>
          <w:color w:val="auto"/>
        </w:rPr>
        <w:t>and maintaining of a brokerage or bank account in connection with the Plan. Participant may be required to report such assets, accounts,</w:t>
      </w:r>
    </w:p>
    <w:p>
      <w:pPr>
        <w:ind w:right="20"/>
        <w:spacing w:after="0" w:line="215" w:lineRule="auto"/>
        <w:rPr>
          <w:sz w:val="20"/>
          <w:szCs w:val="20"/>
          <w:color w:val="auto"/>
        </w:rPr>
      </w:pPr>
      <w:r>
        <w:rPr>
          <w:rFonts w:ascii="Times New Roman" w:cs="Times New Roman" w:eastAsia="Times New Roman" w:hAnsi="Times New Roman"/>
          <w:sz w:val="19"/>
          <w:szCs w:val="19"/>
          <w:color w:val="auto"/>
        </w:rPr>
        <w:t>account balances and values, and/or related transactions to the applicable authorities in his or her country. Participant may also be required to repatriate sale proceeds or other funds received as a result of Participant’s participation in the Plan to his or her country through a designated</w:t>
      </w:r>
    </w:p>
    <w:p>
      <w:pPr>
        <w:spacing w:after="0" w:line="215" w:lineRule="auto"/>
        <w:rPr>
          <w:sz w:val="20"/>
          <w:szCs w:val="20"/>
          <w:color w:val="auto"/>
        </w:rPr>
      </w:pPr>
      <w:r>
        <w:rPr>
          <w:rFonts w:ascii="Times New Roman" w:cs="Times New Roman" w:eastAsia="Times New Roman" w:hAnsi="Times New Roman"/>
          <w:sz w:val="19"/>
          <w:szCs w:val="19"/>
          <w:color w:val="auto"/>
        </w:rPr>
        <w:t>bank or broker and/or within a certain time after receipt. Participant acknowledges that he or she is responsible for ensuring compliance with any applicable foreign asset/account, exchange control and tax reporting and other requirements. Participant further understands that he or</w:t>
      </w:r>
    </w:p>
    <w:p>
      <w:pPr>
        <w:spacing w:after="0"/>
        <w:rPr>
          <w:sz w:val="20"/>
          <w:szCs w:val="20"/>
          <w:color w:val="auto"/>
        </w:rPr>
      </w:pPr>
      <w:r>
        <w:rPr>
          <w:rFonts w:ascii="Times New Roman" w:cs="Times New Roman" w:eastAsia="Times New Roman" w:hAnsi="Times New Roman"/>
          <w:sz w:val="20"/>
          <w:szCs w:val="20"/>
          <w:color w:val="auto"/>
        </w:rPr>
        <w:t>she should consult Participant’s personal tax and legal advisors, as applicable on these matters.</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u w:val="single" w:color="auto"/>
          <w:color w:val="auto"/>
        </w:rPr>
        <w:t>Section 4.25 Insider Trading Restrictions/Market Abuse Laws</w:t>
      </w:r>
      <w:r>
        <w:rPr>
          <w:rFonts w:ascii="Times New Roman" w:cs="Times New Roman" w:eastAsia="Times New Roman" w:hAnsi="Times New Roman"/>
          <w:sz w:val="19"/>
          <w:szCs w:val="19"/>
          <w:color w:val="auto"/>
          <w:highlight w:val="white"/>
        </w:rPr>
        <w:t>.</w:t>
      </w:r>
      <w:r>
        <w:rPr>
          <w:rFonts w:ascii="Times New Roman" w:cs="Times New Roman" w:eastAsia="Times New Roman" w:hAnsi="Times New Roman"/>
          <w:sz w:val="19"/>
          <w:szCs w:val="19"/>
          <w:color w:val="auto"/>
        </w:rPr>
        <w:t xml:space="preserve"> Participant acknowledges that, depending on his or her country or the broker’s country or where the Shares are listed, Participant may be subject to insider-trading restrictions and/or market-abuse laws,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-247015</wp:posOffset>
            </wp:positionV>
            <wp:extent cx="266573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9">
                      <a:extLst>
                        <a:ext uri="{28A0092B-C50C-407E-A947-70E740481C1C}"/>
                      </a:extLst>
                    </a:blip>
                    <a:srcRect/>
                    <a:stretch>
                      <a:fillRect/>
                    </a:stretch>
                  </pic:blipFill>
                  <pic:spPr bwMode="auto">
                    <a:xfrm>
                      <a:off x="0" y="0"/>
                      <a:ext cx="2665730" cy="137160"/>
                    </a:xfrm>
                    <a:prstGeom prst="rect">
                      <a:avLst/>
                    </a:prstGeom>
                    <a:noFill/>
                  </pic:spPr>
                </pic:pic>
              </a:graphicData>
            </a:graphic>
          </wp:anchor>
        </w:drawing>
      </w:r>
    </w:p>
    <w:p>
      <w:pPr>
        <w:spacing w:after="0" w:line="211" w:lineRule="auto"/>
        <w:rPr>
          <w:sz w:val="20"/>
          <w:szCs w:val="20"/>
          <w:color w:val="auto"/>
        </w:rPr>
      </w:pPr>
      <w:r>
        <w:rPr>
          <w:rFonts w:ascii="Times New Roman" w:cs="Times New Roman" w:eastAsia="Times New Roman" w:hAnsi="Times New Roman"/>
          <w:sz w:val="20"/>
          <w:szCs w:val="20"/>
          <w:color w:val="auto"/>
        </w:rPr>
        <w:t>may affect his or her ability to accept, acquire, sell or otherwise dispose of Shares or rights to Shares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the RSUs) or rights linked to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value of Shares under the Plan during such times as Participant is considered to have “inside information” regarding the Company (as defined by laws or regulations in the applicable jurisdictions). Further, Participant acknowledges that local insider trading laws and regulations may</w:t>
      </w:r>
    </w:p>
    <w:p>
      <w:pPr>
        <w:spacing w:after="0" w:line="222" w:lineRule="auto"/>
        <w:rPr>
          <w:sz w:val="20"/>
          <w:szCs w:val="20"/>
          <w:color w:val="auto"/>
        </w:rPr>
      </w:pPr>
      <w:r>
        <w:rPr>
          <w:rFonts w:ascii="Times New Roman" w:cs="Times New Roman" w:eastAsia="Times New Roman" w:hAnsi="Times New Roman"/>
          <w:sz w:val="19"/>
          <w:szCs w:val="19"/>
          <w:color w:val="auto"/>
        </w:rPr>
        <w:t>prohibit the cancellation or amendment of orders Participant placed before he or she possessed inside information and that Participant may be</w:t>
      </w:r>
    </w:p>
    <w:p>
      <w:pPr>
        <w:spacing w:after="0" w:line="215" w:lineRule="auto"/>
        <w:rPr>
          <w:sz w:val="20"/>
          <w:szCs w:val="20"/>
          <w:color w:val="auto"/>
        </w:rPr>
      </w:pPr>
      <w:r>
        <w:rPr>
          <w:rFonts w:ascii="Times New Roman" w:cs="Times New Roman" w:eastAsia="Times New Roman" w:hAnsi="Times New Roman"/>
          <w:sz w:val="19"/>
          <w:szCs w:val="19"/>
          <w:color w:val="auto"/>
        </w:rPr>
        <w:t>prohibited from disclosing inside information to any third party and “tipping” third parties or causing them to otherwise buy or sell securities. Third parties includes fellow employees. Any restrictions under these laws or regulations are separate from and in addition to any restrictions</w:t>
      </w:r>
    </w:p>
    <w:p>
      <w:pPr>
        <w:spacing w:after="0" w:line="228" w:lineRule="auto"/>
        <w:rPr>
          <w:sz w:val="20"/>
          <w:szCs w:val="20"/>
          <w:color w:val="auto"/>
        </w:rPr>
      </w:pPr>
      <w:r>
        <w:rPr>
          <w:rFonts w:ascii="Times New Roman" w:cs="Times New Roman" w:eastAsia="Times New Roman" w:hAnsi="Times New Roman"/>
          <w:sz w:val="20"/>
          <w:szCs w:val="20"/>
          <w:color w:val="auto"/>
        </w:rPr>
        <w:t>that may be imposed under the Company’s insider-trading policy. Participant is responsible for ensuring compliance with any applicable restrictions and should consult his or her personal legal advisor on this matter.</w:t>
      </w:r>
    </w:p>
    <w:p>
      <w:pPr>
        <w:spacing w:after="0" w:line="14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9"/>
          <w:szCs w:val="19"/>
          <w:u w:val="single" w:color="auto"/>
          <w:color w:val="auto"/>
        </w:rPr>
        <w:t>Section 4.26 Clawback</w:t>
      </w:r>
      <w:r>
        <w:rPr>
          <w:rFonts w:ascii="Times New Roman" w:cs="Times New Roman" w:eastAsia="Times New Roman" w:hAnsi="Times New Roman"/>
          <w:sz w:val="19"/>
          <w:szCs w:val="19"/>
          <w:color w:val="auto"/>
        </w:rPr>
        <w:t>. The RSUs (including any proceeds, gains or other economic benefit Participant actually or constructively receives upon receipt or settlement of the RSUs or the receipt or resale of any Shares underlying the RSUs) will be subject to any Company claw-back policy as in effect from time to time, including any claw-back policy adopted to comply with Applicable Laws (including the 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Dodd-Frank Wall Street Reform and Consumer Protection Act and any rules or regulations promulgated thereunder).</w:t>
      </w:r>
    </w:p>
    <w:p>
      <w:pPr>
        <w:spacing w:after="0" w:line="167"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u w:val="single" w:color="auto"/>
          <w:color w:val="auto"/>
        </w:rPr>
        <w:t>Section 4.27 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w:t>
      </w:r>
    </w:p>
    <w:p>
      <w:pPr>
        <w:sectPr>
          <w:pgSz w:w="11900" w:h="16838" w:orient="portrait"/>
          <w:cols w:equalWidth="0" w:num="1">
            <w:col w:w="11240"/>
          </w:cols>
          <w:pgMar w:left="320" w:top="1394" w:right="339" w:bottom="1440" w:gutter="0" w:footer="0" w:header="0"/>
        </w:sectPr>
      </w:pPr>
    </w:p>
    <w:bookmarkStart w:id="127" w:name="page128"/>
    <w:bookmarkEnd w:id="12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TO GLOBAL RESTRICTED STOCK UNIT GRANT NOTICE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COUNTRY-SPECIFIC PROVISIONS FOR NON-U.S. PARTICIPANTS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includes additional (or, if so indicated, different) terms and conditions that govern the RSUs granted to Participant if Participant is in one of the countries listed herein.</w:t>
      </w:r>
    </w:p>
    <w:p>
      <w:pPr>
        <w:spacing w:after="0" w:line="16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If Participant is a citizen or resident of a country (or if Participant is considered as such for local law purposes) other than the one in which Participant is currently residing and/or working, or if Participant transfers employment and/or residency to another country after being granted the RSUs, the Company will, in its discretion, determine the extent to which the terms and conditions contained herein will be applicable to Participant.</w:t>
      </w:r>
    </w:p>
    <w:p>
      <w:pPr>
        <w:spacing w:after="0" w:line="18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Capitalized terms used but not defined herein shall have the same meanings as set forth in the Plan or the Global Restricted Stock Unit Award Agreement, as applicable.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also includes information regarding certain issues of which Participant should be aware with respect to Participant’s participation in the Plan. The information is based on securities, exchange control and other laws in effect in the respective countries as of March 2024. Such laws are often complex and change frequently. As a result, Participant should not rely on the information in this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as the only source of information relating to the consequences of participation in the Plan because the information may be out of date at the time the RSUs vest or Participant sells Shares acquired under the Plan.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addition, the information contained herein is general in nature and may not apply to Participant’s particular situation, and the Company is not in a position to assure Participant of a particular result. Accordingly, Participant should seek appropriate professional advice as to how the relevant laws in his or her country may apply to Participant’s individual situation.</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Finally, if Participant is a citizen or resident of a country (or if Participant is considered as such for local law purposes) other than the one in which Participant is currently residing and/or working, or if Participant transfers employment and/or residency to another country after being granted the RSUs, the information contained herein may not be applicable in the same manner.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BRAZIL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9"/>
          <w:szCs w:val="19"/>
          <w:u w:val="single" w:color="auto"/>
          <w:color w:val="auto"/>
        </w:rPr>
        <w:t>Compliance with Law</w:t>
      </w:r>
      <w:r>
        <w:rPr>
          <w:rFonts w:ascii="Times New Roman" w:cs="Times New Roman" w:eastAsia="Times New Roman" w:hAnsi="Times New Roman"/>
          <w:sz w:val="19"/>
          <w:szCs w:val="19"/>
          <w:color w:val="auto"/>
        </w:rPr>
        <w:t>. By accepting the RSUs, Participant acknowledges and agrees to comply with applicable Brazilian laws and to pay any and all applicable taxes associated with the vesting of the RSUs, the receipt of any dividends, and the sale of Shares acquired under the Plan.</w:t>
      </w:r>
    </w:p>
    <w:p>
      <w:pPr>
        <w:sectPr>
          <w:pgSz w:w="11900" w:h="16838" w:orient="portrait"/>
          <w:cols w:equalWidth="0" w:num="1">
            <w:col w:w="11240"/>
          </w:cols>
          <w:pgMar w:left="320" w:top="1409" w:right="339" w:bottom="1440" w:gutter="0" w:footer="0" w:header="0"/>
        </w:sectPr>
      </w:pPr>
    </w:p>
    <w:bookmarkStart w:id="129" w:name="page130"/>
    <w:bookmarkEnd w:id="129"/>
    <w:p>
      <w:pPr>
        <w:jc w:val="both"/>
        <w:ind w:right="20"/>
        <w:spacing w:after="0" w:line="283" w:lineRule="auto"/>
        <w:rPr>
          <w:sz w:val="20"/>
          <w:szCs w:val="20"/>
          <w:color w:val="auto"/>
        </w:rPr>
      </w:pPr>
      <w:r>
        <w:rPr>
          <w:rFonts w:ascii="Times New Roman" w:cs="Times New Roman" w:eastAsia="Times New Roman" w:hAnsi="Times New Roman"/>
          <w:sz w:val="20"/>
          <w:szCs w:val="20"/>
          <w:u w:val="single" w:color="auto"/>
          <w:color w:val="auto"/>
        </w:rPr>
        <w:t>Labor Law Acknowledgment</w:t>
      </w:r>
      <w:r>
        <w:rPr>
          <w:rFonts w:ascii="Times New Roman" w:cs="Times New Roman" w:eastAsia="Times New Roman" w:hAnsi="Times New Roman"/>
          <w:sz w:val="20"/>
          <w:szCs w:val="20"/>
          <w:color w:val="auto"/>
        </w:rPr>
        <w:t>. By accepting the RSUs, Participant agrees that (i) Participant is making an investment decision, and (ii) the value of the underlying Shares is not fixed and may increase or decrease in value without compensation.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u w:val="single" w:color="auto"/>
          <w:color w:val="auto"/>
        </w:rPr>
        <w:t>Exchange Control Notice</w:t>
      </w:r>
      <w:r>
        <w:rPr>
          <w:rFonts w:ascii="Times New Roman" w:cs="Times New Roman" w:eastAsia="Times New Roman" w:hAnsi="Times New Roman"/>
          <w:sz w:val="20"/>
          <w:szCs w:val="20"/>
          <w:color w:val="auto"/>
        </w:rPr>
        <w:t>. If Participant is a Brazilian resident, Participant must submit an annual or quarterly declaration of assets and rights held outside of Brazil to the Central Bank of Brazil if the aggregate value of such assets and rights exceeds certain thresholds. Assets and rights that must be reported include Shares acquired under the Plan.</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Tax on Financial Transaction (IOF)</w:t>
      </w:r>
      <w:r>
        <w:rPr>
          <w:rFonts w:ascii="Times New Roman" w:cs="Times New Roman" w:eastAsia="Times New Roman" w:hAnsi="Times New Roman"/>
          <w:sz w:val="20"/>
          <w:szCs w:val="20"/>
          <w:color w:val="auto"/>
        </w:rPr>
        <w:t>. Repatriation of funds into Brazil and the conversion between BRL and USD associated with such fund transfers may be subject to the Tax on Financial Transactions. Participant is responsible for complying with any applicable Tax on Financial Transactions arising from Participant’s participation in the Plan. Participant should consult with his or her personal tax advisor for additional details.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ECUADOR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u w:val="single" w:color="auto"/>
          <w:color w:val="auto"/>
        </w:rPr>
        <w:t>Foreign Asset/Account Reporting Notice</w:t>
      </w:r>
      <w:r>
        <w:rPr>
          <w:rFonts w:ascii="Times New Roman" w:cs="Times New Roman" w:eastAsia="Times New Roman" w:hAnsi="Times New Roman"/>
          <w:sz w:val="20"/>
          <w:szCs w:val="20"/>
          <w:color w:val="auto"/>
        </w:rPr>
        <w:t>. Individuals who are resident or domiciled in Ecuador are generally required to file an annual Net Worth Declaration with the Internal Revenue Service of Ecuador if the aggregate value of assets held by such individuals exceeds certain thresholds. Assets included in this annual declaration include Shares acquired under the Plan. In addition, Ecuadorian resident individuals are required to report on an annual basis, all monetary assets held in foreign financial entities in excess of US$100,000. Participant should consult his or her legal or tax advisor to ensure compliance with all applicable reporting obligations.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GERMANY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u w:val="single" w:color="auto"/>
          <w:color w:val="auto"/>
        </w:rPr>
        <w:t>Exchange Control Notice</w:t>
      </w:r>
      <w:r>
        <w:rPr>
          <w:rFonts w:ascii="Times New Roman" w:cs="Times New Roman" w:eastAsia="Times New Roman" w:hAnsi="Times New Roman"/>
          <w:sz w:val="20"/>
          <w:szCs w:val="20"/>
          <w:color w:val="auto"/>
        </w:rPr>
        <w:t>. Certain cross-border transactions in excess of €12,500 (the "</w:t>
      </w:r>
      <w:r>
        <w:rPr>
          <w:rFonts w:ascii="Times New Roman" w:cs="Times New Roman" w:eastAsia="Times New Roman" w:hAnsi="Times New Roman"/>
          <w:sz w:val="20"/>
          <w:szCs w:val="20"/>
          <w:u w:val="single" w:color="auto"/>
          <w:color w:val="auto"/>
        </w:rPr>
        <w:t>Threshold</w:t>
      </w:r>
      <w:r>
        <w:rPr>
          <w:rFonts w:ascii="Times New Roman" w:cs="Times New Roman" w:eastAsia="Times New Roman" w:hAnsi="Times New Roman"/>
          <w:sz w:val="20"/>
          <w:szCs w:val="20"/>
          <w:color w:val="auto"/>
        </w:rPr>
        <w:t>") must be reported to the German Federal Bank (</w:t>
      </w:r>
      <w:r>
        <w:rPr>
          <w:rFonts w:ascii="Times New Roman" w:cs="Times New Roman" w:eastAsia="Times New Roman" w:hAnsi="Times New Roman"/>
          <w:sz w:val="20"/>
          <w:szCs w:val="20"/>
          <w:i w:val="1"/>
          <w:iCs w:val="1"/>
          <w:color w:val="auto"/>
        </w:rPr>
        <w:t>Bundesbank</w:t>
      </w:r>
      <w:r>
        <w:rPr>
          <w:rFonts w:ascii="Times New Roman" w:cs="Times New Roman" w:eastAsia="Times New Roman" w:hAnsi="Times New Roman"/>
          <w:sz w:val="20"/>
          <w:szCs w:val="20"/>
          <w:color w:val="auto"/>
        </w:rPr>
        <w:t>). If Participant is a German resident and he or she makes or receives a payment in excess of the Threshold (including if Participant acquires Shares under the Plan in excess of the Threshold or sell Shares via a foreign broker, bank or service provider and receives proceeds in excess of the Threshold) and/or if the Company withholds or sells Shares with a value in excess of the Threshold to cover Tax-Related Items, Participant must report the payment and/or the value of Shares withheld or sold to Bundesbank, either electronically using the “General Statistics Reporting Portal” (“</w:t>
      </w:r>
      <w:r>
        <w:rPr>
          <w:rFonts w:ascii="Times New Roman" w:cs="Times New Roman" w:eastAsia="Times New Roman" w:hAnsi="Times New Roman"/>
          <w:sz w:val="20"/>
          <w:szCs w:val="20"/>
          <w:i w:val="1"/>
          <w:iCs w:val="1"/>
          <w:color w:val="auto"/>
        </w:rPr>
        <w:t>Allgemeines Meldeportal Statistik</w:t>
      </w:r>
      <w:r>
        <w:rPr>
          <w:rFonts w:ascii="Times New Roman" w:cs="Times New Roman" w:eastAsia="Times New Roman" w:hAnsi="Times New Roman"/>
          <w:sz w:val="20"/>
          <w:szCs w:val="20"/>
          <w:color w:val="auto"/>
        </w:rPr>
        <w:t>”) available on the Bundesbank’s website (</w:t>
      </w:r>
      <w:r>
        <w:rPr>
          <w:rFonts w:ascii="Times New Roman" w:cs="Times New Roman" w:eastAsia="Times New Roman" w:hAnsi="Times New Roman"/>
          <w:sz w:val="20"/>
          <w:szCs w:val="20"/>
          <w:color w:val="0563C1"/>
        </w:rPr>
        <w:t>www.bundesbank.de</w:t>
      </w:r>
      <w:r>
        <w:rPr>
          <w:rFonts w:ascii="Times New Roman" w:cs="Times New Roman" w:eastAsia="Times New Roman" w:hAnsi="Times New Roman"/>
          <w:sz w:val="20"/>
          <w:szCs w:val="20"/>
          <w:color w:val="auto"/>
        </w:rPr>
        <w:t>) or via such other method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xml:space="preserve">, by email or telephone) as is permitted or required by Bundesbank. The report must be submitted monthly or within such other timing as is permitted or required by Bundesbank. </w:t>
      </w:r>
      <w:r>
        <w:rPr>
          <w:rFonts w:ascii="Times New Roman" w:cs="Times New Roman" w:eastAsia="Times New Roman" w:hAnsi="Times New Roman"/>
          <w:sz w:val="20"/>
          <w:szCs w:val="20"/>
          <w:i w:val="1"/>
          <w:iCs w:val="1"/>
          <w:color w:val="auto"/>
        </w:rPr>
        <w:t>Participant is responsible for complying with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applicable reporting requirements and should consult with a personal legal advisor to ensure compliance</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HONG KONG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ectPr>
          <w:pgSz w:w="11900" w:h="16838" w:orient="portrait"/>
          <w:cols w:equalWidth="0" w:num="1">
            <w:col w:w="11240"/>
          </w:cols>
          <w:pgMar w:left="320" w:top="1413" w:right="339" w:bottom="1440" w:gutter="0" w:footer="0" w:header="0"/>
        </w:sectPr>
      </w:pPr>
    </w:p>
    <w:bookmarkStart w:id="130" w:name="page131"/>
    <w:bookmarkEnd w:id="130"/>
    <w:p>
      <w:pPr>
        <w:jc w:val="both"/>
        <w:spacing w:after="0" w:line="283" w:lineRule="auto"/>
        <w:rPr>
          <w:sz w:val="20"/>
          <w:szCs w:val="20"/>
          <w:color w:val="auto"/>
        </w:rPr>
      </w:pPr>
      <w:r>
        <w:rPr>
          <w:rFonts w:ascii="Times New Roman" w:cs="Times New Roman" w:eastAsia="Times New Roman" w:hAnsi="Times New Roman"/>
          <w:sz w:val="20"/>
          <w:szCs w:val="20"/>
          <w:u w:val="single" w:color="auto"/>
          <w:color w:val="auto"/>
        </w:rPr>
        <w:t>Form of Settlement</w:t>
      </w:r>
      <w:r>
        <w:rPr>
          <w:rFonts w:ascii="Times New Roman" w:cs="Times New Roman" w:eastAsia="Times New Roman" w:hAnsi="Times New Roman"/>
          <w:sz w:val="20"/>
          <w:szCs w:val="20"/>
          <w:color w:val="auto"/>
        </w:rPr>
        <w:t>. RSUs granted to Participants resident in Hong Kong shall be settled in Shares only. In no event shall any of such RSUs be settled in cash.</w:t>
      </w:r>
    </w:p>
    <w:p>
      <w:pPr>
        <w:spacing w:after="0" w:line="146"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9"/>
          <w:szCs w:val="19"/>
          <w:u w:val="single" w:color="auto"/>
          <w:color w:val="auto"/>
        </w:rPr>
        <w:t>Sale Restriction</w:t>
      </w:r>
      <w:r>
        <w:rPr>
          <w:rFonts w:ascii="Times New Roman" w:cs="Times New Roman" w:eastAsia="Times New Roman" w:hAnsi="Times New Roman"/>
          <w:sz w:val="19"/>
          <w:szCs w:val="19"/>
          <w:color w:val="auto"/>
        </w:rPr>
        <w:t>. In the event that Shares are issued to Participant or his or her heirs earlier than six months from the Grant Date, due to legal requirements in Hong Kong, Participant understands and agrees that such Shares may not be sold prior to six months after the Grant Date.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Securities Law Notice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WARNING: The RSUs and the Shares issued upon vesting do not constitute a public offering of securities under Hong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Kong law and are available only to certain eligible employees. The Agreement, including this Exhibit B, the Plan and other incidental communication materials have not been prepared in accordance with and are not intended to constitute a “prospectus” for a public offering of securities under the applicable securities legislation in Hong Kong. In addition, the documents have not been reviewed by any regulatory authority in Hong Kong. The RSUs are intended only for the personal use of each Participant, and may not be distributed to any other person. If Participant is in any doubt about any of the contents of the Agreement, including this Exhibit B, or the Plan, Participant should obtain independent professional advice.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SINGAPORE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u w:val="single" w:color="auto"/>
          <w:color w:val="auto"/>
        </w:rPr>
        <w:t>Sale Restriction</w:t>
      </w:r>
      <w:r>
        <w:rPr>
          <w:rFonts w:ascii="Times New Roman" w:cs="Times New Roman" w:eastAsia="Times New Roman" w:hAnsi="Times New Roman"/>
          <w:sz w:val="20"/>
          <w:szCs w:val="20"/>
          <w:color w:val="auto"/>
        </w:rPr>
        <w:t>. Shares acquired under the Plan may not be sold or otherwise offered for sale in Singapore prior to the six (6) month anniversary of the Grant Date, unless such sale or offer in Singapore is made pursuant to the exemptions under Part XIII Division (1) Subdivision (4) (other than Section 280) of the Singapore Securities and Futures Act (Chapter 289, 2006 Ed.) (“</w:t>
      </w:r>
      <w:r>
        <w:rPr>
          <w:rFonts w:ascii="Times New Roman" w:cs="Times New Roman" w:eastAsia="Times New Roman" w:hAnsi="Times New Roman"/>
          <w:sz w:val="20"/>
          <w:szCs w:val="20"/>
          <w:u w:val="single" w:color="auto"/>
          <w:color w:val="auto"/>
        </w:rPr>
        <w:t>SFA</w:t>
      </w:r>
      <w:r>
        <w:rPr>
          <w:rFonts w:ascii="Times New Roman" w:cs="Times New Roman" w:eastAsia="Times New Roman" w:hAnsi="Times New Roman"/>
          <w:sz w:val="20"/>
          <w:szCs w:val="20"/>
          <w:color w:val="auto"/>
        </w:rPr>
        <w:t>”) or pursuant to, and accordance with the conditions of, any other applicable provision(s) of the SFA.</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Securities Law Notice</w:t>
      </w:r>
      <w:r>
        <w:rPr>
          <w:rFonts w:ascii="Times New Roman" w:cs="Times New Roman" w:eastAsia="Times New Roman" w:hAnsi="Times New Roman"/>
          <w:sz w:val="20"/>
          <w:szCs w:val="20"/>
          <w:color w:val="auto"/>
        </w:rPr>
        <w:t>. The grant of the RSUs is being made pursuant to the “Qualifying Person” exemption under section 273(1)(f) of the SFA under which it is exempt from the prospectus and registration requirements and is not made with a view to the underlying Shares being subsequently offered for sale to any other party. The Plan has not been, nor will it be, lodged or registered as a prospectus with the Monetary Authority of Singapore.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u w:val="single" w:color="auto"/>
          <w:color w:val="auto"/>
        </w:rPr>
        <w:t>Director Notification Requirement</w:t>
      </w:r>
      <w:r>
        <w:rPr>
          <w:rFonts w:ascii="Times New Roman" w:cs="Times New Roman" w:eastAsia="Times New Roman" w:hAnsi="Times New Roman"/>
          <w:sz w:val="20"/>
          <w:szCs w:val="20"/>
          <w:color w:val="auto"/>
        </w:rPr>
        <w:t>. The directors, associate directors or shadow directors of a Singapore Participating Company are subject to certain notification requirements under the Singapore Companies Act. The directors, associate directors or shadow directors must notify the Singapore Participating Company in writing of an interest (e.g., the RSUs, Shares, etc.) in the Company or any related company within two (2) business days of (i) its acquisition or disposal, (ii) any change in a previously-disclosed interest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upon issuance of the Shares or when Shares acquired under the Plan are subsequently sold), or (iii) becoming a director, associate director or shadow director if the director, associate director or shadow director holds such an interest at that time. The above notification requirements also may apply to the Chief Executive Officer of a Singapore Participating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UNITED KINGDOM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ectPr>
          <w:pgSz w:w="11900" w:h="16838" w:orient="portrait"/>
          <w:cols w:equalWidth="0" w:num="1">
            <w:col w:w="11240"/>
          </w:cols>
          <w:pgMar w:left="320" w:top="1413"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This section supplements Section 2.5 of the Global Restricted Stock Unit Award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Without limitation to Section 2.5 of the Global Restricted Stock Unit Award Agreement, Participant agrees that Participant is liable for all Tax-Related Items and hereby covenants to pay all such Tax-Related Items as and when requested by the Company or the Participating Company or by HM Revenue and Customs (“</w:t>
      </w:r>
      <w:r>
        <w:rPr>
          <w:rFonts w:ascii="Times New Roman" w:cs="Times New Roman" w:eastAsia="Times New Roman" w:hAnsi="Times New Roman"/>
          <w:sz w:val="20"/>
          <w:szCs w:val="20"/>
          <w:u w:val="single" w:color="auto"/>
          <w:color w:val="auto"/>
        </w:rPr>
        <w:t>HMRC</w:t>
      </w:r>
      <w:r>
        <w:rPr>
          <w:rFonts w:ascii="Times New Roman" w:cs="Times New Roman" w:eastAsia="Times New Roman" w:hAnsi="Times New Roman"/>
          <w:sz w:val="20"/>
          <w:szCs w:val="20"/>
          <w:color w:val="auto"/>
        </w:rPr>
        <w:t>”) (or any other tax authority or any other relevant authority). Participant also agrees to indemnify and keep indemnified the Company and the Participating Company against any Tax–Related Items that they are required to pay or withhold or have paid or will pay to HMRC (or any other tax authority or any other relevant authority) on Participant’s behalf.</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Notwithstanding the foregoing, if Participant is a director or executive officer (within the meaning of Section 13(k) of the Exchange Act), the terms of the immediately foregoing provision will not apply. In the event that Participant is a director or executive officer and income tax due is not collected from or paid by Participant within ninety (90) days of the U.K. tax year in which an event giving rise to the indemnification described above occurs, the amount of any uncollected tax may constitute a benefit to Participant on which additional income tax and National Insurance contributions (“</w:t>
      </w:r>
      <w:r>
        <w:rPr>
          <w:rFonts w:ascii="Times New Roman" w:cs="Times New Roman" w:eastAsia="Times New Roman" w:hAnsi="Times New Roman"/>
          <w:sz w:val="20"/>
          <w:szCs w:val="20"/>
          <w:u w:val="single" w:color="auto"/>
          <w:color w:val="auto"/>
        </w:rPr>
        <w:t>NICs</w:t>
      </w:r>
      <w:r>
        <w:rPr>
          <w:rFonts w:ascii="Times New Roman" w:cs="Times New Roman" w:eastAsia="Times New Roman" w:hAnsi="Times New Roman"/>
          <w:sz w:val="20"/>
          <w:szCs w:val="20"/>
          <w:color w:val="auto"/>
        </w:rPr>
        <w:t>”) may be payable. Participant understands that he or she will be responsible for reporting and paying any income tax due on this additional benefit directly to HMRC under the self-assessment regime and for paying to the Company and/or the Participating Company (as appropriate) the amount of any NICs due on this additional benefit, which may also be recovered from Participant by any of the means referred to in Section 2.5 of the Global Restricted Stock Unit Award Agreement.</w:t>
      </w:r>
    </w:p>
    <w:p>
      <w:pPr>
        <w:sectPr>
          <w:pgSz w:w="11900" w:h="16838" w:orient="portrait"/>
          <w:cols w:equalWidth="0" w:num="1">
            <w:col w:w="11240"/>
          </w:cols>
          <w:pgMar w:left="320" w:top="1413"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20"/>
          <w:szCs w:val="20"/>
          <w:b w:val="1"/>
          <w:bCs w:val="1"/>
          <w:color w:val="auto"/>
        </w:rPr>
        <w:t>Exhibit 10.15</w:t>
      </w:r>
    </w:p>
    <w:p>
      <w:pPr>
        <w:spacing w:after="0" w:line="1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THE VITA COCO COMPANY, INC.</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SECOND AMENDED AND RESTATED</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NON-EMPLOYEE DIRECTOR COMPENSATION POLICY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Non-employee members of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The Vita Coco Company,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shall be eligible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receive cash and equity compensation as set forth in this Amended and Restated Non-Employee Director Compensation Policy (this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The cash and equity compensation described in this Policy shall be paid or be made, as applicable, automatically and without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further action of the Board, to each member of the Board who is not an employee of the Company or any parent or subsidiary of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Company (each, a “</w:t>
      </w:r>
      <w:r>
        <w:rPr>
          <w:rFonts w:ascii="Times New Roman" w:cs="Times New Roman" w:eastAsia="Times New Roman" w:hAnsi="Times New Roman"/>
          <w:sz w:val="19"/>
          <w:szCs w:val="19"/>
          <w:b w:val="1"/>
          <w:bCs w:val="1"/>
          <w:i w:val="1"/>
          <w:iCs w:val="1"/>
          <w:color w:val="auto"/>
        </w:rPr>
        <w:t>Non-Employee Director</w:t>
      </w:r>
      <w:r>
        <w:rPr>
          <w:rFonts w:ascii="Times New Roman" w:cs="Times New Roman" w:eastAsia="Times New Roman" w:hAnsi="Times New Roman"/>
          <w:sz w:val="19"/>
          <w:szCs w:val="19"/>
          <w:color w:val="auto"/>
        </w:rPr>
        <w:t>”) who may be eligible to receive such cash or equity compensation, unless such Non-Employee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 declines the receipt of such cash or equity compensation by written notice to the Company. This Policy shall become effective as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4, 2024 and shall remain in effect until it is revised or rescinded by further action of the Board. This Policy may be amended,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modified or terminated by the Board at any time in its sole discretion. The terms and conditions of this Policy shall supersede any prior cash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and/or equity compensation arrangements for service as a member of the Board between the Company and any of its Non-Employee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Directors and between any subsidiary of the Company and any of its non-employee directors.</w:t>
      </w:r>
    </w:p>
    <w:p>
      <w:pPr>
        <w:spacing w:after="0" w:line="99"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Compensation.</w:t>
      </w:r>
    </w:p>
    <w:p>
      <w:pPr>
        <w:spacing w:after="0" w:line="12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Retainers</w:t>
      </w:r>
      <w:r>
        <w:rPr>
          <w:rFonts w:ascii="Times New Roman" w:cs="Times New Roman" w:eastAsia="Times New Roman" w:hAnsi="Times New Roman"/>
          <w:sz w:val="20"/>
          <w:szCs w:val="20"/>
          <w:color w:val="auto"/>
        </w:rPr>
        <w:t>. Each Non-Employee Director shall receive an annual retainer of $60,000 for service on the Board.</w:t>
      </w:r>
    </w:p>
    <w:p>
      <w:pPr>
        <w:spacing w:after="0" w:line="107"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Annual Retainers</w:t>
      </w:r>
      <w:r>
        <w:rPr>
          <w:rFonts w:ascii="Times New Roman" w:cs="Times New Roman" w:eastAsia="Times New Roman" w:hAnsi="Times New Roman"/>
          <w:sz w:val="20"/>
          <w:szCs w:val="20"/>
          <w:color w:val="auto"/>
        </w:rPr>
        <w:t>. In addition, a Non-Employee Director shall receive the following annual retainers:</w:t>
      </w:r>
    </w:p>
    <w:p>
      <w:pPr>
        <w:spacing w:after="0" w:line="121" w:lineRule="exact"/>
        <w:rPr>
          <w:rFonts w:ascii="Times New Roman" w:cs="Times New Roman" w:eastAsia="Times New Roman" w:hAnsi="Times New Roman"/>
          <w:sz w:val="20"/>
          <w:szCs w:val="20"/>
          <w:color w:val="auto"/>
        </w:rPr>
      </w:pPr>
    </w:p>
    <w:p>
      <w:pPr>
        <w:ind w:left="1960" w:right="80" w:hanging="518"/>
        <w:spacing w:after="0" w:line="281" w:lineRule="auto"/>
        <w:tabs>
          <w:tab w:leader="none" w:pos="1960" w:val="left"/>
        </w:tabs>
        <w:numPr>
          <w:ilvl w:val="2"/>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Audit Committee</w:t>
      </w:r>
      <w:r>
        <w:rPr>
          <w:rFonts w:ascii="Times New Roman" w:cs="Times New Roman" w:eastAsia="Times New Roman" w:hAnsi="Times New Roman"/>
          <w:sz w:val="19"/>
          <w:szCs w:val="19"/>
          <w:color w:val="auto"/>
        </w:rPr>
        <w:t>. A Non-Employee Director serving as Chairperson of the Audit Committee shall receive an additional annual retainer of $35,000 for such service. A Non-Employee Director serving as a member of the Audit Committee (other than the Chairperson) shall receive an additional annual retainer of $10,000 for such service.</w:t>
      </w:r>
    </w:p>
    <w:p>
      <w:pPr>
        <w:spacing w:after="0" w:line="56" w:lineRule="exact"/>
        <w:rPr>
          <w:rFonts w:ascii="Times New Roman" w:cs="Times New Roman" w:eastAsia="Times New Roman" w:hAnsi="Times New Roman"/>
          <w:sz w:val="19"/>
          <w:szCs w:val="19"/>
          <w:color w:val="auto"/>
        </w:rPr>
      </w:pPr>
    </w:p>
    <w:p>
      <w:pPr>
        <w:ind w:left="1960" w:right="20" w:hanging="574"/>
        <w:spacing w:after="0" w:line="254" w:lineRule="auto"/>
        <w:tabs>
          <w:tab w:leader="none" w:pos="1960" w:val="left"/>
        </w:tabs>
        <w:numPr>
          <w:ilvl w:val="2"/>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Committee</w:t>
      </w:r>
      <w:r>
        <w:rPr>
          <w:rFonts w:ascii="Times New Roman" w:cs="Times New Roman" w:eastAsia="Times New Roman" w:hAnsi="Times New Roman"/>
          <w:sz w:val="20"/>
          <w:szCs w:val="20"/>
          <w:color w:val="auto"/>
        </w:rPr>
        <w:t>. A Non-Employee Director serving as Chairperson of the Compensation Committee shall receive an additional annual retainer of $10,000 for such service. A Non-Employee Director serving as a member of the Compensation Committee (other than the Chairperson) shall receive an additional annual retainer of $5,000 for such service.</w:t>
      </w:r>
    </w:p>
    <w:p>
      <w:pPr>
        <w:spacing w:after="0" w:line="79" w:lineRule="exact"/>
        <w:rPr>
          <w:rFonts w:ascii="Times New Roman" w:cs="Times New Roman" w:eastAsia="Times New Roman" w:hAnsi="Times New Roman"/>
          <w:sz w:val="20"/>
          <w:szCs w:val="20"/>
          <w:color w:val="auto"/>
        </w:rPr>
      </w:pPr>
    </w:p>
    <w:p>
      <w:pPr>
        <w:ind w:left="1960" w:right="140" w:hanging="628"/>
        <w:spacing w:after="0" w:line="258" w:lineRule="auto"/>
        <w:tabs>
          <w:tab w:leader="none" w:pos="1960" w:val="left"/>
        </w:tabs>
        <w:numPr>
          <w:ilvl w:val="2"/>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Nominating and Corporate Governance Committee</w:t>
      </w:r>
      <w:r>
        <w:rPr>
          <w:rFonts w:ascii="Times New Roman" w:cs="Times New Roman" w:eastAsia="Times New Roman" w:hAnsi="Times New Roman"/>
          <w:sz w:val="20"/>
          <w:szCs w:val="20"/>
          <w:color w:val="auto"/>
        </w:rPr>
        <w:t>. A Non-Employee Director serving as Chairperson of the Nominating and Corporate Governance Committee shall receive an additional annual retainer of $10,000 for such service. A Non-Employee Director serving as a member of the Nominating and Corporate Governance Committee (other than the Chairperson) shall receive an additional annual retainer of $5,000 for such service.</w:t>
      </w:r>
    </w:p>
    <w:p>
      <w:pPr>
        <w:spacing w:after="0" w:line="64" w:lineRule="exact"/>
        <w:rPr>
          <w:rFonts w:ascii="Times New Roman" w:cs="Times New Roman" w:eastAsia="Times New Roman" w:hAnsi="Times New Roman"/>
          <w:sz w:val="20"/>
          <w:szCs w:val="20"/>
          <w:color w:val="auto"/>
        </w:rPr>
      </w:pPr>
    </w:p>
    <w:p>
      <w:pPr>
        <w:ind w:left="1960" w:right="560" w:hanging="618"/>
        <w:spacing w:after="0" w:line="283" w:lineRule="auto"/>
        <w:tabs>
          <w:tab w:leader="none" w:pos="1960" w:val="left"/>
        </w:tabs>
        <w:numPr>
          <w:ilvl w:val="2"/>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Lead Independent Director</w:t>
      </w:r>
      <w:r>
        <w:rPr>
          <w:rFonts w:ascii="Times New Roman" w:cs="Times New Roman" w:eastAsia="Times New Roman" w:hAnsi="Times New Roman"/>
          <w:sz w:val="20"/>
          <w:szCs w:val="20"/>
          <w:color w:val="auto"/>
        </w:rPr>
        <w:t>. A Non-Employee Director serving as Lead Independent Director shall receive an additional annual retainer of $20,000 for such service.</w:t>
      </w:r>
    </w:p>
    <w:p>
      <w:pPr>
        <w:sectPr>
          <w:pgSz w:w="11900" w:h="16838" w:orient="portrait"/>
          <w:cols w:equalWidth="0" w:num="1">
            <w:col w:w="11160"/>
          </w:cols>
          <w:pgMar w:left="320" w:top="1409" w:right="419" w:bottom="1440" w:gutter="0" w:footer="0" w:header="0"/>
        </w:sectPr>
      </w:pPr>
    </w:p>
    <w:bookmarkStart w:id="133" w:name="page134"/>
    <w:bookmarkEnd w:id="133"/>
    <w:p>
      <w:pPr>
        <w:spacing w:after="0" w:line="81" w:lineRule="exact"/>
        <w:rPr>
          <w:sz w:val="20"/>
          <w:szCs w:val="20"/>
          <w:color w:val="auto"/>
        </w:rPr>
      </w:pPr>
    </w:p>
    <w:p>
      <w:pPr>
        <w:ind w:left="968" w:right="120" w:hanging="320"/>
        <w:spacing w:after="0" w:line="252" w:lineRule="auto"/>
        <w:tabs>
          <w:tab w:leader="none" w:pos="95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Retainers</w:t>
      </w:r>
      <w:r>
        <w:rPr>
          <w:rFonts w:ascii="Times New Roman" w:cs="Times New Roman" w:eastAsia="Times New Roman" w:hAnsi="Times New Roman"/>
          <w:sz w:val="20"/>
          <w:szCs w:val="20"/>
          <w:color w:val="auto"/>
        </w:rPr>
        <w:t>. The annual retainers described in Sections 1(a) and 1(b) shall be earned on a quarterly basis based on a calendar quarter and shall be paid by the Company in arrears not later than the fifteenth day following the end of each calendar quarter. In the event a Non-Employee Director does not serve as a Non-Employee Director, or in the applicable positions described in Section 1(b), for an entire calendar quarter, such Non-Employee Director shall receive a prorated portion of the retainer(s) otherwise payable to such Non-Employee Director for such calendar quarter pursuant to Sections 1(a) and 1(b), with such prorated portion determined by multiplying such otherwise payable retainer(s) by a fraction, the numerator of which is the number of days during which the Non-Employee Director serves as a Non-Employee Director or in the applicable positions described in Section 1(b) during the applicable calendar quarter and the denominator of which is the number of days in the applicable calendar quarter.</w:t>
      </w:r>
    </w:p>
    <w:p>
      <w:pPr>
        <w:spacing w:after="0" w:line="68"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20"/>
          <w:szCs w:val="20"/>
          <w:color w:val="auto"/>
        </w:rPr>
        <w:t>(d)</w:t>
      </w:r>
    </w:p>
    <w:p>
      <w:pPr>
        <w:spacing w:after="0" w:line="121" w:lineRule="exact"/>
        <w:rPr>
          <w:sz w:val="20"/>
          <w:szCs w:val="20"/>
          <w:color w:val="auto"/>
        </w:rPr>
      </w:pPr>
    </w:p>
    <w:p>
      <w:pPr>
        <w:ind w:left="328" w:right="180" w:hanging="328"/>
        <w:spacing w:after="0" w:line="253" w:lineRule="auto"/>
        <w:tabs>
          <w:tab w:leader="none" w:pos="32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Compensation</w:t>
      </w:r>
      <w:r>
        <w:rPr>
          <w:rFonts w:ascii="Times New Roman" w:cs="Times New Roman" w:eastAsia="Times New Roman" w:hAnsi="Times New Roman"/>
          <w:sz w:val="20"/>
          <w:szCs w:val="20"/>
          <w:color w:val="auto"/>
        </w:rPr>
        <w:t>. Non-Employee Directors shall be granted the equity awards described below. The awards described below shall be granted under and shall be subject to the terms and provisions of the Company’s 2021 Incentive Award Plan or any other applicable Company equity incentive plan then-maintained by the Company (such plan, as may be amended from time to time, the “</w:t>
      </w:r>
      <w:r>
        <w:rPr>
          <w:rFonts w:ascii="Times New Roman" w:cs="Times New Roman" w:eastAsia="Times New Roman" w:hAnsi="Times New Roman"/>
          <w:sz w:val="20"/>
          <w:szCs w:val="20"/>
          <w:i w:val="1"/>
          <w:iCs w:val="1"/>
          <w:color w:val="auto"/>
        </w:rPr>
        <w:t>Equity Plan</w:t>
      </w:r>
      <w:r>
        <w:rPr>
          <w:rFonts w:ascii="Times New Roman" w:cs="Times New Roman" w:eastAsia="Times New Roman" w:hAnsi="Times New Roman"/>
          <w:sz w:val="20"/>
          <w:szCs w:val="20"/>
          <w:color w:val="auto"/>
        </w:rPr>
        <w:t>”) and shall be granted subject to the execution and delivery of award agreements, including attached exhibits, in substantially the forms previously approved by the Board. All applicable terms of the Equity Plan apply to this Policy as if fully set forth herein, and all equity grants hereunder are subject in all respects to the terms of the Equity Plan.</w:t>
      </w:r>
    </w:p>
    <w:p>
      <w:pPr>
        <w:spacing w:after="0" w:line="84" w:lineRule="exact"/>
        <w:rPr>
          <w:rFonts w:ascii="Times New Roman" w:cs="Times New Roman" w:eastAsia="Times New Roman" w:hAnsi="Times New Roman"/>
          <w:sz w:val="20"/>
          <w:szCs w:val="20"/>
          <w:color w:val="auto"/>
        </w:rPr>
      </w:pPr>
    </w:p>
    <w:p>
      <w:pPr>
        <w:ind w:left="968" w:hanging="320"/>
        <w:spacing w:after="0" w:line="251" w:lineRule="auto"/>
        <w:tabs>
          <w:tab w:leader="none" w:pos="958"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Awards</w:t>
      </w:r>
      <w:r>
        <w:rPr>
          <w:rFonts w:ascii="Times New Roman" w:cs="Times New Roman" w:eastAsia="Times New Roman" w:hAnsi="Times New Roman"/>
          <w:sz w:val="20"/>
          <w:szCs w:val="20"/>
          <w:color w:val="auto"/>
        </w:rPr>
        <w:t>. Each Non-Employee Director who (i) serves on the Board as of the date of any annual meeting of the Company’s stockholders (an “</w:t>
      </w:r>
      <w:r>
        <w:rPr>
          <w:rFonts w:ascii="Times New Roman" w:cs="Times New Roman" w:eastAsia="Times New Roman" w:hAnsi="Times New Roman"/>
          <w:sz w:val="20"/>
          <w:szCs w:val="20"/>
          <w:i w:val="1"/>
          <w:iCs w:val="1"/>
          <w:color w:val="auto"/>
        </w:rPr>
        <w:t>Annual Meeting</w:t>
      </w:r>
      <w:r>
        <w:rPr>
          <w:rFonts w:ascii="Times New Roman" w:cs="Times New Roman" w:eastAsia="Times New Roman" w:hAnsi="Times New Roman"/>
          <w:sz w:val="20"/>
          <w:szCs w:val="20"/>
          <w:color w:val="auto"/>
        </w:rPr>
        <w:t>”) after the Pricing Date and (ii) will continue to serve as a Non-Employee Director immediately following such Annual Meeting shall be automatically granted, on the date of such Annual Meeting, an award of RSUs that have an aggregate fair value on the date of grant of $115,000 (as determined in accordance with FASB Accounting Codification Topic 718 (“</w:t>
      </w:r>
      <w:r>
        <w:rPr>
          <w:rFonts w:ascii="Times New Roman" w:cs="Times New Roman" w:eastAsia="Times New Roman" w:hAnsi="Times New Roman"/>
          <w:sz w:val="20"/>
          <w:szCs w:val="20"/>
          <w:i w:val="1"/>
          <w:iCs w:val="1"/>
          <w:color w:val="auto"/>
        </w:rPr>
        <w:t>ASC 718</w:t>
      </w:r>
      <w:r>
        <w:rPr>
          <w:rFonts w:ascii="Times New Roman" w:cs="Times New Roman" w:eastAsia="Times New Roman" w:hAnsi="Times New Roman"/>
          <w:sz w:val="20"/>
          <w:szCs w:val="20"/>
          <w:color w:val="auto"/>
        </w:rPr>
        <w:t>”) and subject to adjustment as provided in the Equity Plan). The awards described in this Section 2(b) shall be referred to as the “</w:t>
      </w:r>
      <w:r>
        <w:rPr>
          <w:rFonts w:ascii="Times New Roman" w:cs="Times New Roman" w:eastAsia="Times New Roman" w:hAnsi="Times New Roman"/>
          <w:sz w:val="20"/>
          <w:szCs w:val="20"/>
          <w:i w:val="1"/>
          <w:iCs w:val="1"/>
          <w:color w:val="auto"/>
        </w:rPr>
        <w:t>Annual Awards</w:t>
      </w:r>
      <w:r>
        <w:rPr>
          <w:rFonts w:ascii="Times New Roman" w:cs="Times New Roman" w:eastAsia="Times New Roman" w:hAnsi="Times New Roman"/>
          <w:sz w:val="20"/>
          <w:szCs w:val="20"/>
          <w:color w:val="auto"/>
        </w:rPr>
        <w:t>.” For the avoidance of doubt, a Non-Employee Director elected for the first time to the Board at an Annual Meeting shall receive only an Annual Award in connection with such election, and shall not receive any Initial Award on the date of such Annual Meeting as well.</w:t>
      </w:r>
    </w:p>
    <w:p>
      <w:pPr>
        <w:spacing w:after="0" w:line="73" w:lineRule="exact"/>
        <w:rPr>
          <w:rFonts w:ascii="Times New Roman" w:cs="Times New Roman" w:eastAsia="Times New Roman" w:hAnsi="Times New Roman"/>
          <w:sz w:val="20"/>
          <w:szCs w:val="20"/>
          <w:color w:val="auto"/>
        </w:rPr>
      </w:pPr>
    </w:p>
    <w:p>
      <w:pPr>
        <w:ind w:left="968" w:hanging="320"/>
        <w:spacing w:after="0" w:line="250" w:lineRule="auto"/>
        <w:tabs>
          <w:tab w:leader="none" w:pos="956"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Initial Awards</w:t>
      </w:r>
      <w:r>
        <w:rPr>
          <w:rFonts w:ascii="Times New Roman" w:cs="Times New Roman" w:eastAsia="Times New Roman" w:hAnsi="Times New Roman"/>
          <w:sz w:val="20"/>
          <w:szCs w:val="20"/>
          <w:color w:val="auto"/>
        </w:rPr>
        <w:t>. Except as otherwise determined by the Board, each Non-Employee Director who is initially elected or appointed on any date other than the date of an Annual Meeting shall be automatically granted, on the date of such Non-Employee Director’s initial election or appointment (such Non-Employee Director’s “</w:t>
      </w:r>
      <w:r>
        <w:rPr>
          <w:rFonts w:ascii="Times New Roman" w:cs="Times New Roman" w:eastAsia="Times New Roman" w:hAnsi="Times New Roman"/>
          <w:sz w:val="20"/>
          <w:szCs w:val="20"/>
          <w:i w:val="1"/>
          <w:iCs w:val="1"/>
          <w:color w:val="auto"/>
        </w:rPr>
        <w:t>Start Date</w:t>
      </w:r>
      <w:r>
        <w:rPr>
          <w:rFonts w:ascii="Times New Roman" w:cs="Times New Roman" w:eastAsia="Times New Roman" w:hAnsi="Times New Roman"/>
          <w:sz w:val="20"/>
          <w:szCs w:val="20"/>
          <w:color w:val="auto"/>
        </w:rPr>
        <w:t>”), an award of RSUs that have an aggregate fair value on such Non-Employee Director’s Start Date equal to the product of (i) $115,000 (as determined in accordance with ASC 718) and (ii) a fraction, the numerator of which is (x) 365 minus (y) the number of days in the period beginning on the date of the Annual Meeting immediately preceding such Non-Employee Director’s Start Date and ending on such Non-Employee Director’s Start Date and the denominator of which is 365 (with the number of shares of common stock underlying each such award subject to adjustment as provided in the Equity Plan). The awards described in this Section 2(c) shall be referred to as “</w:t>
      </w:r>
      <w:r>
        <w:rPr>
          <w:rFonts w:ascii="Times New Roman" w:cs="Times New Roman" w:eastAsia="Times New Roman" w:hAnsi="Times New Roman"/>
          <w:sz w:val="20"/>
          <w:szCs w:val="20"/>
          <w:i w:val="1"/>
          <w:iCs w:val="1"/>
          <w:color w:val="auto"/>
        </w:rPr>
        <w:t>Initial Awards.</w:t>
      </w:r>
      <w:r>
        <w:rPr>
          <w:rFonts w:ascii="Times New Roman" w:cs="Times New Roman" w:eastAsia="Times New Roman" w:hAnsi="Times New Roman"/>
          <w:sz w:val="20"/>
          <w:szCs w:val="20"/>
          <w:color w:val="auto"/>
        </w:rPr>
        <w:t>” Notwithstanding the foregoing, the Board in its sole discretion may determine that the Initial Award for any Non-Employee Director be granted in the form of restricted stock units with equivalent value on the date of grant (based on the closing price per share of the</w:t>
      </w:r>
    </w:p>
    <w:p>
      <w:pPr>
        <w:sectPr>
          <w:pgSz w:w="11900" w:h="16838" w:orient="portrait"/>
          <w:cols w:equalWidth="0" w:num="1">
            <w:col w:w="10888"/>
          </w:cols>
          <w:pgMar w:left="652" w:top="1440" w:right="359" w:bottom="1440" w:gutter="0" w:footer="0" w:header="0"/>
        </w:sectPr>
      </w:pPr>
    </w:p>
    <w:bookmarkStart w:id="134" w:name="page135"/>
    <w:bookmarkEnd w:id="134"/>
    <w:p>
      <w:pPr>
        <w:spacing w:after="0" w:line="81" w:lineRule="exact"/>
        <w:rPr>
          <w:sz w:val="20"/>
          <w:szCs w:val="20"/>
          <w:color w:val="auto"/>
        </w:rPr>
      </w:pPr>
    </w:p>
    <w:p>
      <w:pPr>
        <w:ind w:left="320" w:right="160"/>
        <w:spacing w:after="0" w:line="261" w:lineRule="auto"/>
        <w:rPr>
          <w:sz w:val="20"/>
          <w:szCs w:val="20"/>
          <w:color w:val="auto"/>
        </w:rPr>
      </w:pPr>
      <w:r>
        <w:rPr>
          <w:rFonts w:ascii="Times New Roman" w:cs="Times New Roman" w:eastAsia="Times New Roman" w:hAnsi="Times New Roman"/>
          <w:sz w:val="20"/>
          <w:szCs w:val="20"/>
          <w:color w:val="auto"/>
        </w:rPr>
        <w:t>Company’s common stock) (with the number of shares of common stock underlying each such award subject to adjustment as provided in the Equity Plan). For the avoidance of doubt, no Non-Employee Director shall be granted more than one Initial Award.</w:t>
      </w:r>
    </w:p>
    <w:p>
      <w:pPr>
        <w:spacing w:after="0" w:line="73" w:lineRule="exact"/>
        <w:rPr>
          <w:sz w:val="20"/>
          <w:szCs w:val="20"/>
          <w:color w:val="auto"/>
        </w:rPr>
      </w:pPr>
    </w:p>
    <w:p>
      <w:pPr>
        <w:ind w:left="320" w:right="140" w:hanging="320"/>
        <w:spacing w:after="0" w:line="253" w:lineRule="auto"/>
        <w:tabs>
          <w:tab w:leader="none" w:pos="31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Employment of Employee Directors</w:t>
      </w:r>
      <w:r>
        <w:rPr>
          <w:rFonts w:ascii="Times New Roman" w:cs="Times New Roman" w:eastAsia="Times New Roman" w:hAnsi="Times New Roman"/>
          <w:sz w:val="20"/>
          <w:szCs w:val="20"/>
          <w:color w:val="auto"/>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2(c) above, but to the extent that they are otherwise eligible, will be eligible to receive, after termination from employment with the Company and any parent or subsidiary of the Company, Annual Awards as described in Section 2(b) above.</w:t>
      </w:r>
    </w:p>
    <w:p>
      <w:pPr>
        <w:spacing w:after="0" w:line="83" w:lineRule="exact"/>
        <w:rPr>
          <w:rFonts w:ascii="Times New Roman" w:cs="Times New Roman" w:eastAsia="Times New Roman" w:hAnsi="Times New Roman"/>
          <w:sz w:val="20"/>
          <w:szCs w:val="20"/>
          <w:color w:val="auto"/>
        </w:rPr>
      </w:pPr>
    </w:p>
    <w:p>
      <w:pPr>
        <w:ind w:left="320" w:hanging="320"/>
        <w:spacing w:after="0" w:line="251" w:lineRule="auto"/>
        <w:tabs>
          <w:tab w:leader="none" w:pos="30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of Awards Granted to Non-Employee Directors</w:t>
      </w:r>
      <w:r>
        <w:rPr>
          <w:rFonts w:ascii="Times New Roman" w:cs="Times New Roman" w:eastAsia="Times New Roman" w:hAnsi="Times New Roman"/>
          <w:sz w:val="20"/>
          <w:szCs w:val="20"/>
          <w:color w:val="auto"/>
        </w:rPr>
        <w:t>. Each Annual Award and each Initial Award shall vest and become exercisable on the earlier of (i) the day immediately preceding the date of the first Annual Meeting following the date of grant and (ii) the first anniversary of the date of grant, subject to the Non-Employee Director continuing in service on the Board through the applicable vesting date. No portion of an Annual Award or Initial Award that is unvested or unexercisable at the time of a Non-Employee Director’s termination of service on the Board shall become vested and exercisable thereafter. All of a Non-Employee Director’s Annual Awards and Initial Awards shall vest in full immediately prior to the occurrence of a Change in Control (as defined in the Equity Plan), to the extent outstanding at such time.</w:t>
      </w:r>
    </w:p>
    <w:p>
      <w:pPr>
        <w:sectPr>
          <w:pgSz w:w="11900" w:h="16838" w:orient="portrait"/>
          <w:cols w:equalWidth="0" w:num="1">
            <w:col w:w="10240"/>
          </w:cols>
          <w:pgMar w:left="1300" w:top="1440" w:right="35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List of Subsidiaries of The Vita Coco Company,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i w:val="1"/>
          <w:iCs w:val="1"/>
          <w:color w:val="auto"/>
        </w:rPr>
        <w:t>As of December 31, 2025</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b w:val="1"/>
                <w:bCs w:val="1"/>
                <w:color w:val="auto"/>
                <w:w w:val="98"/>
              </w:rPr>
              <w:t>Jurisdiction of Incorporation or Organization</w:t>
            </w:r>
          </w:p>
        </w:tc>
      </w:tr>
      <w:tr>
        <w:trPr>
          <w:trHeight w:val="20"/>
        </w:trPr>
        <w:tc>
          <w:tcPr>
            <w:tcW w:w="102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r>
      <w:tr>
        <w:trPr>
          <w:trHeight w:val="323"/>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All Market Europe Limited</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United Kingdom</w:t>
            </w:r>
          </w:p>
        </w:tc>
      </w:tr>
      <w:tr>
        <w:trPr>
          <w:trHeight w:val="297"/>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All Market Consumer SL</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Spain</w:t>
            </w:r>
          </w:p>
        </w:tc>
      </w:tr>
      <w:tr>
        <w:trPr>
          <w:trHeight w:val="297"/>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Vita Coco France SAS</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France</w:t>
            </w:r>
          </w:p>
        </w:tc>
      </w:tr>
      <w:tr>
        <w:trPr>
          <w:trHeight w:val="297"/>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CocoWorks, Inc.</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Delaware</w:t>
            </w:r>
          </w:p>
        </w:tc>
      </w:tr>
      <w:tr>
        <w:trPr>
          <w:trHeight w:val="297"/>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All Market Singapore Pte Ltd</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Singapore</w:t>
            </w:r>
          </w:p>
        </w:tc>
      </w:tr>
      <w:tr>
        <w:trPr>
          <w:trHeight w:val="297"/>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Coco Community Pte Ltd</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Singapore</w:t>
            </w:r>
          </w:p>
        </w:tc>
      </w:tr>
      <w:tr>
        <w:trPr>
          <w:trHeight w:val="297"/>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Vita Coco Japan, LLC (GK)</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Japan</w:t>
            </w:r>
          </w:p>
        </w:tc>
      </w:tr>
      <w:tr>
        <w:trPr>
          <w:trHeight w:val="297"/>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Vita Coco Korea Ltd</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South Korea</w:t>
            </w:r>
          </w:p>
        </w:tc>
      </w:tr>
      <w:tr>
        <w:trPr>
          <w:trHeight w:val="297"/>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Vita Coco APAC Limited</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Hong Kong</w:t>
            </w:r>
          </w:p>
        </w:tc>
      </w:tr>
      <w:tr>
        <w:trPr>
          <w:trHeight w:val="297"/>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Vita Coco Mexico, S. DE R.L. DE C.V.</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Mexico</w:t>
            </w:r>
          </w:p>
        </w:tc>
      </w:tr>
      <w:tr>
        <w:trPr>
          <w:trHeight w:val="297"/>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All Market Canada Inc.</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Canada</w:t>
            </w:r>
          </w:p>
        </w:tc>
      </w:tr>
      <w:tr>
        <w:trPr>
          <w:trHeight w:val="297"/>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AMI Runa U.S. LLC</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Delaware</w:t>
            </w:r>
          </w:p>
        </w:tc>
      </w:tr>
      <w:tr>
        <w:trPr>
          <w:trHeight w:val="297"/>
        </w:trPr>
        <w:tc>
          <w:tcPr>
            <w:tcW w:w="4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All Consumer Coconuts Products Germany GmbH</w:t>
            </w:r>
          </w:p>
        </w:tc>
        <w:tc>
          <w:tcPr>
            <w:tcW w:w="474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Germany</w:t>
            </w:r>
          </w:p>
        </w:tc>
      </w:tr>
    </w:tbl>
    <w:p>
      <w:pPr>
        <w:sectPr>
          <w:pgSz w:w="11900" w:h="16838" w:orient="portrait"/>
          <w:cols w:equalWidth="0" w:num="1">
            <w:col w:w="11220"/>
          </w:cols>
          <w:pgMar w:left="340" w:top="1422" w:right="339" w:bottom="1440" w:gutter="0" w:footer="0" w:header="0"/>
        </w:sectPr>
      </w:pPr>
    </w:p>
    <w:bookmarkStart w:id="136" w:name="page137"/>
    <w:bookmarkEnd w:id="136"/>
    <w:p>
      <w:pP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26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We consent to the incorporation by reference in Registration Statement No. 333-260419 on Form S-8 and Registration Statement No. 333-271583 on Form S-3 of our reports dated February 18, 2026, relating to the financial statements of The Vita Coco Company, Inc. and the effectiveness of The Vita Coco Company, Inc.'s internal control over financial reporting appearing in this Annual Report on Form 10-K for the year ended December 31,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DELOITTE &amp; TOUCHE LLP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18, 2026</w:t>
      </w:r>
    </w:p>
    <w:p>
      <w:pPr>
        <w:sectPr>
          <w:pgSz w:w="11900" w:h="16838" w:orient="portrait"/>
          <w:cols w:equalWidth="0" w:num="1">
            <w:col w:w="11140"/>
          </w:cols>
          <w:pgMar w:left="320" w:top="1393" w:right="4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Certification Pursuant to Section 302 of Sarbanes-Oxley Act of 2002</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Martin Roper, certify that:</w:t>
      </w:r>
    </w:p>
    <w:p>
      <w:pPr>
        <w:spacing w:after="0" w:line="162"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The Vita Coco Company, Inc. (the "registrant");</w:t>
      </w:r>
    </w:p>
    <w:p>
      <w:pPr>
        <w:spacing w:after="0" w:line="269" w:lineRule="exact"/>
        <w:rPr>
          <w:rFonts w:ascii="Times New Roman" w:cs="Times New Roman" w:eastAsia="Times New Roman" w:hAnsi="Times New Roman"/>
          <w:sz w:val="20"/>
          <w:szCs w:val="20"/>
          <w:color w:val="auto"/>
        </w:rPr>
      </w:pPr>
    </w:p>
    <w:p>
      <w:pPr>
        <w:ind w:left="660" w:right="20" w:hanging="328"/>
        <w:spacing w:after="0" w:line="268" w:lineRule="auto"/>
        <w:tabs>
          <w:tab w:leader="none" w:pos="6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Times New Roman" w:cs="Times New Roman" w:eastAsia="Times New Roman" w:hAnsi="Times New Roman"/>
          <w:sz w:val="20"/>
          <w:szCs w:val="20"/>
          <w:color w:val="auto"/>
        </w:rPr>
      </w:pPr>
    </w:p>
    <w:p>
      <w:pPr>
        <w:ind w:left="660" w:hanging="328"/>
        <w:spacing w:after="0" w:line="275" w:lineRule="auto"/>
        <w:tabs>
          <w:tab w:leader="none" w:pos="6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Times New Roman" w:cs="Times New Roman" w:eastAsia="Times New Roman" w:hAnsi="Times New Roman"/>
          <w:sz w:val="20"/>
          <w:szCs w:val="20"/>
          <w:color w:val="auto"/>
        </w:rPr>
      </w:pPr>
    </w:p>
    <w:p>
      <w:pPr>
        <w:ind w:left="660" w:right="120" w:hanging="328"/>
        <w:spacing w:after="0" w:line="275" w:lineRule="auto"/>
        <w:tabs>
          <w:tab w:leader="none" w:pos="6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Times New Roman" w:cs="Times New Roman" w:eastAsia="Times New Roman" w:hAnsi="Times New Roman"/>
          <w:sz w:val="20"/>
          <w:szCs w:val="20"/>
          <w:color w:val="auto"/>
        </w:rPr>
      </w:pPr>
    </w:p>
    <w:p>
      <w:pPr>
        <w:ind w:left="980" w:right="120" w:hanging="324"/>
        <w:spacing w:after="0" w:line="268" w:lineRule="auto"/>
        <w:tabs>
          <w:tab w:leader="none" w:pos="97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5" w:lineRule="exact"/>
        <w:rPr>
          <w:rFonts w:ascii="Times New Roman" w:cs="Times New Roman" w:eastAsia="Times New Roman" w:hAnsi="Times New Roman"/>
          <w:sz w:val="20"/>
          <w:szCs w:val="20"/>
          <w:color w:val="auto"/>
        </w:rPr>
      </w:pPr>
    </w:p>
    <w:p>
      <w:pPr>
        <w:ind w:left="980" w:right="280" w:hanging="324"/>
        <w:spacing w:after="0" w:line="268" w:lineRule="auto"/>
        <w:tabs>
          <w:tab w:leader="none" w:pos="968"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Times New Roman" w:cs="Times New Roman" w:eastAsia="Times New Roman" w:hAnsi="Times New Roman"/>
          <w:sz w:val="20"/>
          <w:szCs w:val="20"/>
          <w:color w:val="auto"/>
        </w:rPr>
      </w:pPr>
    </w:p>
    <w:p>
      <w:pPr>
        <w:ind w:left="980" w:right="20" w:hanging="324"/>
        <w:spacing w:after="0" w:line="268" w:lineRule="auto"/>
        <w:tabs>
          <w:tab w:leader="none" w:pos="97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5" w:lineRule="exact"/>
        <w:rPr>
          <w:rFonts w:ascii="Times New Roman" w:cs="Times New Roman" w:eastAsia="Times New Roman" w:hAnsi="Times New Roman"/>
          <w:sz w:val="20"/>
          <w:szCs w:val="20"/>
          <w:color w:val="auto"/>
        </w:rPr>
      </w:pPr>
    </w:p>
    <w:p>
      <w:pPr>
        <w:ind w:left="980" w:hanging="324"/>
        <w:spacing w:after="0" w:line="268" w:lineRule="auto"/>
        <w:tabs>
          <w:tab w:leader="none" w:pos="968"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rFonts w:ascii="Times New Roman" w:cs="Times New Roman" w:eastAsia="Times New Roman" w:hAnsi="Times New Roman"/>
          <w:sz w:val="20"/>
          <w:szCs w:val="20"/>
          <w:color w:val="auto"/>
        </w:rPr>
      </w:pPr>
    </w:p>
    <w:p>
      <w:pPr>
        <w:ind w:left="660" w:right="240" w:hanging="328"/>
        <w:spacing w:after="0" w:line="275" w:lineRule="auto"/>
        <w:tabs>
          <w:tab w:leader="none" w:pos="6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20"/>
          </w:cols>
          <w:pgMar w:left="320" w:top="1422" w:right="359" w:bottom="1440" w:gutter="0" w:footer="0" w:header="0"/>
        </w:sectPr>
      </w:pPr>
    </w:p>
    <w:bookmarkStart w:id="138" w:name="page139"/>
    <w:bookmarkEnd w:id="138"/>
    <w:p>
      <w:pPr>
        <w:ind w:left="960" w:hanging="324"/>
        <w:spacing w:after="0" w:line="275" w:lineRule="auto"/>
        <w:tabs>
          <w:tab w:leader="none" w:pos="95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Times New Roman" w:cs="Times New Roman" w:eastAsia="Times New Roman" w:hAnsi="Times New Roman"/>
          <w:sz w:val="20"/>
          <w:szCs w:val="20"/>
          <w:color w:val="auto"/>
        </w:rPr>
      </w:pPr>
    </w:p>
    <w:p>
      <w:pPr>
        <w:ind w:left="960" w:right="20" w:hanging="324"/>
        <w:spacing w:after="0" w:line="297" w:lineRule="auto"/>
        <w:tabs>
          <w:tab w:leader="none" w:pos="94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6720" w:val="left"/>
        </w:tabs>
        <w:rPr>
          <w:sz w:val="20"/>
          <w:szCs w:val="20"/>
          <w:color w:val="auto"/>
        </w:rPr>
      </w:pPr>
      <w:r>
        <w:rPr>
          <w:rFonts w:ascii="Times New Roman" w:cs="Times New Roman" w:eastAsia="Times New Roman" w:hAnsi="Times New Roman"/>
          <w:sz w:val="20"/>
          <w:szCs w:val="20"/>
          <w:color w:val="auto"/>
        </w:rPr>
        <w:t>Date: February 18, 2026</w:t>
      </w:r>
      <w:r>
        <w:rPr>
          <w:sz w:val="20"/>
          <w:szCs w:val="20"/>
          <w:color w:val="auto"/>
        </w:rPr>
        <w:tab/>
      </w:r>
      <w:r>
        <w:rPr>
          <w:rFonts w:ascii="Times New Roman" w:cs="Times New Roman" w:eastAsia="Times New Roman" w:hAnsi="Times New Roman"/>
          <w:sz w:val="19"/>
          <w:szCs w:val="19"/>
          <w:color w:val="auto"/>
        </w:rPr>
        <w:t>By: /s/ Martin 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4269740</wp:posOffset>
            </wp:positionH>
            <wp:positionV relativeFrom="paragraph">
              <wp:posOffset>31115</wp:posOffset>
            </wp:positionV>
            <wp:extent cx="28460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6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Martin 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4269740</wp:posOffset>
            </wp:positionH>
            <wp:positionV relativeFrom="paragraph">
              <wp:posOffset>31115</wp:posOffset>
            </wp:positionV>
            <wp:extent cx="28460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Chief Executive Officer</w:t>
      </w:r>
    </w:p>
    <w:p>
      <w:pPr>
        <w:ind w:left="674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p>
      <w:pPr>
        <w:sectPr>
          <w:pgSz w:w="11900" w:h="16838" w:orient="portrait"/>
          <w:cols w:equalWidth="0" w:num="1">
            <w:col w:w="11080"/>
          </w:cols>
          <w:pgMar w:left="340" w:top="1426" w:right="47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Certification Pursuant to Section 302 of Sarbanes-Oxley Act of 2002</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I, Corey Baker, certify that:</w:t>
      </w:r>
    </w:p>
    <w:p>
      <w:pPr>
        <w:spacing w:after="0" w:line="270" w:lineRule="exact"/>
        <w:rPr>
          <w:sz w:val="20"/>
          <w:szCs w:val="20"/>
          <w:color w:val="auto"/>
        </w:rPr>
      </w:pPr>
    </w:p>
    <w:p>
      <w:pPr>
        <w:ind w:left="660" w:hanging="328"/>
        <w:spacing w:after="0"/>
        <w:tabs>
          <w:tab w:leader="none" w:pos="6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The Vita Coco Company, Inc. (the "registrant");</w:t>
      </w:r>
    </w:p>
    <w:p>
      <w:pPr>
        <w:spacing w:after="0" w:line="256" w:lineRule="exact"/>
        <w:rPr>
          <w:rFonts w:ascii="Times New Roman" w:cs="Times New Roman" w:eastAsia="Times New Roman" w:hAnsi="Times New Roman"/>
          <w:sz w:val="20"/>
          <w:szCs w:val="20"/>
          <w:color w:val="auto"/>
        </w:rPr>
      </w:pPr>
    </w:p>
    <w:p>
      <w:pPr>
        <w:ind w:left="660" w:right="20" w:hanging="328"/>
        <w:spacing w:after="0" w:line="275" w:lineRule="auto"/>
        <w:tabs>
          <w:tab w:leader="none" w:pos="6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4" w:lineRule="exact"/>
        <w:rPr>
          <w:rFonts w:ascii="Times New Roman" w:cs="Times New Roman" w:eastAsia="Times New Roman" w:hAnsi="Times New Roman"/>
          <w:sz w:val="20"/>
          <w:szCs w:val="20"/>
          <w:color w:val="auto"/>
        </w:rPr>
      </w:pPr>
    </w:p>
    <w:p>
      <w:pPr>
        <w:ind w:left="660" w:right="120" w:hanging="328"/>
        <w:spacing w:after="0" w:line="275" w:lineRule="auto"/>
        <w:tabs>
          <w:tab w:leader="none" w:pos="6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Times New Roman" w:cs="Times New Roman" w:eastAsia="Times New Roman" w:hAnsi="Times New Roman"/>
          <w:sz w:val="20"/>
          <w:szCs w:val="20"/>
          <w:color w:val="auto"/>
        </w:rPr>
      </w:pPr>
    </w:p>
    <w:p>
      <w:pPr>
        <w:ind w:left="980" w:right="120" w:hanging="324"/>
        <w:spacing w:after="0" w:line="278" w:lineRule="auto"/>
        <w:tabs>
          <w:tab w:leader="none" w:pos="97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cs="Times New Roman" w:eastAsia="Times New Roman" w:hAnsi="Times New Roman"/>
          <w:sz w:val="21"/>
          <w:szCs w:val="21"/>
          <w:color w:val="auto"/>
        </w:rPr>
        <w:t>;</w:t>
      </w:r>
    </w:p>
    <w:p>
      <w:pPr>
        <w:spacing w:after="0" w:line="200" w:lineRule="exact"/>
        <w:rPr>
          <w:rFonts w:ascii="Times New Roman" w:cs="Times New Roman" w:eastAsia="Times New Roman" w:hAnsi="Times New Roman"/>
          <w:sz w:val="20"/>
          <w:szCs w:val="20"/>
          <w:color w:val="auto"/>
        </w:rPr>
      </w:pPr>
    </w:p>
    <w:p>
      <w:pPr>
        <w:ind w:left="980" w:right="280" w:hanging="324"/>
        <w:spacing w:after="0" w:line="275" w:lineRule="auto"/>
        <w:tabs>
          <w:tab w:leader="none" w:pos="968"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Times New Roman" w:cs="Times New Roman" w:eastAsia="Times New Roman" w:hAnsi="Times New Roman"/>
          <w:sz w:val="20"/>
          <w:szCs w:val="20"/>
          <w:color w:val="auto"/>
        </w:rPr>
      </w:pPr>
    </w:p>
    <w:p>
      <w:pPr>
        <w:ind w:left="980" w:right="20" w:hanging="324"/>
        <w:spacing w:after="0" w:line="275" w:lineRule="auto"/>
        <w:tabs>
          <w:tab w:leader="none" w:pos="97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Times New Roman" w:cs="Times New Roman" w:eastAsia="Times New Roman" w:hAnsi="Times New Roman"/>
          <w:sz w:val="20"/>
          <w:szCs w:val="20"/>
          <w:color w:val="auto"/>
        </w:rPr>
      </w:pPr>
    </w:p>
    <w:p>
      <w:pPr>
        <w:ind w:left="980" w:hanging="324"/>
        <w:spacing w:after="0" w:line="275" w:lineRule="auto"/>
        <w:tabs>
          <w:tab w:leader="none" w:pos="968"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Times New Roman" w:cs="Times New Roman" w:eastAsia="Times New Roman" w:hAnsi="Times New Roman"/>
          <w:sz w:val="20"/>
          <w:szCs w:val="20"/>
          <w:color w:val="auto"/>
        </w:rPr>
      </w:pPr>
    </w:p>
    <w:p>
      <w:pPr>
        <w:ind w:left="660" w:right="240" w:hanging="328"/>
        <w:spacing w:after="0" w:line="275" w:lineRule="auto"/>
        <w:tabs>
          <w:tab w:leader="none" w:pos="6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20"/>
          </w:cols>
          <w:pgMar w:left="320" w:top="1422" w:right="359" w:bottom="1440" w:gutter="0" w:footer="0" w:header="0"/>
        </w:sectPr>
      </w:pPr>
    </w:p>
    <w:bookmarkStart w:id="140" w:name="page141"/>
    <w:bookmarkEnd w:id="140"/>
    <w:p>
      <w:pPr>
        <w:ind w:left="960" w:hanging="324"/>
        <w:spacing w:after="0" w:line="275" w:lineRule="auto"/>
        <w:tabs>
          <w:tab w:leader="none" w:pos="95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Times New Roman" w:cs="Times New Roman" w:eastAsia="Times New Roman" w:hAnsi="Times New Roman"/>
          <w:sz w:val="20"/>
          <w:szCs w:val="20"/>
          <w:color w:val="auto"/>
        </w:rPr>
      </w:pPr>
    </w:p>
    <w:p>
      <w:pPr>
        <w:ind w:left="960" w:right="20" w:hanging="324"/>
        <w:spacing w:after="0" w:line="297" w:lineRule="auto"/>
        <w:tabs>
          <w:tab w:leader="none" w:pos="94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0" w:lineRule="exact"/>
        <w:rPr>
          <w:sz w:val="20"/>
          <w:szCs w:val="20"/>
          <w:color w:val="auto"/>
        </w:rPr>
      </w:pPr>
    </w:p>
    <w:p>
      <w:pPr>
        <w:spacing w:after="0"/>
        <w:tabs>
          <w:tab w:leader="none" w:pos="6720" w:val="left"/>
        </w:tabs>
        <w:rPr>
          <w:sz w:val="20"/>
          <w:szCs w:val="20"/>
          <w:color w:val="auto"/>
        </w:rPr>
      </w:pPr>
      <w:r>
        <w:rPr>
          <w:rFonts w:ascii="Times New Roman" w:cs="Times New Roman" w:eastAsia="Times New Roman" w:hAnsi="Times New Roman"/>
          <w:sz w:val="20"/>
          <w:szCs w:val="20"/>
          <w:color w:val="auto"/>
        </w:rPr>
        <w:t>Date: February 18, 2026</w:t>
      </w:r>
      <w:r>
        <w:rPr>
          <w:sz w:val="20"/>
          <w:szCs w:val="20"/>
          <w:color w:val="auto"/>
        </w:rPr>
        <w:tab/>
      </w:r>
      <w:r>
        <w:rPr>
          <w:rFonts w:ascii="Times New Roman" w:cs="Times New Roman" w:eastAsia="Times New Roman" w:hAnsi="Times New Roman"/>
          <w:sz w:val="19"/>
          <w:szCs w:val="19"/>
          <w:color w:val="auto"/>
        </w:rPr>
        <w:t>By: /s/ Corey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4269740</wp:posOffset>
            </wp:positionH>
            <wp:positionV relativeFrom="paragraph">
              <wp:posOffset>31115</wp:posOffset>
            </wp:positionV>
            <wp:extent cx="28460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6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Corey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4269740</wp:posOffset>
            </wp:positionH>
            <wp:positionV relativeFrom="paragraph">
              <wp:posOffset>31115</wp:posOffset>
            </wp:positionV>
            <wp:extent cx="28460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(Principal Financial and Accounting Officer)</w:t>
      </w:r>
    </w:p>
    <w:p>
      <w:pPr>
        <w:sectPr>
          <w:pgSz w:w="11900" w:h="16838" w:orient="portrait"/>
          <w:cols w:equalWidth="0" w:num="1">
            <w:col w:w="11080"/>
          </w:cols>
          <w:pgMar w:left="340" w:top="1426" w:right="4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spacing w:after="0" w:line="1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66" w:lineRule="exact"/>
        <w:rPr>
          <w:sz w:val="20"/>
          <w:szCs w:val="20"/>
          <w:color w:val="auto"/>
        </w:rPr>
      </w:pPr>
    </w:p>
    <w:p>
      <w:pPr>
        <w:jc w:val="both"/>
        <w:ind w:right="420" w:firstLine="648"/>
        <w:spacing w:after="0" w:line="296" w:lineRule="auto"/>
        <w:rPr>
          <w:sz w:val="20"/>
          <w:szCs w:val="20"/>
          <w:color w:val="auto"/>
        </w:rPr>
      </w:pPr>
      <w:r>
        <w:rPr>
          <w:rFonts w:ascii="Times New Roman" w:cs="Times New Roman" w:eastAsia="Times New Roman" w:hAnsi="Times New Roman"/>
          <w:sz w:val="19"/>
          <w:szCs w:val="19"/>
          <w:color w:val="auto"/>
        </w:rPr>
        <w:t>In connection with the Annual Report on Form 10-K of The Vita Coco Company, Inc. (the “Company”) for the period ended December 31, 2025 as filed with the Securities and Exchange Commission on the date hereof (the “Report”), I, Martin Roper, certify, pursuant to 18 U.S.C. § 1350, as adopted pursuant to § 906 of the Sarbanes-Oxley Act of 2002, that, to the best of my knowledge:</w:t>
      </w:r>
    </w:p>
    <w:p>
      <w:pPr>
        <w:spacing w:after="0" w:line="83" w:lineRule="exact"/>
        <w:rPr>
          <w:sz w:val="20"/>
          <w:szCs w:val="20"/>
          <w:color w:val="auto"/>
        </w:rPr>
      </w:pPr>
    </w:p>
    <w:p>
      <w:pPr>
        <w:ind w:left="360" w:hanging="312"/>
        <w:spacing w:after="0"/>
        <w:tabs>
          <w:tab w:leader="none" w:pos="3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56" w:lineRule="exact"/>
        <w:rPr>
          <w:rFonts w:ascii="Times New Roman" w:cs="Times New Roman" w:eastAsia="Times New Roman" w:hAnsi="Times New Roman"/>
          <w:sz w:val="20"/>
          <w:szCs w:val="20"/>
          <w:color w:val="auto"/>
        </w:rPr>
      </w:pPr>
    </w:p>
    <w:p>
      <w:pPr>
        <w:ind w:left="380" w:hanging="332"/>
        <w:spacing w:after="0" w:line="283" w:lineRule="auto"/>
        <w:tabs>
          <w:tab w:leader="none" w:pos="36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8" w:lineRule="exact"/>
        <w:rPr>
          <w:sz w:val="20"/>
          <w:szCs w:val="20"/>
          <w:color w:val="auto"/>
        </w:rPr>
      </w:pPr>
    </w:p>
    <w:p>
      <w:pPr>
        <w:ind w:left="20"/>
        <w:spacing w:after="0"/>
        <w:tabs>
          <w:tab w:leader="none" w:pos="6740" w:val="left"/>
        </w:tabs>
        <w:rPr>
          <w:sz w:val="20"/>
          <w:szCs w:val="20"/>
          <w:color w:val="auto"/>
        </w:rPr>
      </w:pPr>
      <w:r>
        <w:rPr>
          <w:rFonts w:ascii="Times New Roman" w:cs="Times New Roman" w:eastAsia="Times New Roman" w:hAnsi="Times New Roman"/>
          <w:sz w:val="20"/>
          <w:szCs w:val="20"/>
          <w:color w:val="auto"/>
        </w:rPr>
        <w:t>Date: February 18, 2026</w:t>
      </w:r>
      <w:r>
        <w:rPr>
          <w:sz w:val="20"/>
          <w:szCs w:val="20"/>
          <w:color w:val="auto"/>
        </w:rPr>
        <w:tab/>
      </w:r>
      <w:r>
        <w:rPr>
          <w:rFonts w:ascii="Times New Roman" w:cs="Times New Roman" w:eastAsia="Times New Roman" w:hAnsi="Times New Roman"/>
          <w:sz w:val="19"/>
          <w:szCs w:val="19"/>
          <w:color w:val="auto"/>
        </w:rPr>
        <w:t>By: /s/ Martin 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31115</wp:posOffset>
            </wp:positionV>
            <wp:extent cx="28460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6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color w:val="auto"/>
        </w:rPr>
        <w:t>Martin 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31115</wp:posOffset>
            </wp:positionV>
            <wp:extent cx="28460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6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color w:val="auto"/>
        </w:rPr>
        <w:t>(Principal Executive Officer)</w:t>
      </w:r>
    </w:p>
    <w:p>
      <w:pPr>
        <w:sectPr>
          <w:pgSz w:w="11900" w:h="16838" w:orient="portrait"/>
          <w:cols w:equalWidth="0" w:num="1">
            <w:col w:w="10980"/>
          </w:cols>
          <w:pgMar w:left="320" w:top="1422" w:right="5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66" w:lineRule="exact"/>
        <w:rPr>
          <w:sz w:val="20"/>
          <w:szCs w:val="20"/>
          <w:color w:val="auto"/>
        </w:rPr>
      </w:pPr>
    </w:p>
    <w:p>
      <w:pPr>
        <w:ind w:left="20"/>
        <w:spacing w:after="0" w:line="275" w:lineRule="auto"/>
        <w:rPr>
          <w:sz w:val="20"/>
          <w:szCs w:val="20"/>
          <w:color w:val="auto"/>
        </w:rPr>
      </w:pPr>
      <w:r>
        <w:rPr>
          <w:rFonts w:ascii="Times New Roman" w:cs="Times New Roman" w:eastAsia="Times New Roman" w:hAnsi="Times New Roman"/>
          <w:sz w:val="19"/>
          <w:szCs w:val="19"/>
          <w:color w:val="auto"/>
        </w:rPr>
        <w:t>In connection with the Annual Report on Form 10-K of The Vita Coco Company, Inc. (the “Company”) for the period ended December 31, 2025 as filed with the Securities and Exchange Commission on the date hereof (the “Report”), I, Corey Baker, certify, pursuant to 18 U.S.C.</w:t>
      </w:r>
    </w:p>
    <w:p>
      <w:pPr>
        <w:spacing w:after="0" w:line="1" w:lineRule="exact"/>
        <w:rPr>
          <w:sz w:val="20"/>
          <w:szCs w:val="20"/>
          <w:color w:val="auto"/>
        </w:rPr>
      </w:pPr>
    </w:p>
    <w:p>
      <w:pPr>
        <w:ind w:left="160" w:hanging="146"/>
        <w:spacing w:after="0"/>
        <w:tabs>
          <w:tab w:leader="none" w:pos="1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1350, as adopted pursuant to § 906 of the Sarbanes-Oxley Act of 2002, that, to the best of my knowledge;</w:t>
      </w:r>
    </w:p>
    <w:p>
      <w:pPr>
        <w:spacing w:after="0" w:line="254" w:lineRule="exact"/>
        <w:rPr>
          <w:rFonts w:ascii="Times New Roman" w:cs="Times New Roman" w:eastAsia="Times New Roman" w:hAnsi="Times New Roman"/>
          <w:sz w:val="20"/>
          <w:szCs w:val="20"/>
          <w:color w:val="auto"/>
        </w:rPr>
      </w:pPr>
    </w:p>
    <w:p>
      <w:pPr>
        <w:ind w:left="360" w:hanging="312"/>
        <w:spacing w:after="0"/>
        <w:tabs>
          <w:tab w:leader="none" w:pos="36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56" w:lineRule="exact"/>
        <w:rPr>
          <w:rFonts w:ascii="Times New Roman" w:cs="Times New Roman" w:eastAsia="Times New Roman" w:hAnsi="Times New Roman"/>
          <w:sz w:val="20"/>
          <w:szCs w:val="20"/>
          <w:color w:val="auto"/>
        </w:rPr>
      </w:pPr>
    </w:p>
    <w:p>
      <w:pPr>
        <w:ind w:left="380" w:right="120" w:hanging="332"/>
        <w:spacing w:after="0" w:line="297" w:lineRule="auto"/>
        <w:tabs>
          <w:tab w:leader="none" w:pos="368"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1" w:lineRule="exact"/>
        <w:rPr>
          <w:sz w:val="20"/>
          <w:szCs w:val="20"/>
          <w:color w:val="auto"/>
        </w:rPr>
      </w:pPr>
    </w:p>
    <w:p>
      <w:pPr>
        <w:ind w:left="20"/>
        <w:spacing w:after="0"/>
        <w:tabs>
          <w:tab w:leader="none" w:pos="6740" w:val="left"/>
        </w:tabs>
        <w:rPr>
          <w:sz w:val="20"/>
          <w:szCs w:val="20"/>
          <w:color w:val="auto"/>
        </w:rPr>
      </w:pPr>
      <w:r>
        <w:rPr>
          <w:rFonts w:ascii="Times New Roman" w:cs="Times New Roman" w:eastAsia="Times New Roman" w:hAnsi="Times New Roman"/>
          <w:sz w:val="20"/>
          <w:szCs w:val="20"/>
          <w:color w:val="auto"/>
        </w:rPr>
        <w:t>Date: February 18, 2026</w:t>
      </w:r>
      <w:r>
        <w:rPr>
          <w:sz w:val="20"/>
          <w:szCs w:val="20"/>
          <w:color w:val="auto"/>
        </w:rPr>
        <w:tab/>
      </w:r>
      <w:r>
        <w:rPr>
          <w:rFonts w:ascii="Times New Roman" w:cs="Times New Roman" w:eastAsia="Times New Roman" w:hAnsi="Times New Roman"/>
          <w:sz w:val="19"/>
          <w:szCs w:val="19"/>
          <w:color w:val="auto"/>
        </w:rPr>
        <w:t>By: /s/ Corey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31115</wp:posOffset>
            </wp:positionV>
            <wp:extent cx="28460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6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color w:val="auto"/>
        </w:rPr>
        <w:t>Corey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31115</wp:posOffset>
            </wp:positionV>
            <wp:extent cx="28460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color w:val="auto"/>
        </w:rPr>
        <w:t>(Principal Financial and Accounting Officer)</w:t>
      </w:r>
    </w:p>
    <w:sectPr>
      <w:pgSz w:w="11900" w:h="16838" w:orient="portrait"/>
      <w:cols w:equalWidth="0" w:num="1">
        <w:col w:w="11100"/>
      </w:cols>
      <w:pgMar w:left="320" w:top="1422"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1)"/>
      <w:numFmt w:val="lowerLetter"/>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1)"/>
      <w:numFmt w:val="decimal"/>
      <w:start w:val="1"/>
    </w:lvl>
  </w:abstractNum>
  <w:abstractNum w:abstractNumId="19">
    <w:nsid w:val="542289EC"/>
    <w:multiLevelType w:val="hybridMultilevel"/>
    <w:lvl w:ilvl="0">
      <w:lvlJc w:val="left"/>
      <w:lvlText w:val="%1."/>
      <w:numFmt w:val="decimal"/>
      <w:start w:val="2"/>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1)"/>
      <w:numFmt w:val="lowerRoman"/>
      <w:start w:val="2"/>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1."/>
      <w:numFmt w:val="decimal"/>
      <w:start w:val="6"/>
    </w:lvl>
  </w:abstractNum>
  <w:abstractNum w:abstractNumId="24">
    <w:nsid w:val="684A481A"/>
    <w:multiLevelType w:val="hybridMultilevel"/>
    <w:lvl w:ilvl="0">
      <w:lvlJc w:val="left"/>
      <w:lvlText w:val="%1."/>
      <w:numFmt w:val="decimal"/>
      <w:start w:val="8"/>
    </w:lvl>
  </w:abstractNum>
  <w:abstractNum w:abstractNumId="25">
    <w:nsid w:val="579478FE"/>
    <w:multiLevelType w:val="hybridMultilevel"/>
    <w:lvl w:ilvl="0">
      <w:lvlJc w:val="left"/>
      <w:lvlText w:val="(%1)"/>
      <w:numFmt w:val="lowerRoman"/>
      <w:start w:val="5"/>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1)"/>
      <w:numFmt w:val="decimal"/>
      <w:start w:val="1"/>
    </w:lvl>
  </w:abstractNum>
  <w:abstractNum w:abstractNumId="28">
    <w:nsid w:val="1BA026FA"/>
    <w:multiLevelType w:val="hybridMultilevel"/>
    <w:lvl w:ilvl="0">
      <w:lvlJc w:val="left"/>
      <w:lvlText w:val="(%1)"/>
      <w:numFmt w:val="lowerRoman"/>
      <w:start w:val="1"/>
    </w:lvl>
  </w:abstractNum>
  <w:abstractNum w:abstractNumId="29">
    <w:nsid w:val="79A1DEAA"/>
    <w:multiLevelType w:val="hybridMultilevel"/>
    <w:lvl w:ilvl="0">
      <w:lvlJc w:val="left"/>
      <w:lvlText w:val="1"/>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1)"/>
      <w:numFmt w:val="decimal"/>
      <w:start w:val="1"/>
    </w:lvl>
  </w:abstractNum>
  <w:abstractNum w:abstractNumId="32">
    <w:nsid w:val="70C6A529"/>
    <w:multiLevelType w:val="hybridMultilevel"/>
    <w:lvl w:ilvl="0">
      <w:lvlJc w:val="left"/>
      <w:lvlText w:val="(%1)"/>
      <w:numFmt w:val="decimal"/>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1)"/>
      <w:numFmt w:val="lowerLetter"/>
      <w:start w:val="1"/>
    </w:lvl>
  </w:abstractNum>
  <w:abstractNum w:abstractNumId="37">
    <w:nsid w:val="649BB77C"/>
    <w:multiLevelType w:val="hybridMultilevel"/>
    <w:lvl w:ilvl="0">
      <w:lvlJc w:val="left"/>
      <w:lvlText w:val="(%1)"/>
      <w:numFmt w:val="lowerLetter"/>
      <w:start w:val="1"/>
    </w:lvl>
  </w:abstractNum>
  <w:abstractNum w:abstractNumId="38">
    <w:nsid w:val="275AC794"/>
    <w:multiLevelType w:val="hybridMultilevel"/>
    <w:lvl w:ilvl="0">
      <w:lvlJc w:val="left"/>
      <w:lvlText w:val="(%1)"/>
      <w:numFmt w:val="lowerLetter"/>
      <w:start w:val="1"/>
    </w:lvl>
  </w:abstractNum>
  <w:abstractNum w:abstractNumId="39">
    <w:nsid w:val="39386575"/>
    <w:multiLevelType w:val="hybridMultilevel"/>
    <w:lvl w:ilvl="0">
      <w:lvlJc w:val="left"/>
      <w:lvlText w:val="(%1)"/>
      <w:numFmt w:val="lowerLetter"/>
      <w:start w:val="1"/>
    </w:lvl>
    <w:lvl w:ilvl="1">
      <w:lvlJc w:val="left"/>
      <w:lvlText w:val="(%2)"/>
      <w:numFmt w:val="lowerRoman"/>
      <w:start w:val="1"/>
    </w:lvl>
  </w:abstractNum>
  <w:abstractNum w:abstractNumId="40">
    <w:nsid w:val="1CF10FD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5"/>
    </w:lvl>
  </w:abstractNum>
  <w:abstractNum w:abstractNumId="41">
    <w:nsid w:val="180115B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42">
    <w:nsid w:val="235BA861"/>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43">
    <w:nsid w:val="47398C89"/>
    <w:multiLevelType w:val="hybridMultilevel"/>
    <w:lvl w:ilvl="0">
      <w:lvlJc w:val="left"/>
      <w:lvlText w:val="(%1)"/>
      <w:numFmt w:val="lowerLetter"/>
      <w:start w:val="1"/>
    </w:lvl>
  </w:abstractNum>
  <w:abstractNum w:abstractNumId="44">
    <w:nsid w:val="354FE9F9"/>
    <w:multiLevelType w:val="hybridMultilevel"/>
    <w:lvl w:ilvl="0">
      <w:lvlJc w:val="left"/>
      <w:lvlText w:val="(%1)"/>
      <w:numFmt w:val="lowerLetter"/>
      <w:start w:val="1"/>
    </w:lvl>
  </w:abstractNum>
  <w:abstractNum w:abstractNumId="45">
    <w:nsid w:val="15B5AF5C"/>
    <w:multiLevelType w:val="hybridMultilevel"/>
    <w:lvl w:ilvl="0">
      <w:lvlJc w:val="left"/>
      <w:lvlText w:val="(%1)"/>
      <w:numFmt w:val="lowerLetter"/>
      <w:start w:val="1"/>
    </w:lvl>
  </w:abstractNum>
  <w:abstractNum w:abstractNumId="46">
    <w:nsid w:val="741226BB"/>
    <w:multiLevelType w:val="hybridMultilevel"/>
    <w:lvl w:ilvl="0">
      <w:lvlJc w:val="left"/>
      <w:lvlText w:val="(%1)"/>
      <w:numFmt w:val="lowerLetter"/>
      <w:start w:val="10"/>
    </w:lvl>
  </w:abstractNum>
  <w:abstractNum w:abstractNumId="47">
    <w:nsid w:val="D34B6A8"/>
    <w:multiLevelType w:val="hybridMultilevel"/>
    <w:lvl w:ilvl="0">
      <w:lvlJc w:val="left"/>
      <w:lvlText w:val="(%1)"/>
      <w:numFmt w:val="lowerLetter"/>
      <w:start w:val="1"/>
    </w:lvl>
  </w:abstractNum>
  <w:abstractNum w:abstractNumId="48">
    <w:nsid w:val="10233C99"/>
    <w:multiLevelType w:val="hybridMultilevel"/>
    <w:lvl w:ilvl="0">
      <w:lvlJc w:val="left"/>
      <w:lvlText w:val="(%1)"/>
      <w:numFmt w:val="lowerLetter"/>
      <w:start w:val="6"/>
    </w:lvl>
  </w:abstractNum>
  <w:abstractNum w:abstractNumId="49">
    <w:nsid w:val="3F6AB60F"/>
    <w:multiLevelType w:val="hybridMultilevel"/>
    <w:lvl w:ilvl="0">
      <w:lvlJc w:val="left"/>
      <w:lvlText w:val="(%1)"/>
      <w:numFmt w:val="lowerLetter"/>
      <w:start w:val="8"/>
    </w:lvl>
  </w:abstractNum>
  <w:abstractNum w:abstractNumId="50">
    <w:nsid w:val="61574095"/>
    <w:multiLevelType w:val="hybridMultilevel"/>
    <w:lvl w:ilvl="0">
      <w:lvlJc w:val="left"/>
      <w:lvlText w:val="(%1)"/>
      <w:numFmt w:val="lowerLetter"/>
      <w:start w:val="1"/>
    </w:lvl>
  </w:abstractNum>
  <w:abstractNum w:abstractNumId="51">
    <w:nsid w:val="7E0C57B1"/>
    <w:multiLevelType w:val="hybridMultilevel"/>
    <w:lvl w:ilvl="0">
      <w:lvlJc w:val="left"/>
      <w:lvlText w:val="(%1)"/>
      <w:numFmt w:val="lowerLetter"/>
      <w:start w:val="1"/>
    </w:lvl>
  </w:abstractNum>
  <w:abstractNum w:abstractNumId="52">
    <w:nsid w:val="77AE35EB"/>
    <w:multiLevelType w:val="hybridMultilevel"/>
    <w:lvl w:ilvl="0">
      <w:lvlJc w:val="left"/>
      <w:lvlText w:val="(%1)"/>
      <w:numFmt w:val="lowerLetter"/>
      <w:start w:val="1"/>
    </w:lvl>
  </w:abstractNum>
  <w:abstractNum w:abstractNumId="53">
    <w:nsid w:val="579BE4F1"/>
    <w:multiLevelType w:val="hybridMultilevel"/>
    <w:lvl w:ilvl="0">
      <w:lvlJc w:val="left"/>
      <w:lvlText w:val="(%1)"/>
      <w:numFmt w:val="lowerLetter"/>
      <w:start w:val="3"/>
    </w:lvl>
  </w:abstractNum>
  <w:abstractNum w:abstractNumId="54">
    <w:nsid w:val="310C50B3"/>
    <w:multiLevelType w:val="hybridMultilevel"/>
    <w:lvl w:ilvl="0">
      <w:lvlJc w:val="left"/>
      <w:lvlText w:val="(%1)"/>
      <w:numFmt w:val="lowerLetter"/>
      <w:start w:val="1"/>
    </w:lvl>
  </w:abstractNum>
  <w:abstractNum w:abstractNumId="55">
    <w:nsid w:val="5FF87E0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56">
    <w:nsid w:val="2F305DEF"/>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57">
    <w:nsid w:val="25A70BF7"/>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58">
    <w:nsid w:val="1DBABF00"/>
    <w:multiLevelType w:val="hybridMultilevel"/>
    <w:lvl w:ilvl="0">
      <w:lvlJc w:val="left"/>
      <w:lvlText w:val="(%1)"/>
      <w:numFmt w:val="lowerLetter"/>
      <w:start w:val="4"/>
    </w:lvl>
  </w:abstractNum>
  <w:abstractNum w:abstractNumId="59">
    <w:nsid w:val="4AD084E9"/>
    <w:multiLevelType w:val="hybridMultilevel"/>
    <w:lvl w:ilvl="0">
      <w:lvlJc w:val="left"/>
      <w:lvlText w:val="(%1)"/>
      <w:numFmt w:val="lowerLetter"/>
      <w:start w:val="1"/>
    </w:lvl>
  </w:abstractNum>
  <w:abstractNum w:abstractNumId="60">
    <w:nsid w:val="1F48EAA1"/>
    <w:multiLevelType w:val="hybridMultilevel"/>
    <w:lvl w:ilvl="0">
      <w:lvlJc w:val="left"/>
      <w:lvlText w:val="(%1)"/>
      <w:numFmt w:val="lowerLetter"/>
      <w:start w:val="4"/>
    </w:lvl>
  </w:abstractNum>
  <w:abstractNum w:abstractNumId="61">
    <w:nsid w:val="1381823A"/>
    <w:multiLevelType w:val="hybridMultilevel"/>
    <w:lvl w:ilvl="0">
      <w:lvlJc w:val="left"/>
      <w:lvlText w:val="(%1)"/>
      <w:numFmt w:val="lowerLetter"/>
      <w:start w:val="1"/>
    </w:lvl>
  </w:abstractNum>
  <w:abstractNum w:abstractNumId="62">
    <w:nsid w:val="5DB70AE5"/>
    <w:multiLevelType w:val="hybridMultilevel"/>
    <w:lvl w:ilvl="0">
      <w:lvlJc w:val="left"/>
      <w:lvlText w:val="(%1)"/>
      <w:numFmt w:val="lowerLetter"/>
      <w:start w:val="3"/>
    </w:lvl>
  </w:abstractNum>
  <w:abstractNum w:abstractNumId="63">
    <w:nsid w:val="100F8FC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4">
    <w:nsid w:val="6590700B"/>
    <w:multiLevelType w:val="hybridMultilevel"/>
    <w:lvl w:ilvl="0">
      <w:lvlJc w:val="left"/>
      <w:lvlText w:val="(%1)"/>
      <w:numFmt w:val="lowerLetter"/>
      <w:start w:val="3"/>
    </w:lvl>
  </w:abstractNum>
  <w:abstractNum w:abstractNumId="65">
    <w:nsid w:val="15014ACB"/>
    <w:multiLevelType w:val="hybridMultilevel"/>
    <w:lvl w:ilvl="0">
      <w:lvlJc w:val="left"/>
      <w:lvlText w:val="%1."/>
      <w:numFmt w:val="decimal"/>
      <w:start w:val="2"/>
    </w:lvl>
    <w:lvl w:ilvl="1">
      <w:lvlJc w:val="left"/>
      <w:lvlText w:val="(%2)"/>
      <w:numFmt w:val="lowerLetter"/>
      <w:start w:val="1"/>
    </w:lvl>
  </w:abstractNum>
  <w:abstractNum w:abstractNumId="66">
    <w:nsid w:val="5F5E7FD0"/>
    <w:multiLevelType w:val="hybridMultilevel"/>
    <w:lvl w:ilvl="0">
      <w:lvlJc w:val="left"/>
      <w:lvlText w:val="(%1)"/>
      <w:numFmt w:val="lowerLetter"/>
      <w:start w:val="3"/>
    </w:lvl>
  </w:abstractNum>
  <w:abstractNum w:abstractNumId="67">
    <w:nsid w:val="98A3148"/>
    <w:multiLevelType w:val="hybridMultilevel"/>
    <w:lvl w:ilvl="0">
      <w:lvlJc w:val="left"/>
      <w:lvlText w:val="%1."/>
      <w:numFmt w:val="decimal"/>
      <w:start w:val="1"/>
    </w:lvl>
    <w:lvl w:ilvl="1">
      <w:lvlJc w:val="left"/>
      <w:lvlText w:val="(%2)"/>
      <w:numFmt w:val="lowerLetter"/>
      <w:start w:val="1"/>
    </w:lvl>
  </w:abstractNum>
  <w:abstractNum w:abstractNumId="68">
    <w:nsid w:val="799D0247"/>
    <w:multiLevelType w:val="hybridMultilevel"/>
    <w:lvl w:ilvl="0">
      <w:lvlJc w:val="left"/>
      <w:lvlText w:val="(%1)"/>
      <w:numFmt w:val="lowerLetter"/>
      <w:start w:val="1"/>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lowerLetter"/>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77" Type="http://schemas.openxmlformats.org/officeDocument/2006/relationships/image" Target="media/image155.png"/><Relationship Id="rId178" Type="http://schemas.openxmlformats.org/officeDocument/2006/relationships/image" Target="media/image156.png"/><Relationship Id="rId194" Type="http://schemas.openxmlformats.org/officeDocument/2006/relationships/image" Target="media/image157.png"/><Relationship Id="rId196" Type="http://schemas.openxmlformats.org/officeDocument/2006/relationships/image" Target="media/image158.png"/><Relationship Id="rId197" Type="http://schemas.openxmlformats.org/officeDocument/2006/relationships/image" Target="media/image159.png"/><Relationship Id="rId198" Type="http://schemas.openxmlformats.org/officeDocument/2006/relationships/image" Target="media/image160.png"/><Relationship Id="rId199" Type="http://schemas.openxmlformats.org/officeDocument/2006/relationships/image" Target="media/image161.jpeg"/><Relationship Id="rId200" Type="http://schemas.openxmlformats.org/officeDocument/2006/relationships/image" Target="media/image162.png"/><Relationship Id="rId201" Type="http://schemas.openxmlformats.org/officeDocument/2006/relationships/image" Target="media/image163.jpeg"/><Relationship Id="rId202" Type="http://schemas.openxmlformats.org/officeDocument/2006/relationships/image" Target="media/image164.png"/><Relationship Id="rId203" Type="http://schemas.openxmlformats.org/officeDocument/2006/relationships/image" Target="media/image165.png"/><Relationship Id="rId204" Type="http://schemas.openxmlformats.org/officeDocument/2006/relationships/image" Target="media/image166.png"/><Relationship Id="rId205" Type="http://schemas.openxmlformats.org/officeDocument/2006/relationships/image" Target="media/image167.png"/><Relationship Id="rId206" Type="http://schemas.openxmlformats.org/officeDocument/2006/relationships/image" Target="media/image168.png"/><Relationship Id="rId207" Type="http://schemas.openxmlformats.org/officeDocument/2006/relationships/image" Target="media/image169.png"/><Relationship Id="rId208" Type="http://schemas.openxmlformats.org/officeDocument/2006/relationships/image" Target="media/image170.png"/><Relationship Id="rId209" Type="http://schemas.openxmlformats.org/officeDocument/2006/relationships/image" Target="media/image171.png"/><Relationship Id="rId210" Type="http://schemas.openxmlformats.org/officeDocument/2006/relationships/image" Target="media/image172.png"/><Relationship Id="rId211" Type="http://schemas.openxmlformats.org/officeDocument/2006/relationships/image" Target="media/image173.png"/><Relationship Id="rId212" Type="http://schemas.openxmlformats.org/officeDocument/2006/relationships/image" Target="media/image174.png"/><Relationship Id="rId213" Type="http://schemas.openxmlformats.org/officeDocument/2006/relationships/image" Target="media/image175.png"/><Relationship Id="rId214" Type="http://schemas.openxmlformats.org/officeDocument/2006/relationships/image" Target="media/image176.png"/><Relationship Id="rId215" Type="http://schemas.openxmlformats.org/officeDocument/2006/relationships/image" Target="media/image177.png"/><Relationship Id="rId216" Type="http://schemas.openxmlformats.org/officeDocument/2006/relationships/image" Target="media/image178.png"/><Relationship Id="rId217" Type="http://schemas.openxmlformats.org/officeDocument/2006/relationships/image" Target="media/image179.png"/><Relationship Id="rId162" Type="http://schemas.openxmlformats.org/officeDocument/2006/relationships/hyperlink" Target="https://www.sec.gov/Archives/edgar/data/0001482981/000119312521306737/d222890dex31.htm" TargetMode="External"/><Relationship Id="rId163" Type="http://schemas.openxmlformats.org/officeDocument/2006/relationships/hyperlink" Target="https://www.sec.gov/Archives/edgar/data/0001482981/000119312521306737/d222890dex32.htm" TargetMode="External"/><Relationship Id="rId164" Type="http://schemas.openxmlformats.org/officeDocument/2006/relationships/hyperlink" Target="https://www.sec.gov/Archives/edgar/data/0001482981/000119312521284306/d197386dex41.htm" TargetMode="External"/><Relationship Id="rId165" Type="http://schemas.openxmlformats.org/officeDocument/2006/relationships/hyperlink" Target="https://www.sec.gov/Archives/edgar/data/1482981/000148298123000017/exhibit42-descriptionofcap.htm" TargetMode="External"/><Relationship Id="rId166" Type="http://schemas.openxmlformats.org/officeDocument/2006/relationships/hyperlink" Target="https://www.sec.gov/Archives/edgar/data/0001482981/000119312521306737/d222890dex101.htm" TargetMode="External"/><Relationship Id="rId167" Type="http://schemas.openxmlformats.org/officeDocument/2006/relationships/hyperlink" Target="https://www.sec.gov/Archives/edgar/data/0001482981/000119312521306737/d222890dex102.htm" TargetMode="External"/><Relationship Id="rId168" Type="http://schemas.openxmlformats.org/officeDocument/2006/relationships/hyperlink" Target="https://www.sec.gov/Archives/edgar/data/1482981/000119312523132638/d497597dex44.htm" TargetMode="External"/><Relationship Id="rId169" Type="http://schemas.openxmlformats.org/officeDocument/2006/relationships/hyperlink" Target="https://www.sec.gov/Archives/edgar/data/0001482981/000119312521284306/d197386dex101.htm" TargetMode="External"/><Relationship Id="rId170" Type="http://schemas.openxmlformats.org/officeDocument/2006/relationships/hyperlink" Target="https://www.sec.gov/Archives/edgar/data/0001482981/000119312521284306/d197386dex102.htm" TargetMode="External"/><Relationship Id="rId171" Type="http://schemas.openxmlformats.org/officeDocument/2006/relationships/hyperlink" Target="https://www.sec.gov/Archives/edgar/data/1482981/000148298122000014/ex103-thirdamdtocreditag.htm" TargetMode="External"/><Relationship Id="rId172" Type="http://schemas.openxmlformats.org/officeDocument/2006/relationships/hyperlink" Target="https://www.sec.gov/Archives/edgar/data/1482981/000148298123000017/ex104-fourthamd.htm" TargetMode="External"/><Relationship Id="rId173" Type="http://schemas.openxmlformats.org/officeDocument/2006/relationships/hyperlink" Target="https://www.sec.gov/Archives/edgar/data/1482981/000148298125000032/exhibit105-fifthamendmentt.htm" TargetMode="External"/><Relationship Id="rId174" Type="http://schemas.openxmlformats.org/officeDocument/2006/relationships/hyperlink" Target="https://www.sec.gov/Archives/edgar/data/0001482981/000119312521296568/d197386dex103.htm" TargetMode="External"/><Relationship Id="rId175" Type="http://schemas.openxmlformats.org/officeDocument/2006/relationships/hyperlink" Target="https://www.sec.gov/Archives/edgar/data/1482981/000148298122000014/exhibit-105x2021equityin.htm" TargetMode="External"/><Relationship Id="rId176" Type="http://schemas.openxmlformats.org/officeDocument/2006/relationships/hyperlink" Target="https://www.sec.gov/Archives/edgar/data/0001482981/000119312521296568/d197386dex105.htm" TargetMode="External"/><Relationship Id="rId179" Type="http://schemas.openxmlformats.org/officeDocument/2006/relationships/hyperlink" Target="https://www.sec.gov/Archives/edgar/data/0001482981/000119312521332611/d260163dex105.htm" TargetMode="External"/><Relationship Id="rId180" Type="http://schemas.openxmlformats.org/officeDocument/2006/relationships/hyperlink" Target="https://www.sec.gov/Archives/edgar/data/1482981/000148298122000074/coco20220930-10qexx101.htm" TargetMode="External"/><Relationship Id="rId181" Type="http://schemas.openxmlformats.org/officeDocument/2006/relationships/hyperlink" Target="https://www.sec.gov/Archives/edgar/data/1482981/000148298124000014/exhibit-secondamendmenttoe.htm" TargetMode="External"/><Relationship Id="rId182" Type="http://schemas.openxmlformats.org/officeDocument/2006/relationships/hyperlink" Target="https://www.sec.gov/Archives/edgar/data/0001482981/000119312521332611/d260163dex106.htm" TargetMode="External"/><Relationship Id="rId183" Type="http://schemas.openxmlformats.org/officeDocument/2006/relationships/hyperlink" Target="https://www.sec.gov/Archives/edgar/data/0001482981/000119312521296568/d197386dex107.htm" TargetMode="External"/><Relationship Id="rId184" Type="http://schemas.openxmlformats.org/officeDocument/2006/relationships/hyperlink" Target="https://www.sec.gov/Archives/edgar/data/0001482981/000119312521284306/d197386dex1010.htm" TargetMode="External"/><Relationship Id="rId185" Type="http://schemas.openxmlformats.org/officeDocument/2006/relationships/hyperlink" Target="https://www.sec.gov/Archives/edgar/data/0001482981/000119312521284306/d197386dex1012.htm" TargetMode="External"/><Relationship Id="rId186" Type="http://schemas.openxmlformats.org/officeDocument/2006/relationships/hyperlink" Target="https://www.sec.gov/Archives/edgar/data/0001482981/000119312521284306/d197386dex1013.htm" TargetMode="External"/><Relationship Id="rId187" Type="http://schemas.openxmlformats.org/officeDocument/2006/relationships/hyperlink" Target="https://www.sec.gov/Archives/edgar/data/1482981/000148298123000049/exhibits101-bakeremploymen.htm" TargetMode="External"/><Relationship Id="rId188" Type="http://schemas.openxmlformats.org/officeDocument/2006/relationships/hyperlink" Target="https://www.sec.gov/Archives/edgar/data/0001482981/000119312521284306/d197386dex1014.htm" TargetMode="External"/><Relationship Id="rId189" Type="http://schemas.openxmlformats.org/officeDocument/2006/relationships/hyperlink" Target="https://www.sec.gov/Archives/edgar/data/0001482981/000119312521284306/d197386dex1015.htm" TargetMode="External"/><Relationship Id="rId190" Type="http://schemas.openxmlformats.org/officeDocument/2006/relationships/hyperlink" Target="https://www.sec.gov/Archives/edgar/data/0001482981/000148298124000064/coco20240331-ex102xcentury.htm" TargetMode="External"/><Relationship Id="rId191" Type="http://schemas.openxmlformats.org/officeDocument/2006/relationships/hyperlink" Target="https://www.sec.gov/Archives/edgar/data/0001482981/000148298124000102/coco20240630-ex102axelumag.htm" TargetMode="External"/><Relationship Id="rId192" Type="http://schemas.openxmlformats.org/officeDocument/2006/relationships/hyperlink" Target="https://www.sec.gov/Archives/edgar/data/1482981/000148298125000133/coco20250630-10qexx102.htm" TargetMode="External"/><Relationship Id="rId193" Type="http://schemas.openxmlformats.org/officeDocument/2006/relationships/hyperlink" Target="https://www.sec.gov/Archives/edgar/data/1482981/000148298125000032/exhibit191-insidertradingp.htm" TargetMode="External"/><Relationship Id="rId195" Type="http://schemas.openxmlformats.org/officeDocument/2006/relationships/hyperlink" Target="https://www.sec.gov/Archives/edgar/data/1482981/000148298125000032/exhibit971-clawbackpolicy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2026-02-18T08:00:52Z</dcterms:created>
  <dcterms:modified xsi:type="dcterms:W3CDTF">2026-02-18T08:00:52Z</dcterms:modified>
</cp:coreProperties>
</file>