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380" w:right="360" w:hanging="354"/>
        <w:spacing w:after="0" w:line="275" w:lineRule="auto"/>
        <w:tabs>
          <w:tab w:leader="none" w:pos="3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20" w:right="300" w:hanging="394"/>
        <w:spacing w:after="0" w:line="262" w:lineRule="auto"/>
        <w:tabs>
          <w:tab w:leader="none" w:pos="42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001-40950</w:t>
      </w:r>
    </w:p>
    <w:p>
      <w:pPr>
        <w:spacing w:after="0" w:line="1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Vita Coco Company,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51"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11-3713156</w:t>
            </w:r>
          </w:p>
        </w:tc>
      </w:tr>
      <w:tr>
        <w:trPr>
          <w:trHeight w:val="17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180" w:type="dxa"/>
            <w:vAlign w:val="bottom"/>
          </w:tcPr>
          <w:p>
            <w:pPr>
              <w:jc w:val="center"/>
              <w:ind w:right="3735"/>
              <w:spacing w:after="0"/>
              <w:rPr>
                <w:sz w:val="20"/>
                <w:szCs w:val="20"/>
                <w:color w:val="auto"/>
              </w:rPr>
            </w:pPr>
            <w:r>
              <w:rPr>
                <w:rFonts w:ascii="Times New Roman" w:cs="Times New Roman" w:eastAsia="Times New Roman" w:hAnsi="Times New Roman"/>
                <w:sz w:val="18"/>
                <w:szCs w:val="18"/>
                <w:b w:val="1"/>
                <w:bCs w:val="1"/>
                <w:color w:val="auto"/>
                <w:w w:val="99"/>
              </w:rPr>
              <w:t>250 Park Avenue South</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Seventh Floor</w:t>
            </w:r>
          </w:p>
        </w:tc>
        <w:tc>
          <w:tcPr>
            <w:tcW w:w="1240" w:type="dxa"/>
            <w:vAlign w:val="bottom"/>
          </w:tcPr>
          <w:p>
            <w:pPr>
              <w:spacing w:after="0"/>
              <w:rPr>
                <w:sz w:val="17"/>
                <w:szCs w:val="17"/>
                <w:color w:val="auto"/>
              </w:rPr>
            </w:pPr>
          </w:p>
        </w:tc>
      </w:tr>
      <w:tr>
        <w:trPr>
          <w:trHeight w:val="265"/>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206"/>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14"/>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w w:val="99"/>
              </w:rPr>
              <w:t>(212) 206-0763</w:t>
            </w:r>
          </w:p>
        </w:tc>
        <w:tc>
          <w:tcPr>
            <w:tcW w:w="1240" w:type="dxa"/>
            <w:vAlign w:val="bottom"/>
          </w:tcPr>
          <w:p>
            <w:pPr>
              <w:spacing w:after="0"/>
              <w:rPr>
                <w:sz w:val="24"/>
                <w:szCs w:val="24"/>
                <w:color w:val="auto"/>
              </w:rPr>
            </w:pPr>
          </w:p>
        </w:tc>
      </w:tr>
      <w:tr>
        <w:trPr>
          <w:trHeight w:val="238"/>
        </w:trPr>
        <w:tc>
          <w:tcPr>
            <w:tcW w:w="6180" w:type="dxa"/>
            <w:vAlign w:val="bottom"/>
          </w:tcPr>
          <w:p>
            <w:pPr>
              <w:jc w:val="center"/>
              <w:ind w:left="1795"/>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COCO</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29, 2024, there were 56,731,939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60" w:type="dxa"/>
            <w:vAlign w:val="bottom"/>
            <w:gridSpan w:val="12"/>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0"/>
            <w:vMerge w:val="continue"/>
          </w:tcPr>
          <w:p>
            <w:pPr>
              <w:spacing w:after="0"/>
              <w:rPr>
                <w:sz w:val="20"/>
                <w:szCs w:val="20"/>
                <w:color w:val="auto"/>
              </w:rPr>
            </w:pPr>
          </w:p>
        </w:tc>
        <w:tc>
          <w:tcPr>
            <w:tcW w:w="7260" w:type="dxa"/>
            <w:vAlign w:val="bottom"/>
            <w:gridSpan w:val="12"/>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4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w:t>
            </w:r>
          </w:p>
        </w:tc>
        <w:tc>
          <w:tcPr>
            <w:tcW w:w="288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2024 and 2023</w:t>
            </w: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2024 and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w:t>
            </w:r>
          </w:p>
        </w:tc>
        <w:tc>
          <w:tcPr>
            <w:tcW w:w="1380" w:type="dxa"/>
            <w:vAlign w:val="bottom"/>
            <w:tcBorders>
              <w:top w:val="single" w:sz="8" w:color="0000FF"/>
            </w:tcBorders>
            <w:gridSpan w:val="2"/>
          </w:tcPr>
          <w:p>
            <w:pPr>
              <w:spacing w:after="0"/>
              <w:rPr>
                <w:sz w:val="20"/>
                <w:szCs w:val="20"/>
                <w:color w:val="auto"/>
              </w:rPr>
            </w:pPr>
          </w:p>
        </w:tc>
        <w:tc>
          <w:tcPr>
            <w:tcW w:w="24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6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0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2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4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14"/>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8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2023.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132,537</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$2,257 at September 30, 2024, and $2,486 at December 31, 2023</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50,757</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Supplier advances, current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262,937</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advances, long-term</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353,147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285,682</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21,826</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Notes payable, 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Derivative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82,585</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101,027</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83,245</w:t>
            </w: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7)</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$0.01 par value; 500,000,000 shares authorized; 63,472,285 and 63,135,453 shares issued at</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September 30, 2024 and December 31, 2023, respectively 56,731,839 and 56,899,253 shares outstanding at</w:t>
            </w: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2024 and December 31, 2023, respectively</w:t>
            </w:r>
          </w:p>
        </w:tc>
        <w:tc>
          <w:tcPr>
            <w:tcW w:w="1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161,414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100,742</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6,740,446 shares at cost as of September 30, 2024, and 6,236,200 shares at cost as of December 31, 2023.</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(59,701)</w:t>
            </w: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252,120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202,437</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353,147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285,682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OPERATIONS (UNAUDITED) (Amounts in thousands, except for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387,468</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246,542</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140,926</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89,855</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49,957</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19,251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52,582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39,856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56,769,410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56,493,757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56,688,362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56,290,195</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59,314,805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59,271,757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58,494,045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COMPREHENSIVE INCOME (UNAUDITED) (Amounts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The Vita Coco Company,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39,539</w:t>
            </w:r>
          </w:p>
        </w:tc>
      </w:tr>
      <w:tr>
        <w:trPr>
          <w:trHeight w:val="21"/>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w:t>
      </w:r>
    </w:p>
    <w:p>
      <w:pPr>
        <w:spacing w:after="0" w:line="200" w:lineRule="exact"/>
        <w:rPr>
          <w:sz w:val="20"/>
          <w:szCs w:val="20"/>
          <w:color w:val="auto"/>
        </w:rPr>
      </w:pPr>
    </w:p>
    <w:p>
      <w:pPr>
        <w:spacing w:after="0" w:line="344"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2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 Common</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0" w:type="dxa"/>
            <w:vAlign w:val="bottom"/>
            <w:gridSpan w:val="5"/>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with Exit</w:t>
            </w:r>
          </w:p>
        </w:tc>
        <w:tc>
          <w:tcPr>
            <w:tcW w:w="1240" w:type="dxa"/>
            <w:vAlign w:val="bottom"/>
            <w:gridSpan w:val="5"/>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9"/>
                <w:szCs w:val="9"/>
                <w:color w:val="auto"/>
              </w:rPr>
            </w:pPr>
          </w:p>
        </w:tc>
        <w:tc>
          <w:tcPr>
            <w:tcW w:w="66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Attributable</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1200" w:type="dxa"/>
            <w:vAlign w:val="bottom"/>
            <w:gridSpan w:val="5"/>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Warrants</w:t>
            </w:r>
          </w:p>
        </w:tc>
        <w:tc>
          <w:tcPr>
            <w:tcW w:w="7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Stock</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7"/>
              </w:rPr>
              <w:t>to The Vita</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20" w:type="dxa"/>
            <w:vAlign w:val="bottom"/>
            <w:gridSpan w:val="3"/>
            <w:vMerge w:val="restart"/>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center"/>
              <w:ind w:right="66"/>
              <w:spacing w:after="0" w:line="95" w:lineRule="exact"/>
              <w:rPr>
                <w:sz w:val="20"/>
                <w:szCs w:val="20"/>
                <w:color w:val="auto"/>
              </w:rPr>
            </w:pPr>
            <w:r>
              <w:rPr>
                <w:rFonts w:ascii="Times New Roman" w:cs="Times New Roman" w:eastAsia="Times New Roman" w:hAnsi="Times New Roman"/>
                <w:sz w:val="10"/>
                <w:szCs w:val="10"/>
                <w:b w:val="1"/>
                <w:bCs w:val="1"/>
                <w:color w:val="auto"/>
              </w:rPr>
              <w:t>Coco</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line="20" w:lineRule="exact"/>
              <w:rPr>
                <w:sz w:val="1"/>
                <w:szCs w:val="1"/>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Income / (Loss)</w:t>
            </w: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Company, Inc.</w:t>
            </w:r>
          </w:p>
        </w:tc>
        <w:tc>
          <w:tcPr>
            <w:tcW w:w="0" w:type="dxa"/>
            <w:vAlign w:val="bottom"/>
          </w:tcPr>
          <w:p>
            <w:pPr>
              <w:spacing w:after="0"/>
              <w:rPr>
                <w:sz w:val="1"/>
                <w:szCs w:val="1"/>
                <w:color w:val="auto"/>
              </w:rPr>
            </w:pPr>
          </w:p>
        </w:tc>
      </w:tr>
      <w:tr>
        <w:trPr>
          <w:trHeight w:val="118"/>
        </w:trPr>
        <w:tc>
          <w:tcPr>
            <w:tcW w:w="12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 December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54,112,145</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541</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62,225,250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622</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145,210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55,183</w:t>
            </w:r>
          </w:p>
        </w:tc>
        <w:tc>
          <w:tcPr>
            <w:tcW w:w="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(994)</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141,093</w:t>
            </w: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6,705</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Cumulative-effect</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adjustment related to the</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adoption of accounting</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guidance for credit losses</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185,783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185,783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603</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40"/>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Balance at March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54,297,928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543</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62,411,033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147,973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60,818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(821)</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149,666</w:t>
            </w: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17,987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17,987</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2,102</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230,857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230,857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2,114</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54,528,785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545</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62,641,890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152,187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78,805</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(885)</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171,805</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15,164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15,164</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2,862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2,862</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320,315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320,315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3,195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3,198</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Balance at September 30,</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54,849,100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548</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62,962,205</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629</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158,244</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93,969</w:t>
            </w:r>
          </w:p>
        </w:tc>
        <w:tc>
          <w:tcPr>
            <w:tcW w:w="8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(1,311)</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192,603</w:t>
            </w: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260" w:type="dxa"/>
            <w:vAlign w:val="bottom"/>
            <w:shd w:val="clear" w:color="auto" w:fill="CCEEFF"/>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55,022,348</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550</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63,135,453</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631</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161,414</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100,742</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(649)</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6,236,200</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(59,701)</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202,437</w:t>
            </w: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14,238</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Purchase of Treasury</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391,544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(9,235)</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2,109</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176,284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176,284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40"/>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Balance at March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55,198,632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552</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63,311,737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163,674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114,980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(661)</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6,627,744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(68,936)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209,690</w:t>
            </w: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19,093</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2,399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2,399</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791</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55,290,008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553</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63,403,113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166,863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134,073</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(628)</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6,627,744</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(68,936)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232,006</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19,251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19,251</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Purchase of Treasury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112,702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2,141</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69,172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69,172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733</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784</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784</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Balance at September 30,</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55,359,180</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554</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63,472,285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635</w:t>
            </w:r>
          </w:p>
        </w:tc>
        <w:tc>
          <w:tcPr>
            <w:tcW w:w="8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169,736</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153,324</w:t>
            </w:r>
          </w:p>
        </w:tc>
        <w:tc>
          <w:tcPr>
            <w:tcW w:w="80" w:type="dxa"/>
            <w:vAlign w:val="bottom"/>
          </w:tcPr>
          <w:p>
            <w:pPr>
              <w:spacing w:after="0"/>
              <w:rPr>
                <w:sz w:val="9"/>
                <w:szCs w:val="9"/>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156</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6,740,446</w:t>
            </w:r>
          </w:p>
        </w:tc>
        <w:tc>
          <w:tcPr>
            <w:tcW w:w="8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(71,731)</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252,120</w:t>
            </w:r>
          </w:p>
        </w:tc>
        <w:tc>
          <w:tcPr>
            <w:tcW w:w="0" w:type="dxa"/>
            <w:vAlign w:val="bottom"/>
          </w:tcPr>
          <w:p>
            <w:pPr>
              <w:spacing w:after="0"/>
              <w:rPr>
                <w:sz w:val="1"/>
                <w:szCs w:val="1"/>
                <w:color w:val="auto"/>
              </w:rPr>
            </w:pPr>
          </w:p>
        </w:tc>
      </w:tr>
      <w:tr>
        <w:trPr>
          <w:trHeight w:val="16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441" w:right="1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CASH FLOWS (UNAUDITED)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39,856</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required to reconcile net income to cash flows from operating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(Gain)/loss on disposal of equipment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Impairment loss on assets held for sale</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(37,234)</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33,815</w:t>
            </w:r>
          </w:p>
        </w:tc>
      </w:tr>
      <w:tr>
        <w:trPr>
          <w:trHeight w:val="230"/>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Prepaid expenses, net supplier advances, and other assets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70,003</w:t>
            </w: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property and equipment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awards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on notes payable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paid to acquire treasury stock</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75,584</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19,629</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$1,258 and $328 of restricted cash as of September 30, 2024 and 2023, respectively, that were included in other current assets.</w:t>
      </w:r>
    </w:p>
    <w:p>
      <w:pPr>
        <w:spacing w:after="0" w:line="1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NOTES TO CONDENSED CONSOLIDATED FINANCIAL STATEMENTS (UNAUDITED) (Amounts in thousands, except share and per share amounts)</w:t>
      </w:r>
    </w:p>
    <w:p>
      <w:pPr>
        <w:spacing w:after="0" w:line="27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NATURE OF BUSINESS AND BASIS OF PRESENTATION</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predominantly in the United States. Other products include coconut milk, coconut oil, coconut as a commodity, water (under the brand name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We also offered a natural energy drink (under the brand name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we ceased selling in December 2023.</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was incorporated in Delaware as All Market Inc. on January 17, 2007. On September 9, 2021, we changed our name to The Vita Coco Company, Inc. In 2018, the Company purchased certain assets and liabilities of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was marketed and distributed primarily in the United States until the Company ceased selling the brand in December 2023.</w:t>
      </w:r>
    </w:p>
    <w:p>
      <w:pPr>
        <w:spacing w:after="0" w:line="176"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0"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 has ten wholly-owned subsidiaries, including four wholly-owned Asian subsidiaries established between fiscal 2012 and 2015, four North American subsidiaries established between 2012 and 2018, All Market Europe, Ltd. (“AME”) in the United Kingdom established 2009, and one subsidiary in Germany established during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2024 or for any other interim period or for any other future year. The condensed consolidated balance sheet as of September 30, 2024 is unaudited and should be read in conjunction with the audited consolidated financial statements and the related notes thereto for the fiscal year ended December 31, 2023.</w:t>
      </w:r>
    </w:p>
    <w:p>
      <w:pPr>
        <w:spacing w:after="0" w:line="1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significant changes to the Company’s significant accounting policies as described in the Company’s audited consolidated financial statements as of and for the year ended December 31, 2023.</w:t>
      </w:r>
    </w:p>
    <w:p>
      <w:pPr>
        <w:spacing w:after="0" w:line="266"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U.S. GAAP.</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the accounts of the wholly-owned subsidiaries. All intercompany accounts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determining the accounts receivables reserve, assessing goodwill for impairment, determining the value of trade promotions, and assessing the realizability of deferred income taxes. Actual results could differ from those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7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48% and 51% of total net sales for the nine months ended September 30, 2024 and 2023, respectively. In addition, the two customers in aggregate also accounted for 37% and 43% of total accounts receivable as of September 30, 2024 and December 31, 2023, respectively. The Company has not experienced credit issues with these customers. Refer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regarding additional information on our major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was effective for the Company for annual and interim reporting periods beginning after December 15, 2022. The Company adopted the standard on January 1, 2023 using the modified retrospective method for all financial assets in scope.</w:t>
      </w:r>
    </w:p>
    <w:p>
      <w:pPr>
        <w:spacing w:after="0" w:line="31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a part of the adoption, the Company selected to apply roll-rate method to estimate current expected credit losses for its accounts receivable population and weighted average remaining maturity ("WARM") method for supplier advances.</w:t>
      </w:r>
    </w:p>
    <w:p>
      <w:pPr>
        <w:spacing w:after="0" w:line="18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ASC Topic 326, Financial Instruments - Credit Losses ("ASC 326") adoption. The adoption of the standard did not have a material impact on the Company’s consolidated statements of operations, or consolidated statements of cash flows. The following table illustrates the impact of ASC 326.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As reported under</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Pre-ASC 326 adoption</w:t>
            </w:r>
          </w:p>
        </w:tc>
        <w:tc>
          <w:tcPr>
            <w:tcW w:w="120" w:type="dxa"/>
            <w:vAlign w:val="bottom"/>
          </w:tcPr>
          <w:p>
            <w:pPr>
              <w:spacing w:after="0"/>
              <w:rPr>
                <w:sz w:val="11"/>
                <w:szCs w:val="11"/>
                <w:color w:val="auto"/>
              </w:rPr>
            </w:pPr>
          </w:p>
        </w:tc>
        <w:tc>
          <w:tcPr>
            <w:tcW w:w="136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Impact of ASC 326</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ASC 326</w:t>
            </w:r>
          </w:p>
        </w:tc>
        <w:tc>
          <w:tcPr>
            <w:tcW w:w="15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accounts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supplier advances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signed a lease agreement for a new office in New York, NY. The operating lease will commence in fiscal year 2025, ending in 2034 with an option to extend for an additional two years. Total undiscounted future payments for this new office lease are $15,766. Additionally upon signing the agreement, the Company was required to establish a line of credit of $920 as a security deposit which may be used in case of delinquency. As of September 30, 2024, the Company has established the letter of credit and accounted $920 as restricted cash.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which requires public entities to disclose information about their reportable segments’ significant expenses and other segment items on an interim and annual basis ("ASU 2023-07"). Public entities with a single reportable segment are required to apply the disclosure requirements in ASU 2023-07, as well as all existing segment disclosures and reconciliation requirements in ASC Topic 280, Segment Reporting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32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effective tax rate reconciliation, as well as disclosure of income taxes paid disaggregated by jurisdiction ("ASU 2023-09"). ASU 2023-09 is effective for fiscal years beginning after December 15, 2024, with early adoption permitted. The Company is currently evaluating the impact of adopting ASU 2023-09.</w:t>
      </w:r>
    </w:p>
    <w:p>
      <w:pPr>
        <w:spacing w:after="0" w:line="284"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Revenues are accounted for in accordance with ASC Topic 606, Revenue Recognition ("ASC 606"). The Company disaggregates revenue into the following product categories:</w:t>
      </w:r>
    </w:p>
    <w:p>
      <w:pPr>
        <w:spacing w:after="0" w:line="50" w:lineRule="exact"/>
        <w:rPr>
          <w:sz w:val="20"/>
          <w:szCs w:val="20"/>
          <w:color w:val="auto"/>
        </w:rPr>
      </w:pPr>
    </w:p>
    <w:p>
      <w:pPr>
        <w:ind w:left="820" w:hanging="326"/>
        <w:spacing w:after="0" w:line="259"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1"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Private Label</w:t>
      </w:r>
      <w:r>
        <w:rPr>
          <w:rFonts w:ascii="Times New Roman" w:cs="Times New Roman" w:eastAsia="Times New Roman" w:hAnsi="Times New Roman"/>
          <w:sz w:val="17"/>
          <w:szCs w:val="17"/>
          <w:color w:val="auto"/>
        </w:rPr>
        <w:t>—This product category consists of all private label product offerings, which includes coconut water and oil.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3" w:lineRule="exact"/>
        <w:rPr>
          <w:rFonts w:ascii="Times New Roman" w:cs="Times New Roman" w:eastAsia="Times New Roman" w:hAnsi="Times New Roman"/>
          <w:sz w:val="17"/>
          <w:szCs w:val="17"/>
          <w:color w:val="auto"/>
        </w:rPr>
      </w:pPr>
    </w:p>
    <w:p>
      <w:pPr>
        <w:ind w:left="820" w:right="180" w:hanging="326"/>
        <w:spacing w:after="0" w:line="26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 and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Ever &amp; Ever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PWR LIFT </w:t>
      </w:r>
      <w:r>
        <w:rPr>
          <w:rFonts w:ascii="Times New Roman" w:cs="Times New Roman" w:eastAsia="Times New Roman" w:hAnsi="Times New Roman"/>
          <w:sz w:val="18"/>
          <w:szCs w:val="18"/>
          <w:color w:val="auto"/>
        </w:rPr>
        <w:t>product offerings and</w:t>
      </w:r>
      <w:r>
        <w:rPr>
          <w:rFonts w:ascii="Times New Roman" w:cs="Times New Roman" w:eastAsia="Times New Roman" w:hAnsi="Times New Roman"/>
          <w:sz w:val="18"/>
          <w:szCs w:val="18"/>
          <w:i w:val="1"/>
          <w:iCs w:val="1"/>
          <w:color w:val="auto"/>
        </w:rPr>
        <w:t xml:space="preserve"> Vita Coco </w:t>
      </w:r>
      <w:r>
        <w:rPr>
          <w:rFonts w:ascii="Times New Roman" w:cs="Times New Roman" w:eastAsia="Times New Roman" w:hAnsi="Times New Roman"/>
          <w:sz w:val="18"/>
          <w:szCs w:val="18"/>
          <w:color w:val="auto"/>
        </w:rPr>
        <w:t>product extensions beyond coconut water, coconut milk products,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transactions (e.g., bulk product sales). For these products, control is transferred upon customer receipt, at which point the Company recognizes the transaction price for the product as revenue.</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 and discounts. The accruals are made for invoices that have not yet been received as of the end of the reporting period and are</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recorded as a reduction of sales, and are based on contract terms and our historical experience with similar programs and require management judgment with respect to estimating customer and consumer participation and performance levels.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gridSpan w:val="10"/>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108,896</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112,246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20,660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132,906</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89,683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101,033</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33,678</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360" w:type="dxa"/>
            <w:vAlign w:val="bottom"/>
            <w:tcBorders>
              <w:bottom w:val="single" w:sz="8" w:color="auto"/>
            </w:tcBorders>
            <w:gridSpan w:val="10"/>
            <w:shd w:val="clear" w:color="auto" w:fill="CCEEFF"/>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38,500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300,529</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332,839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55,881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253,825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33,628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287,453</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48,787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1"/>
        </w:trPr>
        <w:tc>
          <w:tcPr>
            <w:tcW w:w="43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47,397</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3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0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Goodwill consists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7,791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All of the Company’s goodwill is associated with an acquisition, which occurred in June 2018. The goodwill is allocated to the Americas reporting unit and is tax deductible. The Company has not recognized any impairment since acquisition.</w:t>
      </w:r>
    </w:p>
    <w:p>
      <w:pPr>
        <w:spacing w:after="0" w:line="26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debt as of September 30, 2024 and December 31,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Vehicle loans</w:t>
            </w: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the five-year credit facility with Wells Fargo Bank, National Association consisting of a revolving line of credit, which currently provides for committed borrowings of $60 million (the "2020 Credit Facility"). The maturity date on the 2020 Credit Facility is May 12, 2026.</w:t>
      </w:r>
    </w:p>
    <w:p>
      <w:pPr>
        <w:spacing w:after="0" w:line="68" w:lineRule="exact"/>
        <w:rPr>
          <w:sz w:val="20"/>
          <w:szCs w:val="20"/>
          <w:color w:val="auto"/>
        </w:rPr>
      </w:pPr>
    </w:p>
    <w:p>
      <w:pPr>
        <w:ind w:right="40" w:firstLine="551"/>
        <w:spacing w:after="0" w:line="247"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no outstanding balance and $60 million undrawn and available under its amended 2020 Credit Facility. The Company incurred no interest expense for the 2020 Credit Facility for the nine months ended September 30, 2024 and September 30, 2023, respectively. The unused commitment fee for the 2020 Credit Facility amounted to $15 and $15 for the three months ended September 30, 2024 and September 30, 2023, respectively. The unused commitment fee for the 2020 Credit Facility amounted to $46 and $46 for the nine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and September 30, 2023,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Credit Facility is collateralized by substantially all of the Company’s assets.</w:t>
      </w:r>
    </w:p>
    <w:p>
      <w:pPr>
        <w:spacing w:after="0" w:line="212" w:lineRule="exact"/>
        <w:rPr>
          <w:sz w:val="20"/>
          <w:szCs w:val="20"/>
          <w:color w:val="auto"/>
        </w:rPr>
      </w:pPr>
    </w:p>
    <w:p>
      <w:pPr>
        <w:ind w:right="160" w:firstLine="551"/>
        <w:spacing w:after="0" w:line="247" w:lineRule="auto"/>
        <w:rPr>
          <w:sz w:val="20"/>
          <w:szCs w:val="20"/>
          <w:color w:val="auto"/>
        </w:rPr>
      </w:pPr>
      <w:r>
        <w:rPr>
          <w:rFonts w:ascii="Times New Roman" w:cs="Times New Roman" w:eastAsia="Times New Roman" w:hAnsi="Times New Roman"/>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September 30, 2024, the Company was in compliance with all financial covenants.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Loans</w:t>
      </w:r>
    </w:p>
    <w:p>
      <w:pPr>
        <w:spacing w:after="0" w:line="11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September 30, 2024 was less than $0.1 million.</w:t>
      </w:r>
    </w:p>
    <w:p>
      <w:pPr>
        <w:spacing w:after="0" w:line="266"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5"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matters in the ordinary course of business. The Company intends to vigorously defend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itself in such matters, based upon the advice of legal counsel, and is of the opinion that the resolution of these matters will not have a material effect on the condensed consolidated financial statements. The Company records a liability when it is probable that a loss has been incurred and the amount is reasonably estimable. The Company also discloses when it is reasonably possible that a material loss may be incurred. As of September 30, 2024 and December 31, 2023, the Company has not recorded any liabilities relating to such legal matters.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Southeast Asian countries.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be subject to certain business risks due to potential instability in these regions.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
        </w:trPr>
        <w:tc>
          <w:tcPr>
            <w:tcW w:w="4720" w:type="dxa"/>
            <w:vAlign w:val="bottom"/>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20" w:type="dxa"/>
            <w:vAlign w:val="bottom"/>
          </w:tcPr>
          <w:p>
            <w:pPr>
              <w:spacing w:after="0"/>
              <w:rPr>
                <w:sz w:val="16"/>
                <w:szCs w:val="16"/>
                <w:color w:val="auto"/>
              </w:rPr>
            </w:pPr>
          </w:p>
        </w:tc>
        <w:tc>
          <w:tcPr>
            <w:tcW w:w="2720" w:type="dxa"/>
            <w:vAlign w:val="bottom"/>
            <w:tcBorders>
              <w:bottom w:val="single" w:sz="8" w:color="auto"/>
            </w:tcBorders>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7"/>
        </w:trPr>
        <w:tc>
          <w:tcPr>
            <w:tcW w:w="57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7"/>
                <w:szCs w:val="17"/>
                <w:color w:val="auto"/>
              </w:rPr>
            </w:pPr>
          </w:p>
        </w:tc>
        <w:tc>
          <w:tcPr>
            <w:tcW w:w="1660" w:type="dxa"/>
            <w:vAlign w:val="bottom"/>
            <w:gridSpan w:val="2"/>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58" w:lineRule="exact"/>
        <w:rPr>
          <w:sz w:val="20"/>
          <w:szCs w:val="20"/>
          <w:color w:val="auto"/>
        </w:rPr>
      </w:pPr>
    </w:p>
    <w:p>
      <w:pPr>
        <w:ind w:right="220" w:firstLine="486"/>
        <w:spacing w:after="0"/>
        <w:rPr>
          <w:sz w:val="20"/>
          <w:szCs w:val="20"/>
          <w:color w:val="auto"/>
        </w:rPr>
      </w:pPr>
      <w:r>
        <w:rPr>
          <w:rFonts w:ascii="Times New Roman" w:cs="Times New Roman" w:eastAsia="Times New Roman" w:hAnsi="Times New Roman"/>
          <w:sz w:val="18"/>
          <w:szCs w:val="18"/>
          <w:color w:val="auto"/>
        </w:rPr>
        <w:t xml:space="preserve">One of the customers acquired less than 5% ownership in the Company upon consummation of the Company's initial public offering ("IPO"). As discussed in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same customer also was granted 200,000 restricted stock awards at the time of the IPO, of which 100,000 vested on March 31, 2023 and 100,000 vested on March 31, 2024. The customer continues to hold less than 5% ownership in the Company as of September 30, 2024.</w:t>
      </w:r>
    </w:p>
    <w:p>
      <w:pPr>
        <w:spacing w:after="0" w:line="185"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In 2023, we agreed to start to discontinue the private label coconut water and coconut oil supply relationship with one of our significant customers as the terms required to retain the business were contrary to our long term margin targets. However, at the request of this customer, we have continued the supply relationship for a significant portion of their private label coconut water needs.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263"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4"/>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39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accounts for derivative instruments in accordance with the ASC Topic 815, Derivatives and Hedging ("ASC 815"). These principles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that all derivative instruments be recognized at fair value on each balance sheet date unless they qualify for a scope exclusion as a normal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sales transaction, which is accounted for under the accrual method of accounting. In addition, these principles permit derivative instruments that qualify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hedge accounting to reflect the changes in the fair value of the derivative instruments through earnings or stockholders’ equity as other comprehensive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on a net basis until the hedged item is settled and recognized in earnings, depending on whether the derivative is being used to hedge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or cash flows. The ineffective portion of a derivative instrument’s change in fair value is immediately recognized in earnings.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the Company did not have any derivative instruments that it had designated as fair value or cash flow hedges.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21"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Inventory Purchases from Brazilian, Malaysian and Thai Manufacturers</w:t>
      </w:r>
      <w:r>
        <w:rPr>
          <w:rFonts w:ascii="Times New Roman" w:cs="Times New Roman" w:eastAsia="Times New Roman" w:hAnsi="Times New Roman"/>
          <w:sz w:val="18"/>
          <w:szCs w:val="18"/>
          <w:color w:val="auto"/>
        </w:rPr>
        <w:t>—In order to mitigate the currency risk on inventory purchases from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Brazilian, Malaysian and Thai manufacturers, which are settled in Brazilian real ("BRL"), Malaysian ringgit ("MYR") and Thai baht ("THB"), the Company's subsidiary, All Market Singapore Pte. Ltd. ("AMS"), enters a series of forward currency swaps to buy BRL, MYR and THB.</w:t>
      </w:r>
    </w:p>
    <w:p>
      <w:pPr>
        <w:spacing w:after="0" w:line="171"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AMS, AMS enters into foreign currency swaps to sell British pounds ("GBP").</w:t>
      </w:r>
    </w:p>
    <w:p>
      <w:pPr>
        <w:spacing w:after="0" w:line="15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condensed consolidated balance sheets consist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Borders>
              <w:top w:val="single" w:sz="8" w:color="auto"/>
            </w:tcBorders>
          </w:tcPr>
          <w:p>
            <w:pPr>
              <w:jc w:val="center"/>
              <w:ind w:left="1435"/>
              <w:spacing w:after="0" w:line="153"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Fair</w:t>
            </w:r>
          </w:p>
        </w:tc>
        <w:tc>
          <w:tcPr>
            <w:tcW w:w="2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40" w:type="dxa"/>
            <w:vAlign w:val="bottom"/>
          </w:tcPr>
          <w:p>
            <w:pPr>
              <w:jc w:val="center"/>
              <w:ind w:left="1455"/>
              <w:spacing w:after="0" w:line="145"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198"/>
        </w:trPr>
        <w:tc>
          <w:tcPr>
            <w:tcW w:w="4440" w:type="dxa"/>
            <w:vAlign w:val="bottom"/>
          </w:tcPr>
          <w:p>
            <w:pPr>
              <w:jc w:val="center"/>
              <w:ind w:left="1435"/>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5"/>
              </w:rPr>
              <w:t>Value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517"/>
        </w:trPr>
        <w:tc>
          <w:tcPr>
            <w:tcW w:w="4440" w:type="dxa"/>
            <w:vAlign w:val="bottom"/>
          </w:tcPr>
          <w:p>
            <w:pPr>
              <w:spacing w:after="0"/>
              <w:rPr>
                <w:sz w:val="24"/>
                <w:szCs w:val="24"/>
                <w:color w:val="auto"/>
              </w:rPr>
            </w:pP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jc w:val="center"/>
              <w:ind w:left="1475"/>
              <w:spacing w:after="0" w:line="12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7"/>
              </w:rPr>
              <w:t>Fair</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jc w:val="center"/>
              <w:ind w:left="1475"/>
              <w:spacing w:after="0" w:line="149"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196"/>
        </w:trPr>
        <w:tc>
          <w:tcPr>
            <w:tcW w:w="4440" w:type="dxa"/>
            <w:vAlign w:val="bottom"/>
          </w:tcPr>
          <w:p>
            <w:pPr>
              <w:jc w:val="center"/>
              <w:ind w:left="1475"/>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Value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and location of realized and unrealized gains and losses of the derivative instruments in the condensed consolidated statements of operations for the three and nine months ended September 30, 2024 and 2023 are as follows: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Location</w:t>
      </w:r>
    </w:p>
    <w:p>
      <w:pPr>
        <w:spacing w:after="0" w:line="59" w:lineRule="exact"/>
        <w:rPr>
          <w:sz w:val="20"/>
          <w:szCs w:val="20"/>
          <w:color w:val="auto"/>
        </w:rPr>
      </w:pPr>
    </w:p>
    <w:p>
      <w:pPr>
        <w:ind w:left="20" w:right="26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Unrealized gain/(loss) on derivative instruments </w:t>
      </w:r>
      <w:r>
        <w:rPr>
          <w:rFonts w:ascii="Times New Roman" w:cs="Times New Roman" w:eastAsia="Times New Roman" w:hAnsi="Times New Roman"/>
          <w:sz w:val="18"/>
          <w:szCs w:val="18"/>
          <w:color w:val="auto"/>
        </w:rPr>
        <w:t>Location</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 / (loss)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2665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r>
      <w:tr>
        <w:trPr>
          <w:trHeight w:val="21"/>
        </w:trPr>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69"/>
        </w:trPr>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92"/>
              <w:spacing w:after="0" w:line="169" w:lineRule="exact"/>
              <w:rPr>
                <w:sz w:val="20"/>
                <w:szCs w:val="20"/>
                <w:color w:val="auto"/>
              </w:rPr>
            </w:pPr>
            <w:r>
              <w:rPr>
                <w:rFonts w:ascii="Times New Roman" w:cs="Times New Roman" w:eastAsia="Times New Roman" w:hAnsi="Times New Roman"/>
                <w:sz w:val="18"/>
                <w:szCs w:val="18"/>
                <w:color w:val="auto"/>
                <w:w w:val="99"/>
              </w:rPr>
              <w:t>Unrealized gain/(loss)</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72"/>
              <w:spacing w:after="0" w:line="169" w:lineRule="exact"/>
              <w:rPr>
                <w:sz w:val="20"/>
                <w:szCs w:val="20"/>
                <w:color w:val="auto"/>
              </w:rPr>
            </w:pPr>
            <w:r>
              <w:rPr>
                <w:rFonts w:ascii="Times New Roman" w:cs="Times New Roman" w:eastAsia="Times New Roman" w:hAnsi="Times New Roman"/>
                <w:sz w:val="18"/>
                <w:szCs w:val="18"/>
                <w:color w:val="auto"/>
              </w:rPr>
              <w:t>Unrealized gain/(loss)</w:t>
            </w:r>
          </w:p>
        </w:tc>
      </w:tr>
      <w:tr>
        <w:trPr>
          <w:trHeight w:val="184"/>
        </w:trPr>
        <w:tc>
          <w:tcPr>
            <w:tcW w:w="180" w:type="dxa"/>
            <w:vAlign w:val="bottom"/>
          </w:tcPr>
          <w:p>
            <w:pPr>
              <w:spacing w:after="0"/>
              <w:rPr>
                <w:sz w:val="16"/>
                <w:szCs w:val="16"/>
                <w:color w:val="auto"/>
              </w:rPr>
            </w:pPr>
          </w:p>
        </w:tc>
        <w:tc>
          <w:tcPr>
            <w:tcW w:w="19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9"/>
              </w:rPr>
              <w:t>on derivative</w:t>
            </w:r>
          </w:p>
        </w:tc>
        <w:tc>
          <w:tcPr>
            <w:tcW w:w="180" w:type="dxa"/>
            <w:vAlign w:val="bottom"/>
          </w:tcPr>
          <w:p>
            <w:pPr>
              <w:spacing w:after="0"/>
              <w:rPr>
                <w:sz w:val="16"/>
                <w:szCs w:val="16"/>
                <w:color w:val="auto"/>
              </w:rPr>
            </w:pPr>
          </w:p>
        </w:tc>
        <w:tc>
          <w:tcPr>
            <w:tcW w:w="1880" w:type="dxa"/>
            <w:vAlign w:val="bottom"/>
          </w:tcPr>
          <w:p>
            <w:pPr>
              <w:jc w:val="center"/>
              <w:ind w:right="92"/>
              <w:spacing w:after="0" w:line="184" w:lineRule="exact"/>
              <w:rPr>
                <w:sz w:val="20"/>
                <w:szCs w:val="20"/>
                <w:color w:val="auto"/>
              </w:rPr>
            </w:pPr>
            <w:r>
              <w:rPr>
                <w:rFonts w:ascii="Times New Roman" w:cs="Times New Roman" w:eastAsia="Times New Roman" w:hAnsi="Times New Roman"/>
                <w:sz w:val="18"/>
                <w:szCs w:val="18"/>
                <w:color w:val="auto"/>
                <w:w w:val="99"/>
              </w:rPr>
              <w:t>on derivative</w:t>
            </w:r>
          </w:p>
        </w:tc>
      </w:tr>
      <w:tr>
        <w:trPr>
          <w:trHeight w:val="230"/>
        </w:trPr>
        <w:tc>
          <w:tcPr>
            <w:tcW w:w="18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instruments</w:t>
            </w:r>
          </w:p>
        </w:tc>
        <w:tc>
          <w:tcPr>
            <w:tcW w:w="180" w:type="dxa"/>
            <w:vAlign w:val="bottom"/>
          </w:tcPr>
          <w:p>
            <w:pPr>
              <w:spacing w:after="0"/>
              <w:rPr>
                <w:sz w:val="19"/>
                <w:szCs w:val="19"/>
                <w:color w:val="auto"/>
              </w:rPr>
            </w:pPr>
          </w:p>
        </w:tc>
        <w:tc>
          <w:tcPr>
            <w:tcW w:w="1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instruments</w:t>
            </w:r>
          </w:p>
        </w:tc>
      </w:tr>
      <w:tr>
        <w:trPr>
          <w:trHeight w:val="234"/>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1880" w:type="dxa"/>
            <w:vAlign w:val="bottom"/>
          </w:tcPr>
          <w:p>
            <w:pPr>
              <w:jc w:val="center"/>
              <w:ind w:right="92"/>
              <w:spacing w:after="0" w:line="169" w:lineRule="exact"/>
              <w:rPr>
                <w:sz w:val="20"/>
                <w:szCs w:val="20"/>
                <w:color w:val="auto"/>
              </w:rPr>
            </w:pPr>
            <w:r>
              <w:rPr>
                <w:rFonts w:ascii="Times New Roman" w:cs="Times New Roman" w:eastAsia="Times New Roman" w:hAnsi="Times New Roman"/>
                <w:sz w:val="18"/>
                <w:szCs w:val="18"/>
                <w:color w:val="auto"/>
                <w:w w:val="98"/>
              </w:rPr>
              <w:t>Foreign 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72"/>
              <w:spacing w:after="0" w:line="169" w:lineRule="exact"/>
              <w:rPr>
                <w:sz w:val="20"/>
                <w:szCs w:val="20"/>
                <w:color w:val="auto"/>
              </w:rPr>
            </w:pPr>
            <w:r>
              <w:rPr>
                <w:rFonts w:ascii="Times New Roman" w:cs="Times New Roman" w:eastAsia="Times New Roman" w:hAnsi="Times New Roman"/>
                <w:sz w:val="18"/>
                <w:szCs w:val="18"/>
                <w:color w:val="auto"/>
              </w:rPr>
              <w:t>Foreign currency</w:t>
            </w:r>
          </w:p>
        </w:tc>
      </w:tr>
      <w:tr>
        <w:trPr>
          <w:trHeight w:val="234"/>
        </w:trPr>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gain/(loss)</w:t>
            </w:r>
          </w:p>
        </w:tc>
        <w:tc>
          <w:tcPr>
            <w:tcW w:w="180" w:type="dxa"/>
            <w:vAlign w:val="bottom"/>
          </w:tcPr>
          <w:p>
            <w:pPr>
              <w:spacing w:after="0"/>
              <w:rPr>
                <w:sz w:val="20"/>
                <w:szCs w:val="20"/>
                <w:color w:val="auto"/>
              </w:rPr>
            </w:pPr>
          </w:p>
        </w:tc>
        <w:tc>
          <w:tcPr>
            <w:tcW w:w="1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gain/(loss)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-1005205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-439420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p>
      <w:pPr>
        <w:sectPr>
          <w:pgSz w:w="11900" w:h="16838" w:orient="portrait"/>
          <w:cols w:equalWidth="0" w:num="2">
            <w:col w:w="6320" w:space="720"/>
            <w:col w:w="42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gain/(loss) on derivative instruments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70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2"/>
              <w:spacing w:after="0" w:line="170" w:lineRule="exact"/>
              <w:rPr>
                <w:sz w:val="20"/>
                <w:szCs w:val="20"/>
                <w:color w:val="auto"/>
              </w:rPr>
            </w:pPr>
            <w:r>
              <w:rPr>
                <w:rFonts w:ascii="Times New Roman" w:cs="Times New Roman" w:eastAsia="Times New Roman" w:hAnsi="Times New Roman"/>
                <w:sz w:val="18"/>
                <w:szCs w:val="18"/>
                <w:color w:val="auto"/>
                <w:w w:val="99"/>
              </w:rPr>
              <w:t>Unrealized gain/(loss)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2"/>
              <w:spacing w:after="0" w:line="170" w:lineRule="exact"/>
              <w:rPr>
                <w:sz w:val="20"/>
                <w:szCs w:val="20"/>
                <w:color w:val="auto"/>
              </w:rPr>
            </w:pPr>
            <w:r>
              <w:rPr>
                <w:rFonts w:ascii="Times New Roman" w:cs="Times New Roman" w:eastAsia="Times New Roman" w:hAnsi="Times New Roman"/>
                <w:sz w:val="18"/>
                <w:szCs w:val="18"/>
                <w:color w:val="auto"/>
              </w:rPr>
              <w:t>Unrealized gain/(loss)</w:t>
            </w:r>
          </w:p>
        </w:tc>
      </w:tr>
      <w:tr>
        <w:trPr>
          <w:trHeight w:val="184"/>
        </w:trPr>
        <w:tc>
          <w:tcPr>
            <w:tcW w:w="7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9"/>
              </w:rPr>
              <w:t>on derivative</w:t>
            </w:r>
          </w:p>
        </w:tc>
        <w:tc>
          <w:tcPr>
            <w:tcW w:w="18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92"/>
              <w:spacing w:after="0" w:line="184" w:lineRule="exact"/>
              <w:rPr>
                <w:sz w:val="20"/>
                <w:szCs w:val="20"/>
                <w:color w:val="auto"/>
              </w:rPr>
            </w:pPr>
            <w:r>
              <w:rPr>
                <w:rFonts w:ascii="Times New Roman" w:cs="Times New Roman" w:eastAsia="Times New Roman" w:hAnsi="Times New Roman"/>
                <w:sz w:val="18"/>
                <w:szCs w:val="18"/>
                <w:color w:val="auto"/>
                <w:w w:val="99"/>
              </w:rPr>
              <w:t>on derivative</w:t>
            </w:r>
          </w:p>
        </w:tc>
      </w:tr>
      <w:tr>
        <w:trPr>
          <w:trHeight w:val="234"/>
        </w:trPr>
        <w:tc>
          <w:tcPr>
            <w:tcW w:w="7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instruments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9"/>
              </w:rPr>
              <w:t>instruments</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 /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70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2"/>
              <w:spacing w:after="0" w:line="170" w:lineRule="exact"/>
              <w:rPr>
                <w:sz w:val="20"/>
                <w:szCs w:val="20"/>
                <w:color w:val="auto"/>
              </w:rPr>
            </w:pPr>
            <w:r>
              <w:rPr>
                <w:rFonts w:ascii="Times New Roman" w:cs="Times New Roman" w:eastAsia="Times New Roman" w:hAnsi="Times New Roman"/>
                <w:sz w:val="18"/>
                <w:szCs w:val="18"/>
                <w:color w:val="auto"/>
                <w:w w:val="98"/>
              </w:rPr>
              <w:t>Foreign currency</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2"/>
              <w:spacing w:after="0" w:line="170" w:lineRule="exact"/>
              <w:rPr>
                <w:sz w:val="20"/>
                <w:szCs w:val="20"/>
                <w:color w:val="auto"/>
              </w:rPr>
            </w:pPr>
            <w:r>
              <w:rPr>
                <w:rFonts w:ascii="Times New Roman" w:cs="Times New Roman" w:eastAsia="Times New Roman" w:hAnsi="Times New Roman"/>
                <w:sz w:val="18"/>
                <w:szCs w:val="18"/>
                <w:color w:val="auto"/>
              </w:rPr>
              <w:t>Foreign currency</w:t>
            </w:r>
          </w:p>
        </w:tc>
      </w:tr>
      <w:tr>
        <w:trPr>
          <w:trHeight w:val="243"/>
        </w:trPr>
        <w:tc>
          <w:tcPr>
            <w:tcW w:w="7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gain/(loss)</w:t>
            </w:r>
          </w:p>
        </w:tc>
        <w:tc>
          <w:tcPr>
            <w:tcW w:w="180" w:type="dxa"/>
            <w:vAlign w:val="bottom"/>
            <w:shd w:val="clear" w:color="auto" w:fill="CCEEFF"/>
          </w:tcPr>
          <w:p>
            <w:pPr>
              <w:spacing w:after="0"/>
              <w:rPr>
                <w:sz w:val="21"/>
                <w:szCs w:val="21"/>
                <w:color w:val="auto"/>
              </w:rPr>
            </w:pPr>
          </w:p>
        </w:tc>
        <w:tc>
          <w:tcPr>
            <w:tcW w:w="188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9"/>
              </w:rPr>
              <w:t>gain/(loss)</w:t>
            </w:r>
          </w:p>
        </w:tc>
      </w:tr>
    </w:tbl>
    <w:p>
      <w:pPr>
        <w:spacing w:after="0" w:line="29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recurring fair value measurements to its derivative instruments in accordance with ASC Topic 820, Fair Value Measurements ("ASC 820"). In determining fair value, the Company used a market approach and incorporated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 markets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active, or other inputs that are observable or can be corroborated by observable market data.</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internally developed models and methodologies utilizing significant unobservable inputs.</w:t>
      </w:r>
    </w:p>
    <w:p>
      <w:pPr>
        <w:spacing w:after="0" w:line="203" w:lineRule="exact"/>
        <w:rPr>
          <w:sz w:val="20"/>
          <w:szCs w:val="20"/>
          <w:color w:val="auto"/>
        </w:rPr>
      </w:pPr>
    </w:p>
    <w:p>
      <w:pPr>
        <w:ind w:right="9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Forward Currency Swap Contracts</w:t>
      </w:r>
      <w:r>
        <w:rPr>
          <w:rFonts w:ascii="Times New Roman" w:cs="Times New Roman" w:eastAsia="Times New Roman" w:hAnsi="Times New Roman"/>
          <w:sz w:val="18"/>
          <w:szCs w:val="18"/>
          <w:color w:val="auto"/>
        </w:rPr>
        <w:t>—See Note 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a description of these contracts. The Company’s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September 30, 2024 and December 31, 2023,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5"/>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3"/>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04"/>
        </w:trPr>
        <w:tc>
          <w:tcPr>
            <w:tcW w:w="4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1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2,663</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STOCKHOLDERS’ EQUITY</w:t>
      </w:r>
    </w:p>
    <w:p>
      <w:pPr>
        <w:spacing w:after="0" w:line="117"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and Treasury Stock</w:t>
      </w:r>
      <w:r>
        <w:rPr>
          <w:rFonts w:ascii="Times New Roman" w:cs="Times New Roman" w:eastAsia="Times New Roman" w:hAnsi="Times New Roman"/>
          <w:sz w:val="18"/>
          <w:szCs w:val="18"/>
          <w:color w:val="auto"/>
        </w:rPr>
        <w:t>—Each share of Common Stock entitles its holder to one vote on matters required to be voted 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and to receive dividends, when and if declared by the Company’s Board of Directors.</w:t>
      </w:r>
    </w:p>
    <w:p>
      <w:pPr>
        <w:spacing w:after="0" w:line="199"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held 6,740,446 and 6,236,200 shares, respectively, in treasury stock. As of September 30, 2024 and December 31, 2023, the Company had 3,257,423 and 3,124,326 shares, respectively, of Common Stock available for issuance upon the conversion of outstanding equity awards under the 2021 Incentive Award Plan ("2021 Plan").</w:t>
      </w:r>
    </w:p>
    <w:p>
      <w:pPr>
        <w:spacing w:after="0" w:line="162" w:lineRule="exact"/>
        <w:rPr>
          <w:sz w:val="20"/>
          <w:szCs w:val="20"/>
          <w:color w:val="auto"/>
        </w:rPr>
      </w:pPr>
    </w:p>
    <w:p>
      <w:pPr>
        <w:ind w:right="120" w:firstLine="486"/>
        <w:spacing w:after="0" w:line="238" w:lineRule="auto"/>
        <w:rPr>
          <w:sz w:val="20"/>
          <w:szCs w:val="20"/>
          <w:color w:val="auto"/>
        </w:rPr>
      </w:pPr>
      <w:r>
        <w:rPr>
          <w:rFonts w:ascii="Times New Roman" w:cs="Times New Roman" w:eastAsia="Times New Roman" w:hAnsi="Times New Roman"/>
          <w:sz w:val="18"/>
          <w:szCs w:val="18"/>
          <w:color w:val="auto"/>
        </w:rPr>
        <w:t>On October 30, 2023, the Company's Board of Directors approved a share repurchase program ("Program") authorizing the Company to repurchase up to $40,000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The Company</w:t>
      </w:r>
    </w:p>
    <w:p>
      <w:pPr>
        <w:spacing w:after="0" w:line="10"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repurchased 112,702 shares under this Program during the three months ended September 30, 2024. The Company repurchased 504,246 shares under this Program at a cost of $12,030 during the nine months ended September 30, 2024. The Company repurchased 30,000 shares under this Program at a cost of $773 during the year ended December 31, 2023. As of September 30, 2024, the Company had $27,196 remaining under this Program.</w:t>
      </w:r>
    </w:p>
    <w:p>
      <w:pPr>
        <w:spacing w:after="0" w:line="190"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On May 23, 2023, the Company entered into an underwriting agreement (the "Underwriting Agreement") with BofA Securities, Inc., Evercore Group L.L.C. and Goldman Sachs &amp; Co. LLC, as the representative of the underwriters named in Schedule I thereto (collectively, the "Underwriters"), and a stockholder of the Company, Verlinvest Beverages SA (the "Selling Stockholder"), relating to an underwritten public offering of 5,000,000 shares (the "Offering") of Common Stock at a price to the public of $23.00 per share, before deducting underwriting discounts. Pursuant to the Underwriting Agreement, all 5,000,000 shares of Common Stock were sold by the Selling Stockholder. Under the terms of the Underwriting Agreement, the Selling Stockholder granted the Underwriters an option exercisable for 30 days to purchase up to an additional 750,000 shares of Common Stock from the Selling Stockholder at the public offering price, less underwriting discounts and commissions, which option was exercised in full prior to the closing of the Offering. The closing of the Offering occurred on May 26, 2023. The Company did not receive any of the proceeds from the sale of the shares. Additionally, the Company incurred $856 of administrative expenses related to the Offering, which were expensed in the nine months ended September 30, 2023.</w:t>
      </w:r>
    </w:p>
    <w:p>
      <w:pPr>
        <w:spacing w:after="0" w:line="19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w:t>
      </w:r>
      <w:r>
        <w:rPr>
          <w:rFonts w:ascii="Times New Roman" w:cs="Times New Roman" w:eastAsia="Times New Roman" w:hAnsi="Times New Roman"/>
          <w:sz w:val="18"/>
          <w:szCs w:val="18"/>
          <w:color w:val="auto"/>
        </w:rPr>
        <w:t>—The stockholders of the Company approved the adoption of the Company’s 2014 Stock Option and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contain exercise prices no less than the fair value of Common Stock on the date of grant and have a ten-year contractual term.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Subsequent to September 30, 2021, the stockholders of the Company approved the adoption of the 2021 Plan, which became effective after the closing of the Company's IPO completed in October 2021. On and after closing of the offering and the effectiveness of the 2021 Plan, no further grants have been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w:t>
      </w:r>
    </w:p>
    <w:p>
      <w:pPr>
        <w:spacing w:after="0" w:line="3"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lesser amount as determined by our Board of Directors; provided, however, no more than 3,431,312 shares may be issued upon the exercise of</w:t>
      </w:r>
    </w:p>
    <w:p>
      <w:pPr>
        <w:spacing w:after="0" w:line="9"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("ISOs"). The 2021 Plan provides for the grant of stock options, including ISOs and nonqualified stock options ("NSOs"), restricted stock, dividend equivalents, stock payments, restricted stock units ("RSUs"), other incentive awards, stock appreciation rights ("SARs"), and cash awards. As of September 30, 2024, only stock options, restricted stock, and RSU's have been granted under the 2021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recorded stock compensation costs totaling: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0" w:type="dxa"/>
            <w:vAlign w:val="bottom"/>
            <w:gridSpan w:val="5"/>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shd w:val="clear" w:color="auto" w:fill="CCEEFF"/>
          </w:tcPr>
          <w:p>
            <w:pPr>
              <w:spacing w:after="0"/>
              <w:rPr>
                <w:sz w:val="13"/>
                <w:szCs w:val="13"/>
                <w:color w:val="auto"/>
              </w:rPr>
            </w:pPr>
          </w:p>
        </w:tc>
        <w:tc>
          <w:tcPr>
            <w:tcW w:w="2120" w:type="dxa"/>
            <w:vAlign w:val="bottom"/>
            <w:gridSpan w:val="4"/>
            <w:shd w:val="clear" w:color="auto" w:fill="CCEEFF"/>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0"/>
        </w:trPr>
        <w:tc>
          <w:tcPr>
            <w:tcW w:w="6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shd w:val="clear" w:color="auto" w:fill="CCEEFF"/>
          </w:tcPr>
          <w:p>
            <w:pPr>
              <w:spacing w:after="0"/>
              <w:rPr>
                <w:sz w:val="17"/>
                <w:szCs w:val="17"/>
                <w:color w:val="auto"/>
              </w:rPr>
            </w:pPr>
          </w:p>
        </w:tc>
      </w:tr>
      <w:tr>
        <w:trPr>
          <w:trHeight w:val="196"/>
        </w:trPr>
        <w:tc>
          <w:tcPr>
            <w:tcW w:w="6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in Revenue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29" w:lineRule="auto"/>
        <w:tabs>
          <w:tab w:leader="none" w:pos="10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cost recognized as a reduction in revenue is related to the RSUs previously granted to a major customer based on guidance in ASC 606 as stock based sales incentive.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Service-based Vesting Conditions</w:t>
      </w:r>
    </w:p>
    <w:p>
      <w:pPr>
        <w:spacing w:after="0" w:line="52"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Most of the stock option awards granted under the 2014 Plan and 2021 Plan vest based on continuous service. The options awarded to the employees have differing vesting schedules as specified in each grant agreement. There were 168,076 new service-based stock option awards granted during the nine months ended September 30, 2024. Exercises of stock options during the three months ended September 30, 2024, and 2023 were 61,763 and 314,210,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Exercises of stock options during the nine months ended September 30, 2024, and 2023 were 148,311 and 583,201,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Performance and Market-based Vesting Conditions</w:t>
      </w:r>
    </w:p>
    <w:p>
      <w:pPr>
        <w:spacing w:after="0" w:line="119"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There are also outstanding stock option awards containing performance-based vesting conditions, subject to achievement of various performance goals by a future period, such as revenue and adjusted EBITDA targets. There were also stock option awards granted in 2019 to the current Chief Executive Officer ("CEO") containing performance and market vesting conditions vesting upon occurrence of an IPO or other qualifying liquidity event and upon achieving a predetermined equity value of the Company, which fully vested as of July 31, 2023.</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new stock option awards granted during the nine months ended September 30, 2024 with performance-based vesting conditions.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&amp; Performance based Restricted Stock and RSUs</w:t>
      </w:r>
    </w:p>
    <w:p>
      <w:pPr>
        <w:spacing w:after="0" w:line="11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Restricted stock and 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nine months ended September 30, 2024 and September 30, 2023, the Company also granted RSUs that contain performance-based vesting conditions, subject to achievement of various performance goals in the future, specifically net sales growth and Adjusted EBITDA targets.</w:t>
      </w:r>
    </w:p>
    <w:p>
      <w:pPr>
        <w:spacing w:after="0" w:line="7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Also included in these awards are shares of restricted Common Stock valued at $3,000 granted at the time of the IPO to entities affiliated with a significant customer, at a price per share granted at the IPO of $15.00, or 200,000 restricted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shares, in connection with an amendment to extend the distributor agreement term to June 10, 2026. Since the distribution agreement had not been terminated by either party for cause as of March 31, 2023, 50% of the shares were released on March 31, 2023. The remaining 50% were released on March 31, 2024. The grant was accounted for as a stock-based sales incentive based on guidance in ASC 606 and is reflected as a reduction in the transaction price of revenue on the basis of the grant-date fair-value measure in accordance with the stock compensation guidance in ASC 718.</w:t>
      </w:r>
    </w:p>
    <w:p>
      <w:pPr>
        <w:spacing w:after="0" w:line="180"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there were 259,221 service based and 58,365 performance based RSUs granted, which had an aggregate grant date fair value of $8,348. During the three months ended September 30, 2024 and September 30, 2023, awards vested were 7,275 and 6,105, respectively. During the nine months ended September 30, 2024 and September 30, 2023, awards vested were 188,387 and 153,754, respectively, which includes service based RSUs and restricted stock of the major customer.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INCOME TAXES</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recorded income tax expense of $6,362 and $4,011, respectively, in its condensed consolidated statements of operations. For the nine months ended September 30, 2024 and 2023, the Company recorded $16,555 and $10,101, respectively, in income tax expense in its condensed consolidated statements of operations.</w:t>
      </w:r>
    </w:p>
    <w:p>
      <w:pPr>
        <w:spacing w:after="0" w:line="20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196" w:lineRule="exact"/>
        <w:rPr>
          <w:sz w:val="20"/>
          <w:szCs w:val="20"/>
          <w:color w:val="auto"/>
        </w:rPr>
      </w:pPr>
    </w:p>
    <w:p>
      <w:pPr>
        <w:ind w:right="80" w:firstLine="324"/>
        <w:spacing w:after="0" w:line="247" w:lineRule="auto"/>
        <w:rPr>
          <w:sz w:val="20"/>
          <w:szCs w:val="20"/>
          <w:color w:val="auto"/>
        </w:rPr>
      </w:pPr>
      <w:r>
        <w:rPr>
          <w:rFonts w:ascii="Times New Roman" w:cs="Times New Roman" w:eastAsia="Times New Roman" w:hAnsi="Times New Roman"/>
          <w:sz w:val="18"/>
          <w:szCs w:val="18"/>
          <w:color w:val="auto"/>
        </w:rPr>
        <w:t>As of September 30, 2024 and December 31, 2023, there was a $106 liability for income tax uncertainties recorded in the Company's consolidated balance sheets. The Company’s policy is to record interest and penalties related to income taxes as part of its income tax provision. The Company does not expect its uncertain tax positions to change significantly over the next twelve months. The Company recognized no interest and penalties related to income tax uncertainties in its consolidated balance sheets or consolidated statement of operations for the three and nine months ended September 30, 2024 and 2023. The Company is subject to income tax examinations by the Internal Revenue Service ("IRS") and various state and local jurisdictions for the open tax years between December 31, 2019 and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0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240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8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56,769,410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56,688,362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56,290,195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Effect of conversion of stock options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2,545,395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2,410,817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2,203,850</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8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used in earnings per share—</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59,314,805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59,271,757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59,099,179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58,494,045</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share—basic</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8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56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5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203,880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34,178</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17" w:lineRule="exact"/>
        <w:rPr>
          <w:sz w:val="20"/>
          <w:szCs w:val="20"/>
          <w:color w:val="auto"/>
        </w:rPr>
      </w:pPr>
    </w:p>
    <w:p>
      <w:pPr>
        <w:ind w:left="820" w:right="80" w:hanging="326"/>
        <w:spacing w:after="0" w:line="261"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aluminum bottle canned water (</w:t>
      </w:r>
      <w:r>
        <w:rPr>
          <w:rFonts w:ascii="Times New Roman" w:cs="Times New Roman" w:eastAsia="Times New Roman" w:hAnsi="Times New Roman"/>
          <w:sz w:val="18"/>
          <w:szCs w:val="18"/>
          <w:i w:val="1"/>
          <w:iCs w:val="1"/>
          <w:color w:val="auto"/>
        </w:rPr>
        <w:t>Ever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w:t>
      </w:r>
      <w:r>
        <w:rPr>
          <w:rFonts w:ascii="Times New Roman" w:cs="Times New Roman" w:eastAsia="Times New Roman" w:hAnsi="Times New Roman"/>
          <w:sz w:val="18"/>
          <w:szCs w:val="18"/>
          <w:color w:val="auto"/>
        </w:rPr>
        <w:t>) and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are marketed only in the Americas segment. The Company also offered guayusa leaf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in the Americas segment. As of December 2023, we ceased offering the Runa brand.</w:t>
      </w:r>
    </w:p>
    <w:p>
      <w:pPr>
        <w:spacing w:after="0" w:line="71" w:lineRule="exact"/>
        <w:rPr>
          <w:rFonts w:ascii="Times New Roman" w:cs="Times New Roman" w:eastAsia="Times New Roman" w:hAnsi="Times New Roman"/>
          <w:sz w:val="18"/>
          <w:szCs w:val="18"/>
          <w:color w:val="auto"/>
        </w:rPr>
      </w:pPr>
    </w:p>
    <w:p>
      <w:pPr>
        <w:ind w:left="820" w:right="460" w:hanging="326"/>
        <w:spacing w:after="0" w:line="312" w:lineRule="auto"/>
        <w:tabs>
          <w:tab w:leader="none" w:pos="8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spacing w:after="0" w:line="32" w:lineRule="exact"/>
        <w:rPr>
          <w:sz w:val="20"/>
          <w:szCs w:val="20"/>
          <w:color w:val="auto"/>
        </w:rPr>
      </w:pPr>
    </w:p>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The Company’s CEO is the chief operating decision maker and evaluates segment performance primarily based on net sales and gross profit. All intercompany transactions between the segments have been eliminated.</w:t>
      </w:r>
    </w:p>
    <w:p>
      <w:pPr>
        <w:spacing w:after="0" w:line="162"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by operating segment as of the three and nine months ended September 30, 2024 and 2023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138,064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387,468</w:t>
            </w:r>
          </w:p>
        </w:tc>
      </w:tr>
      <w:tr>
        <w:trPr>
          <w:trHeight w:val="230"/>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338,681</w:t>
            </w:r>
          </w:p>
        </w:tc>
      </w:tr>
      <w:tr>
        <w:trPr>
          <w:trHeight w:val="229"/>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48,787</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51,562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56,171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157,476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140,926</w:t>
            </w:r>
          </w:p>
        </w:tc>
      </w:tr>
      <w:tr>
        <w:trPr>
          <w:trHeight w:val="230"/>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124,466</w:t>
            </w:r>
          </w:p>
        </w:tc>
      </w:tr>
      <w:tr>
        <w:trPr>
          <w:trHeight w:val="234"/>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08"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8997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35"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33655</wp:posOffset>
            </wp:positionV>
            <wp:extent cx="986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9500" w:space="360"/>
            <w:col w:w="13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353,147</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285,682</w:t>
            </w:r>
          </w:p>
        </w:tc>
      </w:tr>
      <w:tr>
        <w:trPr>
          <w:trHeight w:val="229"/>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209,984</w:t>
            </w:r>
          </w:p>
        </w:tc>
      </w:tr>
      <w:tr>
        <w:trPr>
          <w:trHeight w:val="23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140,926</w:t>
            </w:r>
          </w:p>
        </w:tc>
        <w:tc>
          <w:tcPr>
            <w:tcW w:w="0" w:type="dxa"/>
            <w:vAlign w:val="bottom"/>
          </w:tcPr>
          <w:p>
            <w:pPr>
              <w:spacing w:after="0"/>
              <w:rPr>
                <w:sz w:val="1"/>
                <w:szCs w:val="1"/>
                <w:color w:val="auto"/>
              </w:rPr>
            </w:pPr>
          </w:p>
        </w:tc>
      </w:tr>
      <w:tr>
        <w:trPr>
          <w:trHeight w:val="229"/>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89,855</w:t>
            </w:r>
          </w:p>
        </w:tc>
        <w:tc>
          <w:tcPr>
            <w:tcW w:w="0" w:type="dxa"/>
            <w:vAlign w:val="bottom"/>
          </w:tcPr>
          <w:p>
            <w:pPr>
              <w:spacing w:after="0"/>
              <w:rPr>
                <w:sz w:val="1"/>
                <w:szCs w:val="1"/>
                <w:color w:val="auto"/>
              </w:rPr>
            </w:pPr>
          </w:p>
        </w:tc>
      </w:tr>
      <w:tr>
        <w:trPr>
          <w:trHeight w:val="223"/>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5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sales by country, which is presented on the basis of the location that revenue from customers is recorded: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316,923</w:t>
            </w:r>
          </w:p>
        </w:tc>
      </w:tr>
      <w:tr>
        <w:trPr>
          <w:trHeight w:val="22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34,223</w:t>
            </w:r>
          </w:p>
        </w:tc>
      </w:tr>
      <w:tr>
        <w:trPr>
          <w:trHeight w:val="230"/>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387,468</w:t>
            </w: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total net sales for the nine months ended September 30, 2024 and 2023.</w:t>
      </w:r>
    </w:p>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Company’s property and equipment, net by country: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total property and equipment, net as of September 30, 2024 and December 31, 2023.</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17"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Nominee Agreements </w:t>
      </w:r>
      <w:r>
        <w:rPr>
          <w:rFonts w:ascii="Times New Roman" w:cs="Times New Roman" w:eastAsia="Times New Roman" w:hAnsi="Times New Roman"/>
          <w:sz w:val="18"/>
          <w:szCs w:val="18"/>
          <w:color w:val="auto"/>
        </w:rPr>
        <w:t>- A member of the Board of Directors appointed under the Investor Rights Agreement by Verlinvest Beverages SA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("Verlinvest"), a stockholder of the Company, entered into a nominee agreement on May 24, 2022 instructing the Company to pay all cash and equity compensation earned in connection with his board of director service to Verlinvest. Based on the aforementioned nominee agreement, RSUs granted to this director will be held by him as nominee for Verlinvest and, upon vesting of the RSUs, the shares will be transferred to Verlinvest. The nominee agreements are primarily between the director and Verlinvest. The Company is a party to this arrangement solely to agree to the manner in which it would satisfy the compensation obligations to this director.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and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 by Verlinvest in May 2023, Verlinvest agreed to waive its right to reimbursement of legal fees for its counsel in the fourth quarter of 2023, and those expenses, in the amount of $140, were not reimbursed by the Company. In connection with the secondary share offering by Verlinvest in November 2023, in April 2024, Verlinvest agreed to waive its right to reimbursement of legal fees for its counsel, and those expenses, in the amount of $324, were not reimbursed by the Company.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 INVESTMENT IN UNCONSOLIDATED JOINT VENTURE</w:t>
      </w:r>
    </w:p>
    <w:p>
      <w:pPr>
        <w:spacing w:after="0" w:line="243"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8"/>
          <w:szCs w:val="18"/>
          <w:color w:val="auto"/>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condensed consolidated statements of operations.</w:t>
      </w:r>
    </w:p>
    <w:p>
      <w:pPr>
        <w:spacing w:after="0" w:line="213" w:lineRule="exact"/>
        <w:rPr>
          <w:sz w:val="20"/>
          <w:szCs w:val="20"/>
          <w:color w:val="auto"/>
        </w:rPr>
      </w:pPr>
    </w:p>
    <w:p>
      <w:pPr>
        <w:ind w:right="200" w:firstLine="648"/>
        <w:spacing w:after="0" w:line="228" w:lineRule="auto"/>
        <w:rPr>
          <w:sz w:val="20"/>
          <w:szCs w:val="20"/>
          <w:color w:val="auto"/>
        </w:rPr>
      </w:pPr>
      <w:r>
        <w:rPr>
          <w:rFonts w:ascii="Times New Roman" w:cs="Times New Roman" w:eastAsia="Times New Roman" w:hAnsi="Times New Roman"/>
          <w:sz w:val="18"/>
          <w:szCs w:val="18"/>
          <w:color w:val="auto"/>
        </w:rPr>
        <w:t>Through one of its subsidiaries, the Company has a 60% joint venture interest in a company, Coco Ventures Limited, which provides for the development, marketing, distribution and branding of coconut water-based products under the Vita Coco brand in the People’s Republic of China. It is anticipated that Coco Ventures will initially purchase coconut water products from the Company. The Company acquired this interest on August 2, 2024, the date on which the Company obtained significant influence, for $0.6 million to be paid in cash within one year. The Company will record the initial investment in the joint venture upon cash payment. Since the Company is deemed not to have a controlling interest in Coco Ventures Limited, the Company’s investment will be accounted using the equity method of accounting in accordance with ASC 323. As of September 30, 2024, Coco Ventures Limited had not completed any activity and had no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2023 and filed with the Securities and Exchange Commission ("SEC") on February 29, 2024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Vita Coco Company is a leading platform for brands in the functional beverage category. We pioneered packaged coconut water in 2004 and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pacing w:after="0" w:line="254"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As of September 30, 2024, we source our coconut water from a diversified global network of 15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to better service our customers’ needs.</w:t>
      </w:r>
    </w:p>
    <w:p>
      <w:pPr>
        <w:spacing w:after="0" w:line="206"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Vita Coco </w:t>
      </w:r>
      <w:r>
        <w:rPr>
          <w:rFonts w:ascii="Times New Roman" w:cs="Times New Roman" w:eastAsia="Times New Roman" w:hAnsi="Times New Roman"/>
          <w:sz w:val="17"/>
          <w:szCs w:val="17"/>
          <w:color w:val="auto"/>
        </w:rPr>
        <w:t>is available in over 30 countries, with our primary markets in North America, the United Kingdom and China. Our primary markets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private label are North America and Europe. Our products are distributed primarily through club, food, drug, mass, convenience, e-commerce and food service channels. We are also available in a variety of on-premise locations such as corporate offices, fitness clubs, airports and educational institutions.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43"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18"/>
          <w:szCs w:val="18"/>
          <w:color w:val="auto"/>
        </w:rPr>
        <w:t>In early October 2024, the east coast ports of America experienced a labor strike that temporarily shut those ports, resulting in some delays even after the ports reopened. The work stoppage was temporarily resolved, but certain matters are still being negotiated, with a deadline for resolving these issues set as January 2025. It is possible that we may experience a port stoppage related to these negotiations in early 2025 if agreement is not reached. Related to the October 2024 work stoppage, some of the ocean freight carriers issued notices of impending surcharges to be applied if the port closures resulted in disruptions. We currently do not expect to pay any of these surcharges, but if further port disruptions occur in early 2025, we may see similar attempts to charge customers disruption-related charges.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There have been no material changes to such factors from those described in the Form 10-K under the heading “Key Factors Affecting our Performance” and the changes noted below in "Impact of Global Events Causing Macroeconomic Uncertainty." Those factors also pose risks and challenges, including those discussed in Part I, Item 1A. “Risk Factors” of the Form 10-K.</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Events Causing Macroeconomic Uncertainty</w:t>
      </w:r>
    </w:p>
    <w:p>
      <w:pPr>
        <w:spacing w:after="0" w:line="10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geopolitical and economic instability (including the effects of current wars and other international conflicts) and variability in interest rates, foreign exchange rates and</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inflationary cost environments may affect our global supply chain. It is not currently possible to ascertain the overall impact of these macroeconomic uncertainties on the Company’s business, results of operations, financial condition or liquidity. Future events and effects related to these macroeconomic uncertainties cannot be determined with precision and actual results could significantly differ from estimates or forecasts. For a further discussion of the risks and challenges posed by these events, please see Part I, Item 1A. “Risk Factors” of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9"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68"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spacing w:after="0" w:line="177" w:lineRule="exact"/>
        <w:rPr>
          <w:sz w:val="20"/>
          <w:szCs w:val="20"/>
          <w:color w:val="auto"/>
        </w:rPr>
      </w:pPr>
    </w:p>
    <w:p>
      <w:pPr>
        <w:jc w:val="both"/>
        <w:ind w:right="280" w:firstLine="551"/>
        <w:spacing w:after="0" w:line="258"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payable on our credit facilities and vehicle loans.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ind w:right="8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13" w:lineRule="exact"/>
        <w:rPr>
          <w:sz w:val="20"/>
          <w:szCs w:val="20"/>
          <w:color w:val="auto"/>
        </w:rPr>
      </w:pPr>
    </w:p>
    <w:p>
      <w:pPr>
        <w:ind w:left="820" w:hanging="245"/>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United States and Canada.</w:t>
      </w:r>
    </w:p>
    <w:p>
      <w:pPr>
        <w:spacing w:after="0" w:line="103" w:lineRule="exact"/>
        <w:rPr>
          <w:rFonts w:ascii="Times New Roman" w:cs="Times New Roman" w:eastAsia="Times New Roman" w:hAnsi="Times New Roman"/>
          <w:sz w:val="18"/>
          <w:szCs w:val="18"/>
          <w:color w:val="auto"/>
        </w:rPr>
      </w:pPr>
    </w:p>
    <w:p>
      <w:pPr>
        <w:ind w:left="820" w:right="240" w:hanging="245"/>
        <w:spacing w:after="0" w:line="286"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the Company’s procurement arm.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00" w:lineRule="exact"/>
        <w:rPr>
          <w:sz w:val="20"/>
          <w:szCs w:val="20"/>
          <w:color w:val="auto"/>
        </w:rPr>
      </w:pPr>
    </w:p>
    <w:p>
      <w:pPr>
        <w:ind w:left="820" w:hanging="245"/>
        <w:spacing w:after="0" w:line="260"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56" w:lineRule="exact"/>
        <w:rPr>
          <w:rFonts w:ascii="Times New Roman" w:cs="Times New Roman" w:eastAsia="Times New Roman" w:hAnsi="Times New Roman"/>
          <w:sz w:val="18"/>
          <w:szCs w:val="18"/>
          <w:color w:val="auto"/>
        </w:rPr>
      </w:pPr>
    </w:p>
    <w:p>
      <w:pPr>
        <w:ind w:left="820" w:right="40" w:hanging="245"/>
        <w:spacing w:after="0" w:line="271" w:lineRule="auto"/>
        <w:tabs>
          <w:tab w:leader="none" w:pos="8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Private Label </w:t>
      </w:r>
      <w:r>
        <w:rPr>
          <w:rFonts w:ascii="Times New Roman" w:cs="Times New Roman" w:eastAsia="Times New Roman" w:hAnsi="Times New Roman"/>
          <w:sz w:val="17"/>
          <w:szCs w:val="17"/>
          <w:color w:val="auto"/>
        </w:rPr>
        <w:t>—This product category consists of all private label product offerings, which includes coconut water and oil.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2" w:lineRule="exact"/>
        <w:rPr>
          <w:rFonts w:ascii="Times New Roman" w:cs="Times New Roman" w:eastAsia="Times New Roman" w:hAnsi="Times New Roman"/>
          <w:sz w:val="17"/>
          <w:szCs w:val="17"/>
          <w:color w:val="auto"/>
        </w:rPr>
      </w:pPr>
    </w:p>
    <w:p>
      <w:pPr>
        <w:ind w:left="820" w:right="160" w:hanging="245"/>
        <w:spacing w:after="0" w:line="25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w:t>
      </w:r>
      <w:r>
        <w:rPr>
          <w:rFonts w:ascii="Times New Roman" w:cs="Times New Roman" w:eastAsia="Times New Roman" w:hAnsi="Times New Roman"/>
          <w:sz w:val="18"/>
          <w:szCs w:val="18"/>
          <w:i w:val="1"/>
          <w:iCs w:val="1"/>
          <w:color w:val="auto"/>
        </w:rPr>
        <w:t>, Ever &amp; 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2024 and 2023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2024 and 2023, respectively: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6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387,468</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246,542</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140,926</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89,855</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49,957</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net sales by operating segment and product category: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80" w:type="dxa"/>
            <w:vAlign w:val="bottom"/>
            <w:gridSpan w:val="3"/>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gridSpan w:val="3"/>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8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the primary driver of the consolidated net sales decrease of 3.7% was a 36.8% decrease in private label net sales, which was in part due to the transition out of private label coconut oil sales to a key customer, coupled with lower private label coconut water volumes, which were impacted by supply constraints. Vita Coco Coconut Water net sales increased 7.8% with a case equivalents ("CE") volume increase of 6.3%. For the nine months ended September 30, 2024, the net sales increase of 0.3%, was driven by Vita Coco Coconut Water, which had a 4.5% net sales increase, partially offset by private label net sales decrease of 13.1%.</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in Case Equivalent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percentage change in our volume in CE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compared to the three and nine months ended September 30, 2023,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314325</wp:posOffset>
            </wp:positionV>
            <wp:extent cx="44145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Percentage Change - Three Months Ended September 30, 2024 vs. 2023</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6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tcBorders>
              <w:top w:val="single" w:sz="8" w:color="auto"/>
              <w:bottom w:val="single" w:sz="8" w:color="auto"/>
            </w:tcBorders>
          </w:tcPr>
          <w:p>
            <w:pPr>
              <w:spacing w:after="0"/>
              <w:rPr>
                <w:sz w:val="18"/>
                <w:szCs w:val="18"/>
                <w:color w:val="auto"/>
              </w:rPr>
            </w:pPr>
          </w:p>
        </w:tc>
      </w:tr>
      <w:tr>
        <w:trPr>
          <w:trHeight w:val="225"/>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6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08"/>
        </w:trPr>
        <w:tc>
          <w:tcPr>
            <w:tcW w:w="3660" w:type="dxa"/>
            <w:vAlign w:val="bottom"/>
          </w:tcPr>
          <w:p>
            <w:pPr>
              <w:spacing w:after="0"/>
              <w:rPr>
                <w:sz w:val="18"/>
                <w:szCs w:val="18"/>
                <w:color w:val="auto"/>
              </w:rPr>
            </w:pPr>
          </w:p>
        </w:tc>
        <w:tc>
          <w:tcPr>
            <w:tcW w:w="6120" w:type="dxa"/>
            <w:vAlign w:val="bottom"/>
            <w:tcBorders>
              <w:bottom w:val="single" w:sz="8" w:color="auto"/>
            </w:tcBorders>
            <w:gridSpan w:val="7"/>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Percentage Change - Nine Months Ended September 30, 2024 vs. 2023</w:t>
            </w:r>
          </w:p>
        </w:tc>
        <w:tc>
          <w:tcPr>
            <w:tcW w:w="82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tcBorders>
              <w:bottom w:val="single" w:sz="8" w:color="auto"/>
            </w:tcBorders>
          </w:tcPr>
          <w:p>
            <w:pPr>
              <w:spacing w:after="0"/>
              <w:rPr>
                <w:sz w:val="18"/>
                <w:szCs w:val="18"/>
                <w:color w:val="auto"/>
              </w:rPr>
            </w:pPr>
          </w:p>
        </w:tc>
      </w:tr>
      <w:tr>
        <w:trPr>
          <w:trHeight w:val="225"/>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36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International, Other excludes minor volume that is treated as zero 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 Segment</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Americas net sales decreased $8.4 million, or 7.0%, to $112.2 million for the three months ended September 30, 2024 from $120.6 million for the three months ended September 30, 2023. The decrease was primarily driven by CE volume decline in private label due to the transition out of private label oil at a key customer and supply constraints impacting private label coconut water shipments, which was partially offset by Vita Coco Coconut Water CE volume growth of 2.9%. Americas net sales decreased $5.8 million, or 1.7%, to $332.8 million for the nine months ended September 30, 2024 from $338.7 million for the nine months ended September 30, 2023. The decrease was primarily driven by an decrease in CE volume of 1.7%.</w:t>
      </w:r>
    </w:p>
    <w:p>
      <w:pPr>
        <w:spacing w:after="0" w:line="18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Vita Coco Coconut Water net sales increased by $4.3 million, or 4.8%, to $94.0 million for the three months ended September 30, 2024, from $89.7 million for the three months ended September 30, 2023. The increase was the result of CE volume growth of 2.9% coupled with net pricing benefits. Vita Coco Coconut Water net sales increased by $8.2 million, or 3.2%, to $262.0 million for the nine months ended September 30, 2024. The increase was primarily driven by net pricing benefits due to the timing of pricing promotions with a CE volume increase of 0.6%.</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Private label net sales decreased by $11.8 million, or 41.6%, to $16.5 million for the three months ended September 30, 2024, from $28.3 million for the three months ended September 30, 2023, due to the expected decrease in the private label oil business and supply constraints driving CE volume decline of 32.1%. Private label net sales decreased by $13.5 million, or 17.4%, to $63.9 million for the nine months ended September 30, 2024, due to the expected private label oil decrease in addition to supply constraints, with a CE volume decline of 7.6%.</w:t>
      </w:r>
    </w:p>
    <w:p>
      <w:pPr>
        <w:spacing w:after="0" w:line="18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Net sales from Other products decreased by $1.0 million, or 35.6%, to $1.7 million for the three months ended September 30, 2024 from</w:t>
      </w:r>
    </w:p>
    <w:p>
      <w:pPr>
        <w:spacing w:after="0" w:line="27"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$2.7 million for the three months ended September 30, 2023, driven by a CE volume decrease of 38.9% due to lower sales of innovation products and cycling of opportunistic commodity sales. Net sales from Other products decreased by $0.6 million, or 7.7%, to $6.9 million for the nine months ended September 30, 2024.</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Segment</w:t>
      </w:r>
    </w:p>
    <w:p>
      <w:pPr>
        <w:spacing w:after="0" w:line="11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International net sales increased by $3.2 million, or 18.6%, to $20.7 million for the three months ended September 30, 2024, from $17.4 million for the three months ended September 30, 2023. The increase is primarily driven by CE volume growth of 17.4%. International net sales increased by $7.1 million, or 14.5%, to $55.9 million for the nine months ended September 30, 2024, from $48.8 million for the nine months ended September 30, 2023. The increase is primarily driven by CE volume growth of 10.9%.</w:t>
      </w:r>
    </w:p>
    <w:p>
      <w:pPr>
        <w:spacing w:after="0" w:line="18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Vita Coco Coconut Water net sales increased by $3.5 million, or 31.1%, to $14.9 million for the three months ended September 30, 2024, from $11.3 million for the three months ended September 30, 2023. The increase was driven by both Europe and the Asia Pacific region which both had strong net sales and volume performance. Vita Coco Coconut Water net sales increased by $4.9 million, or 14.5%, to $38.5 million for the nine months ended September 30, 2024 from $33.6 million for the nine months ended September 30, 2023. The increase was primarily driven by strong growth in Europe partially offset by lower volumes in the Asia Pacific region.</w:t>
      </w:r>
    </w:p>
    <w:p>
      <w:pPr>
        <w:spacing w:after="0" w:line="18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Private label net sales decreased by $0.6 million, or 11.5%, to $4.8 million for the three months ended September 30, 2024 from $5.4 million for the three months ended September 30, 2023. The decrease was driven primarily by supply constraints along with some impact from the expected decrease in private label coconut oil. Private label net sales increased by $1.6 million, or 12.4%, to $14.8 million for the nine months ended September 30, 2024, from $13.1 million for the nine months ended September 30, 2023. The increase was driven primarily by Europe, which had strong volume driven by new distribution, partially offset by the private label coconut oil decrease.</w:t>
      </w:r>
    </w:p>
    <w:p>
      <w:pPr>
        <w:spacing w:after="0" w:line="183"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Net sales from Other products increased 51.0% for the three months ended September 30, 2024 and 29.4% for the nine months ended September 30, 2024 largely due to opportunistic commodity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6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270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3"/>
                <w:szCs w:val="13"/>
                <w:color w:val="auto"/>
              </w:rPr>
            </w:pPr>
          </w:p>
        </w:tc>
        <w:tc>
          <w:tcPr>
            <w:tcW w:w="1860" w:type="dxa"/>
            <w:vAlign w:val="bottom"/>
            <w:gridSpan w:val="3"/>
            <w:vMerge w:val="restart"/>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68,681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70,437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196,195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214,214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7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155"/>
        </w:trPr>
        <w:tc>
          <w:tcPr>
            <w:tcW w:w="2320" w:type="dxa"/>
            <w:vAlign w:val="bottom"/>
          </w:tcPr>
          <w:p>
            <w:pPr>
              <w:ind w:left="680"/>
              <w:spacing w:after="0" w:line="156" w:lineRule="exact"/>
              <w:rPr>
                <w:sz w:val="20"/>
                <w:szCs w:val="20"/>
                <w:color w:val="auto"/>
              </w:rPr>
            </w:pPr>
            <w:r>
              <w:rPr>
                <w:rFonts w:ascii="Times New Roman" w:cs="Times New Roman" w:eastAsia="Times New Roman" w:hAnsi="Times New Roman"/>
                <w:sz w:val="18"/>
                <w:szCs w:val="18"/>
                <w:color w:val="auto"/>
              </w:rPr>
              <w:t>Total cost of goods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81,344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81,893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231,244</w:t>
            </w:r>
          </w:p>
        </w:tc>
        <w:tc>
          <w:tcPr>
            <w:tcW w:w="7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246,542</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1"/>
        </w:trPr>
        <w:tc>
          <w:tcPr>
            <w:tcW w:w="2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sold</w:t>
            </w:r>
          </w:p>
        </w:tc>
        <w:tc>
          <w:tcPr>
            <w:tcW w:w="1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43,563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50,208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136,643</w:t>
            </w:r>
          </w:p>
        </w:tc>
        <w:tc>
          <w:tcPr>
            <w:tcW w:w="7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124,466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7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23"/>
        </w:trPr>
        <w:tc>
          <w:tcPr>
            <w:tcW w:w="2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51,562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56,171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157,476</w:t>
            </w:r>
          </w:p>
        </w:tc>
        <w:tc>
          <w:tcPr>
            <w:tcW w:w="7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140,926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57"/>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7"/>
        </w:trPr>
        <w:tc>
          <w:tcPr>
            <w:tcW w:w="2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486"/>
        <w:spacing w:after="0" w:line="239" w:lineRule="auto"/>
        <w:rPr>
          <w:sz w:val="20"/>
          <w:szCs w:val="20"/>
          <w:color w:val="auto"/>
        </w:rPr>
      </w:pPr>
      <w:r>
        <w:rPr>
          <w:rFonts w:ascii="Times New Roman" w:cs="Times New Roman" w:eastAsia="Times New Roman" w:hAnsi="Times New Roman"/>
          <w:sz w:val="18"/>
          <w:szCs w:val="18"/>
          <w:color w:val="auto"/>
        </w:rPr>
        <w:t>On a consolidated basis, cost of goods sold decreased by $0.5 million, or 0.7%, to $81.3 million for the three months ended September 30, 2024, from $81.9 million for the three months ended September 30, 2023. On a consolidated and segment basis, the decrease was primarily related to the overall lower CE volume and lower finished goods costs which were partly offset by transportation cost increases. Cost of goods sold decreased by $15.3 million, or 6.2%, to $231.2 million for the nine months ended September 30, 2024. On a consolidated basis, the decrease was primarily related to lower finished goods costs, which were partially offset by volume CE growth and higher transportation costs.</w:t>
      </w:r>
    </w:p>
    <w:p>
      <w:pPr>
        <w:spacing w:after="0" w:line="19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On a consolidated basis, gross profit decreased by $4.6 million, or 8.2%, to $51.6 million for the three months ended September 30, 2024, from $56.2 million for the three months ended September 30, 2023. Gross margin decreased approximately 1.9% percentage points to 38.8% for the three months ended September 30, 2024, as compared to 40.7% for the three months ended September 30, 2023. The decrease in gross profit resulted from the lower CE volume and consequent net sales, along with higher transportation costs, which were partially offset by lower finished goods costs and improved net pricing on Vita Coco Coconut Water. Gross profit increased by $16.6 million, or 11.7%, to $157.5 million for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nine months ended September 30, 2024. The increase resulted from volume CE growth and lower finished goods costs, partly offset by higher transportation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60" w:type="dxa"/>
            <w:vAlign w:val="bottom"/>
            <w:gridSpan w:val="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40" w:type="dxa"/>
            <w:vAlign w:val="bottom"/>
            <w:gridSpan w:val="3"/>
            <w:vMerge w:val="restart"/>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19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18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8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9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30,967</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32,649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87,941</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 w:lineRule="exact"/>
        <w:rPr>
          <w:sz w:val="20"/>
          <w:szCs w:val="20"/>
          <w:color w:val="auto"/>
        </w:rPr>
      </w:pPr>
    </w:p>
    <w:p>
      <w:pPr>
        <w:ind w:right="20" w:firstLine="486"/>
        <w:spacing w:after="0" w:line="234" w:lineRule="auto"/>
        <w:rPr>
          <w:sz w:val="20"/>
          <w:szCs w:val="20"/>
          <w:color w:val="auto"/>
        </w:rPr>
      </w:pPr>
      <w:r>
        <w:rPr>
          <w:rFonts w:ascii="Times New Roman" w:cs="Times New Roman" w:eastAsia="Times New Roman" w:hAnsi="Times New Roman"/>
          <w:sz w:val="18"/>
          <w:szCs w:val="18"/>
          <w:color w:val="auto"/>
        </w:rPr>
        <w:t>During the three months ended September 30, 2024, SG&amp;A decreased by $1.7 million, or 5.2%, versus the three months ended September 30, 2023. The decrease was primarily driven by reduced marketing expense of $1.8 million due to reduced spending in light of product supply constraints. During the nine months ended September 30, 2024, SG&amp;A decreased by $1.9 million, or 2.1%, versus the nine months ended September 30, 2023. The decrease was primarily driven lower marketing expense of $4.6 million and reduced bad debt expense of $0.9 million, partially offset by increased personnel related expenses of $3.6 million.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8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7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Gain/(Loss) on Derivative Instruments</w:t>
      </w:r>
    </w:p>
    <w:p>
      <w:pPr>
        <w:spacing w:after="0" w:line="11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and 2023, we recorded gains of $2.6 million and losses of $4.0 million, respectively, for the mark-to-market changes in fair value on the outstanding derivative instruments for forward foreign currency exchange contracts, with the largest gain for the three months ended September 30, 2024 related to the contracts hedging the BRL and THB. For the nine months ended September 30, 2024 and 2023, we recorded losses of $5.9 million and losses of $1.8 million, respectively, for the mark-to-market changes in fair value on the outstanding derivative instruments for forward foreign currency exchange contracts, with the largest loss for the nine months ended September 30, 2024 related to the contracts hedging the BRL, partially offset by gains on THB, GBP, and CAD hedges.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Gain/(Loss)</w:t>
      </w:r>
    </w:p>
    <w:p>
      <w:pPr>
        <w:spacing w:after="0" w:line="11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 change in foreign currency gain was $1.8 million as compared to September 30, 2023. For the nine months ended September 30, 2024, the change in foreign currency gain was $0.9 million as compared to September 30, 2023. The change in all periods was a result of movements in various foreign currency exchange rates related to transactions denominated in currencies other than the functional currency.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the increase in interest income was $1.1 million as compared to September 30, 2023. The increase was primarily due to higher levels of cash invested with financial institutions during the third quarter of 2024 compared to the third quarter of 2023. For the nine months ended September 30, 2024, the change in interest income was $3.9 million as compared to the same period ending September 30, 2023. The increase in interest income period over period was due to the cash investment program that began in April 2023, in addition to higher levels of cash invested with financial institutions compared to prior year.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interest expense is immaterial.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302" w:lineRule="exact"/>
        <w:rPr>
          <w:sz w:val="20"/>
          <w:szCs w:val="20"/>
          <w:color w:val="auto"/>
        </w:rPr>
      </w:pPr>
    </w:p>
    <w:p>
      <w:pPr>
        <w:jc w:val="center"/>
        <w:ind w:left="2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23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Percentage</w:t>
            </w:r>
          </w:p>
        </w:tc>
      </w:tr>
    </w:tbl>
    <w:p>
      <w:pPr>
        <w:spacing w:after="0" w:line="1" w:lineRule="exact"/>
        <w:rPr>
          <w:sz w:val="20"/>
          <w:szCs w:val="20"/>
          <w:color w:val="auto"/>
        </w:rPr>
      </w:pPr>
    </w:p>
    <w:p>
      <w:pPr>
        <w:sectPr>
          <w:pgSz w:w="11900" w:h="16838" w:orient="portrait"/>
          <w:cols w:equalWidth="0" w:num="2">
            <w:col w:w="4400" w:space="100"/>
            <w:col w:w="6700"/>
          </w:cols>
          <w:pgMar w:left="320" w:top="117" w:right="379" w:bottom="1440" w:gutter="0" w:footer="0" w:header="0"/>
        </w:sectPr>
      </w:pPr>
    </w:p>
    <w:tbl>
      <w:tblPr>
        <w:tblLayout w:type="fixed"/>
        <w:tblInd w:w="300" w:type="dxa"/>
        <w:tblCellMar>
          <w:top w:w="0" w:type="dxa"/>
          <w:left w:w="0" w:type="dxa"/>
          <w:bottom w:w="0" w:type="dxa"/>
          <w:right w:w="0" w:type="dxa"/>
        </w:tblCellMar>
      </w:tblPr>
      <w:tr>
        <w:trPr>
          <w:trHeight w:val="235"/>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(2,351)</w:t>
            </w:r>
          </w:p>
        </w:tc>
        <w:tc>
          <w:tcPr>
            <w:tcW w:w="80" w:type="dxa"/>
            <w:vAlign w:val="bottom"/>
            <w:tcBorders>
              <w:top w:val="single" w:sz="8" w:color="CCEEFF"/>
            </w:tcBorders>
            <w:shd w:val="clear" w:color="auto" w:fill="CCEEFF"/>
          </w:tcPr>
          <w:p>
            <w:pPr>
              <w:spacing w:after="0"/>
              <w:rPr>
                <w:sz w:val="20"/>
                <w:szCs w:val="20"/>
                <w:color w:val="auto"/>
              </w:rPr>
            </w:pPr>
          </w:p>
        </w:tc>
        <w:tc>
          <w:tcPr>
            <w:tcW w:w="22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58.6 % $  (16,555)</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(10,101)</w:t>
            </w: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(6,454)</w:t>
            </w: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Tax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200" w:lineRule="exact"/>
        <w:rPr>
          <w:sz w:val="20"/>
          <w:szCs w:val="20"/>
          <w:color w:val="auto"/>
        </w:rPr>
      </w:pPr>
    </w:p>
    <w:p>
      <w:pPr>
        <w:spacing w:after="0" w:line="205" w:lineRule="exact"/>
        <w:rPr>
          <w:sz w:val="20"/>
          <w:szCs w:val="20"/>
          <w:color w:val="auto"/>
        </w:rPr>
      </w:pPr>
    </w:p>
    <w:p>
      <w:pPr>
        <w:ind w:right="20" w:firstLine="486"/>
        <w:spacing w:after="0" w:line="239" w:lineRule="auto"/>
        <w:rPr>
          <w:sz w:val="20"/>
          <w:szCs w:val="20"/>
          <w:color w:val="auto"/>
        </w:rPr>
      </w:pPr>
      <w:r>
        <w:rPr>
          <w:rFonts w:ascii="Times New Roman" w:cs="Times New Roman" w:eastAsia="Times New Roman" w:hAnsi="Times New Roman"/>
          <w:sz w:val="18"/>
          <w:szCs w:val="18"/>
          <w:color w:val="auto"/>
        </w:rPr>
        <w:t>For the nine months ended September 30, 2024 and 2023 our effective tax rate was 23.9% and 20.2%, respectively. The effective tax rate for the current period is higher than the US statutory rate of 21% primarily as a result of state income taxes for the US company and other nondeductible expenses for tax purposes, and is partially offset by lower statutory tax rates in countries outside the US that we operate in. The change in effective tax rates between the periods is primarily driven by the jurisdictional mix of our pre-tax profits and the impact of higher non-deductible expenses this year related to covered employees' compensation in relation to the pre-tax profits.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These non-GAAP measures are a key metric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2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95"/>
        </w:trPr>
        <w:tc>
          <w:tcPr>
            <w:tcW w:w="6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5"/>
        </w:trPr>
        <w:tc>
          <w:tcPr>
            <w:tcW w:w="6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49,386</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(gain)/loss (b)</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Secondary Offering Costs (c)</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 (d)</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59,885</w:t>
            </w:r>
          </w:p>
        </w:tc>
      </w:tr>
      <w:tr>
        <w:trPr>
          <w:trHeight w:val="21"/>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340" w:right="440" w:hanging="332"/>
        <w:spacing w:after="0" w:line="261" w:lineRule="auto"/>
        <w:tabs>
          <w:tab w:leader="none" w:pos="3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and forfeitures. We adjusted for these charges to facilitate comparison from period to period.</w:t>
      </w:r>
    </w:p>
    <w:p>
      <w:pPr>
        <w:ind w:left="340" w:right="780" w:hanging="332"/>
        <w:spacing w:after="0" w:line="243"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spacing w:after="0" w:line="1" w:lineRule="exact"/>
        <w:rPr>
          <w:rFonts w:ascii="Times New Roman" w:cs="Times New Roman" w:eastAsia="Times New Roman" w:hAnsi="Times New Roman"/>
          <w:sz w:val="18"/>
          <w:szCs w:val="18"/>
          <w:color w:val="auto"/>
        </w:rPr>
      </w:pPr>
    </w:p>
    <w:p>
      <w:pPr>
        <w:ind w:left="340" w:hanging="332"/>
        <w:spacing w:after="0" w:line="232"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other non-recurring expenses related to costs associated with two secondary offerings in which Verlinvest Beverages SA sold shares of the Company in an underwritten public offering that closed on May 26, 2023 and a block trade that was executed on November 9, 2023. The amounts for the three and nine months ended September 30, 2023 relate to costs for the May 26, 2023 offering. The amounts for the three and nine months ended September 30, 2024 relate to an expense waiver of certain costs incurred during the November 9, 2023 block trade. The Company did not receive any proceeds from the sale of the shares. For additional information regarding the expense waiver for the three and nine months ended September 30, 2024, see Note 14,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our condensed consolidated financial statements included in this Quarterly Report on Form 10-Q.</w:t>
      </w: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other charges primarily related to the impairment loss of assets held for sale in 2023 and other non-recurring expenses.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$156.7 million and $132.5 million of cash and cash equivalents as of September 30, 2024 and December 31, 2023, respectively. From time to time, we may supplement our liquidity needs with incremental borrowing capacity under the 2020 Credit Facility.</w:t>
      </w:r>
    </w:p>
    <w:p>
      <w:pPr>
        <w:spacing w:after="0" w:line="18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57.1 %</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62"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operating activities decreased $34.0 million compared to the nine months ended September 30, 2023. The decrease in cash provided by operating activities was primarily driven by higher inventory purchases partly offset by increase in net income, net of non-cash adjustments.</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investing activities was $0.8 million as compared to $0.5 million for the nine months ended September 30, 2023, the increase was due to equipment purchases and higher technology related capital expenditures.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 w:lineRule="exact"/>
        <w:rPr>
          <w:sz w:val="20"/>
          <w:szCs w:val="20"/>
          <w:color w:val="auto"/>
        </w:rPr>
      </w:pPr>
    </w:p>
    <w:p>
      <w:pPr>
        <w:ind w:right="280" w:firstLine="486"/>
        <w:spacing w:after="0" w:line="239"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compared to the nine months ended September 30, 2023, net cash used by financing activities was $16.3 million higher primarily driven by share repurchases that occurred in 2024 and lower proceeds from stock award exercises. See Note 10, </w:t>
      </w:r>
      <w:r>
        <w:rPr>
          <w:rFonts w:ascii="Times New Roman" w:cs="Times New Roman" w:eastAsia="Times New Roman" w:hAnsi="Times New Roman"/>
          <w:sz w:val="18"/>
          <w:szCs w:val="18"/>
          <w:i w:val="1"/>
          <w:iCs w:val="1"/>
          <w:color w:val="auto"/>
        </w:rPr>
        <w:t xml:space="preserve">Stockholders' Equity, </w:t>
      </w:r>
      <w:r>
        <w:rPr>
          <w:rFonts w:ascii="Times New Roman" w:cs="Times New Roman" w:eastAsia="Times New Roman" w:hAnsi="Times New Roman"/>
          <w:sz w:val="18"/>
          <w:szCs w:val="18"/>
          <w:color w:val="auto"/>
        </w:rPr>
        <w:t>for further discussion on share repurchases.</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an immaterial amount of debt outstanding as of September 30, 2024 and December 31, 2023, which was related to vehicle loans.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120" w:firstLine="551"/>
        <w:spacing w:after="0" w:line="282" w:lineRule="auto"/>
        <w:rPr>
          <w:sz w:val="20"/>
          <w:szCs w:val="20"/>
          <w:color w:val="auto"/>
        </w:rPr>
      </w:pPr>
      <w:r>
        <w:rPr>
          <w:rFonts w:ascii="Times New Roman" w:cs="Times New Roman" w:eastAsia="Times New Roman" w:hAnsi="Times New Roman"/>
          <w:sz w:val="18"/>
          <w:szCs w:val="18"/>
          <w:color w:val="auto"/>
        </w:rPr>
        <w:t>In May 2020, the Company entered into the 2020 Credit Facility, which currently provides for committed borrowings of $60 million. The maturity date on the 2020 Credit Facility is May 12, 2026.</w:t>
      </w:r>
    </w:p>
    <w:p>
      <w:pPr>
        <w:spacing w:after="0" w:line="54"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60" w:firstLine="551"/>
        <w:spacing w:after="0" w:line="282" w:lineRule="auto"/>
        <w:rPr>
          <w:sz w:val="20"/>
          <w:szCs w:val="20"/>
          <w:color w:val="auto"/>
        </w:rPr>
      </w:pPr>
      <w:r>
        <w:rPr>
          <w:rFonts w:ascii="Times New Roman" w:cs="Times New Roman" w:eastAsia="Times New Roman" w:hAnsi="Times New Roman"/>
          <w:sz w:val="18"/>
          <w:szCs w:val="18"/>
          <w:color w:val="auto"/>
        </w:rPr>
        <w:t>The outstanding balance on the Revolving Facility was zero as of September 30, 2024 and December 31, 2023, respectively. As of September 30, 2024, we were compliant with all financial covenants.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September 30, 2024 was less than $0.1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For additional information,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nine months ended September 30, 2024, there were no material changes to our critical accounting policies from those discussed in the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adopted and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appearing elsewhere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212" w:lineRule="exact"/>
        <w:rPr>
          <w:sz w:val="20"/>
          <w:szCs w:val="20"/>
          <w:color w:val="auto"/>
        </w:rPr>
      </w:pPr>
    </w:p>
    <w:p>
      <w:pPr>
        <w:ind w:right="380" w:firstLine="567"/>
        <w:spacing w:after="0" w:line="236" w:lineRule="auto"/>
        <w:rPr>
          <w:sz w:val="20"/>
          <w:szCs w:val="20"/>
          <w:color w:val="auto"/>
        </w:rPr>
      </w:pPr>
      <w:r>
        <w:rPr>
          <w:rFonts w:ascii="Times New Roman" w:cs="Times New Roman" w:eastAsia="Times New Roman" w:hAnsi="Times New Roman"/>
          <w:sz w:val="17"/>
          <w:szCs w:val="17"/>
          <w:color w:val="auto"/>
        </w:rPr>
        <w:t>As of September 30, 2024 and December 31, 2023, the outstanding amounts related to our 2020 Credit Facility incur interest fees at variable interest rates and are affected by changes in the general level of market interest rates. However, there was zero outstanding balance on the 2020 Credit</w:t>
      </w:r>
    </w:p>
    <w:p>
      <w:pPr>
        <w:spacing w:after="0"/>
        <w:rPr>
          <w:sz w:val="20"/>
          <w:szCs w:val="20"/>
          <w:color w:val="auto"/>
        </w:rPr>
      </w:pPr>
      <w:r>
        <w:rPr>
          <w:rFonts w:ascii="Times New Roman" w:cs="Times New Roman" w:eastAsia="Times New Roman" w:hAnsi="Times New Roman"/>
          <w:sz w:val="18"/>
          <w:szCs w:val="18"/>
          <w:color w:val="auto"/>
        </w:rPr>
        <w:t>Facility as of September 30, 2024 and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00" w:firstLine="486"/>
        <w:spacing w:after="0" w:line="281" w:lineRule="auto"/>
        <w:rPr>
          <w:sz w:val="20"/>
          <w:szCs w:val="20"/>
          <w:color w:val="auto"/>
        </w:rPr>
      </w:pPr>
      <w:r>
        <w:rPr>
          <w:rFonts w:ascii="Times New Roman" w:cs="Times New Roman" w:eastAsia="Times New Roman" w:hAnsi="Times New Roman"/>
          <w:sz w:val="17"/>
          <w:szCs w:val="17"/>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17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$99.4 million and $121.0 million as of September 30, 2024 and December 31, 2023, respectively. The derivatives on the forward exchange contracts resulted in an unrealized loss of $(5.9) million for the nine months ended September 30, 2024, and we estimate that a 10% strengthening or weakening of the U.S. dollar would have resulted in an approximately $0.3 million gain or loss.</w:t>
      </w:r>
    </w:p>
    <w:p>
      <w:pPr>
        <w:spacing w:after="0" w:line="18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 portion of our cash and cash equivalents are denominated in foreign currencies. As of September 30, 2024, a 1% change in the value of the U.S. dollar compared to foreign currencies would have caused our cash and cash equivalents to decrease or increase by $0.1 million. As of December 31, 2023, a 1% change in the value of the U.S. dollar compared to foreign currencies would have caused our cash and cash equivalents to decrease or increase by $0.1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In the nine months ended September 30, 2024, general inflationary pressures continue to increase the other elements of our cost of goods and operating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380" w:firstLine="486"/>
        <w:spacing w:after="0" w:line="281" w:lineRule="auto"/>
        <w:rPr>
          <w:sz w:val="20"/>
          <w:szCs w:val="20"/>
          <w:color w:val="auto"/>
        </w:rPr>
      </w:pPr>
      <w:r>
        <w:rPr>
          <w:rFonts w:ascii="Times New Roman" w:cs="Times New Roman" w:eastAsia="Times New Roman" w:hAnsi="Times New Roman"/>
          <w:sz w:val="17"/>
          <w:szCs w:val="17"/>
          <w:color w:val="auto"/>
        </w:rPr>
        <w:t>We are exposed to concentration of credit risk from our major customers. In the nine months ended September 30, 2024, sales to two customers represented approximately 48%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2024,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Please refer to Part I, Item 1A. "Risk Factors" of the Form 10-K for the fiscal year ended December 31, 2023 for a description of certain significant risks and uncertainties to which our business, financial condition and results of operations are subject. There have been no material changes to these risk factors as of September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sell any equity securities during the three months ended September 30, 2024 that were not registered under the Securities</w:t>
      </w:r>
    </w:p>
    <w:p>
      <w:pPr>
        <w:spacing w:after="0"/>
        <w:rPr>
          <w:sz w:val="20"/>
          <w:szCs w:val="20"/>
          <w:color w:val="auto"/>
        </w:rPr>
      </w:pPr>
      <w:r>
        <w:rPr>
          <w:rFonts w:ascii="Times New Roman" w:cs="Times New Roman" w:eastAsia="Times New Roman" w:hAnsi="Times New Roman"/>
          <w:sz w:val="18"/>
          <w:szCs w:val="18"/>
          <w:color w:val="auto"/>
        </w:rPr>
        <w:t>Act.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September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spacing w:after="0"/>
              <w:rPr>
                <w:sz w:val="16"/>
                <w:szCs w:val="16"/>
                <w:color w:val="auto"/>
              </w:rPr>
            </w:pP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80"/>
        </w:trPr>
        <w:tc>
          <w:tcPr>
            <w:tcW w:w="252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Period</w:t>
            </w:r>
          </w:p>
        </w:tc>
        <w:tc>
          <w:tcPr>
            <w:tcW w:w="216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229"/>
        </w:trPr>
        <w:tc>
          <w:tcPr>
            <w:tcW w:w="2520" w:type="dxa"/>
            <w:vAlign w:val="bottom"/>
            <w:vMerge w:val="continue"/>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Share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 (1)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August 1, 2024 - August 31,</w:t>
            </w:r>
          </w:p>
        </w:tc>
        <w:tc>
          <w:tcPr>
            <w:tcW w:w="21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44,504</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466,048</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1, 2024 - September</w:t>
            </w:r>
          </w:p>
        </w:tc>
        <w:tc>
          <w:tcPr>
            <w:tcW w:w="21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30, 2024</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68,198</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$24.74</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534,246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8"/>
        <w:spacing w:after="0" w:line="245"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2023, the Company's Board of Directors approved a share repurchase program ("Program") authorizing the Company to repurchase up to $40 million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During the nine months ended September 30, 2024, the Company repurchased 504,246 shares at a cost of $12.0 million under this program.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disclosure requirements set forth in Item 408(a) of Regulation S-K, the following table discloses any officer (as defined in Rule 16a-1(f) under the Exchange Act), director, or entity controlled by such officer 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director who adopted or terminated a contract, instruction, or written plan for the sale of securities of the Company intended to satisfy the affirmative defense of Rule 10b5-1(c) during the quarterly period ended September 30,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Duration of</w:t>
            </w:r>
          </w:p>
        </w:tc>
        <w:tc>
          <w:tcPr>
            <w:tcW w:w="2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Securities</w:t>
            </w:r>
          </w:p>
        </w:tc>
        <w:tc>
          <w:tcPr>
            <w:tcW w:w="0" w:type="dxa"/>
            <w:vAlign w:val="bottom"/>
          </w:tcPr>
          <w:p>
            <w:pPr>
              <w:spacing w:after="0"/>
              <w:rPr>
                <w:sz w:val="1"/>
                <w:szCs w:val="1"/>
                <w:color w:val="auto"/>
              </w:rPr>
            </w:pPr>
          </w:p>
        </w:tc>
      </w:tr>
      <w:tr>
        <w:trPr>
          <w:trHeight w:val="175"/>
        </w:trPr>
        <w:tc>
          <w:tcPr>
            <w:tcW w:w="170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00" w:type="dxa"/>
            <w:vAlign w:val="bottom"/>
            <w:vMerge w:val="restart"/>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54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2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vMerge w:val="continue"/>
            <w:shd w:val="clear" w:color="auto" w:fill="CCEEFF"/>
          </w:tcPr>
          <w:p>
            <w:pPr>
              <w:spacing w:after="0"/>
              <w:rPr>
                <w:sz w:val="21"/>
                <w:szCs w:val="21"/>
                <w:color w:val="auto"/>
              </w:rPr>
            </w:pPr>
          </w:p>
        </w:tc>
        <w:tc>
          <w:tcPr>
            <w:tcW w:w="2300" w:type="dxa"/>
            <w:vAlign w:val="bottom"/>
            <w:vMerge w:val="continue"/>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Corey Baker</w:t>
            </w:r>
          </w:p>
        </w:tc>
        <w:tc>
          <w:tcPr>
            <w:tcW w:w="23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August 15, 2024</w:t>
            </w:r>
          </w:p>
        </w:tc>
        <w:tc>
          <w:tcPr>
            <w:tcW w:w="16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13, 2024</w:t>
            </w:r>
          </w:p>
        </w:tc>
        <w:tc>
          <w:tcPr>
            <w:tcW w:w="26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5,172 shares of Common</w:t>
            </w: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 May 30, 2025</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In addition, the following table discloses an officer (as defined in Rule 16a-1(f) under the Exchange Act), who adopted or terminated a contract, instruction, or written plan for the sale of securities of the Company intended to satisfy the affirmative defense of Rule 10b5-1c) that was not previously disclosed: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80" w:type="dxa"/>
            <w:vAlign w:val="bottom"/>
            <w:tcBorders>
              <w:top w:val="single" w:sz="8" w:color="auto"/>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tcBorders>
              <w:top w:val="single" w:sz="8" w:color="auto"/>
            </w:tcBorders>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500" w:type="dxa"/>
            <w:vAlign w:val="bottom"/>
            <w:tcBorders>
              <w:top w:val="single" w:sz="8" w:color="auto"/>
            </w:tcBorders>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Date of Action</w:t>
            </w:r>
          </w:p>
        </w:tc>
        <w:tc>
          <w:tcPr>
            <w:tcW w:w="1680" w:type="dxa"/>
            <w:vAlign w:val="bottom"/>
            <w:tcBorders>
              <w:top w:val="single" w:sz="8" w:color="auto"/>
            </w:tcBorders>
            <w:shd w:val="clear" w:color="auto" w:fill="CCEEFF"/>
          </w:tcPr>
          <w:p>
            <w:pPr>
              <w:jc w:val="center"/>
              <w:ind w:lef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Duration of Trading</w:t>
            </w:r>
          </w:p>
        </w:tc>
        <w:tc>
          <w:tcPr>
            <w:tcW w:w="2340" w:type="dxa"/>
            <w:vAlign w:val="bottom"/>
            <w:tcBorders>
              <w:top w:val="single" w:sz="8" w:color="auto"/>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Aggregate Number of</w:t>
            </w:r>
          </w:p>
        </w:tc>
        <w:tc>
          <w:tcPr>
            <w:tcW w:w="0" w:type="dxa"/>
            <w:vAlign w:val="bottom"/>
          </w:tcPr>
          <w:p>
            <w:pPr>
              <w:spacing w:after="0"/>
              <w:rPr>
                <w:sz w:val="1"/>
                <w:szCs w:val="1"/>
                <w:color w:val="auto"/>
              </w:rPr>
            </w:pPr>
          </w:p>
        </w:tc>
      </w:tr>
      <w:tr>
        <w:trPr>
          <w:trHeight w:val="238"/>
        </w:trPr>
        <w:tc>
          <w:tcPr>
            <w:tcW w:w="2080" w:type="dxa"/>
            <w:vAlign w:val="bottom"/>
            <w:vMerge w:val="continue"/>
            <w:shd w:val="clear" w:color="auto" w:fill="CCEEFF"/>
          </w:tcPr>
          <w:p>
            <w:pPr>
              <w:spacing w:after="0"/>
              <w:rPr>
                <w:sz w:val="20"/>
                <w:szCs w:val="20"/>
                <w:color w:val="auto"/>
              </w:rPr>
            </w:pPr>
          </w:p>
        </w:tc>
        <w:tc>
          <w:tcPr>
            <w:tcW w:w="200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Securities to be Sold</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May 9, 2024</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to 144,694 shares of</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to September 12,</w:t>
            </w:r>
          </w:p>
        </w:tc>
        <w:tc>
          <w:tcPr>
            <w:tcW w:w="2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subject to a</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maximum of 5,000 shares</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Christopher G. Roper</w:t>
            </w: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 trust for which Mr.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May 9, 2024</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143,394 shares of</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Exempt Family Trust</w:t>
            </w:r>
          </w:p>
        </w:tc>
        <w:tc>
          <w:tcPr>
            <w:tcW w:w="20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Roper's spouse is the</w:t>
            </w:r>
          </w:p>
        </w:tc>
        <w:tc>
          <w:tcPr>
            <w:tcW w:w="1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to September 12,</w:t>
            </w:r>
          </w:p>
        </w:tc>
        <w:tc>
          <w:tcPr>
            <w:tcW w:w="2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subject to a</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daily maximum of 5,000 shares</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Peter S. Roper Exempt</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trust for which Mr.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May 9, 2024</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to 143,394 shares of</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Family Trust</w:t>
            </w:r>
          </w:p>
        </w:tc>
        <w:tc>
          <w:tcPr>
            <w:tcW w:w="20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Roper's spouse is the</w:t>
            </w: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to September 12,</w:t>
            </w:r>
          </w:p>
        </w:tc>
        <w:tc>
          <w:tcPr>
            <w:tcW w:w="2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subject to a</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maximum of 5,000 shares</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Thomas L. Roper</w:t>
            </w: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 trust for which Mr.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May 9, 2024</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143,394 shares of</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Exempt Family Trust</w:t>
            </w:r>
          </w:p>
        </w:tc>
        <w:tc>
          <w:tcPr>
            <w:tcW w:w="20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Roper's spouse is the</w:t>
            </w:r>
          </w:p>
        </w:tc>
        <w:tc>
          <w:tcPr>
            <w:tcW w:w="1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to September 12,</w:t>
            </w:r>
          </w:p>
        </w:tc>
        <w:tc>
          <w:tcPr>
            <w:tcW w:w="2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subject to a</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daily maximum of 5,000 shares</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Filed /</w:t>
            </w:r>
          </w:p>
        </w:tc>
        <w:tc>
          <w:tcPr>
            <w:tcW w:w="0" w:type="dxa"/>
            <w:vAlign w:val="bottom"/>
          </w:tcPr>
          <w:p>
            <w:pPr>
              <w:spacing w:after="0"/>
              <w:rPr>
                <w:sz w:val="1"/>
                <w:szCs w:val="1"/>
                <w:color w:val="auto"/>
              </w:rPr>
            </w:pPr>
          </w:p>
        </w:tc>
      </w:tr>
      <w:tr>
        <w:trPr>
          <w:trHeight w:val="107"/>
        </w:trPr>
        <w:tc>
          <w:tcPr>
            <w:tcW w:w="1320" w:type="dxa"/>
            <w:vAlign w:val="bottom"/>
            <w:gridSpan w:val="2"/>
            <w:vMerge w:val="restart"/>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Exhibit</w:t>
            </w: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Furnished</w:t>
            </w:r>
          </w:p>
        </w:tc>
        <w:tc>
          <w:tcPr>
            <w:tcW w:w="0" w:type="dxa"/>
            <w:vAlign w:val="bottom"/>
          </w:tcPr>
          <w:p>
            <w:pPr>
              <w:spacing w:after="0"/>
              <w:rPr>
                <w:sz w:val="1"/>
                <w:szCs w:val="1"/>
                <w:color w:val="auto"/>
              </w:rPr>
            </w:pPr>
          </w:p>
        </w:tc>
      </w:tr>
      <w:tr>
        <w:trPr>
          <w:trHeight w:val="23"/>
        </w:trPr>
        <w:tc>
          <w:tcPr>
            <w:tcW w:w="1320" w:type="dxa"/>
            <w:vAlign w:val="bottom"/>
            <w:gridSpan w:val="2"/>
            <w:vMerge w:val="continue"/>
          </w:tcPr>
          <w:p>
            <w:pPr>
              <w:spacing w:after="0"/>
              <w:rPr>
                <w:sz w:val="2"/>
                <w:szCs w:val="2"/>
                <w:color w:val="auto"/>
              </w:rPr>
            </w:pPr>
          </w:p>
        </w:tc>
        <w:tc>
          <w:tcPr>
            <w:tcW w:w="33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Exhibit Description</w:t>
            </w:r>
          </w:p>
        </w:tc>
        <w:tc>
          <w:tcPr>
            <w:tcW w:w="8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Form</w:t>
            </w: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540" w:type="dxa"/>
            <w:vAlign w:val="bottom"/>
            <w:gridSpan w:val="16"/>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Second Amended and Restated Certificate of</w:t>
              </w:r>
            </w:hyperlink>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1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58">
              <w:r>
                <w:rPr>
                  <w:rFonts w:ascii="Times New Roman" w:cs="Times New Roman" w:eastAsia="Times New Roman" w:hAnsi="Times New Roman"/>
                  <w:sz w:val="18"/>
                  <w:szCs w:val="18"/>
                  <w:color w:val="0000FF"/>
                  <w:w w:val="97"/>
                </w:rPr>
                <w:t>Incorporation.</w:t>
              </w:r>
            </w:hyperlink>
          </w:p>
        </w:tc>
        <w:tc>
          <w:tcPr>
            <w:tcW w:w="2220" w:type="dxa"/>
            <w:vAlign w:val="bottom"/>
            <w:tcBorders>
              <w:top w:val="single" w:sz="8" w:color="0000FF"/>
            </w:tcBorders>
            <w:gridSpan w:val="13"/>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Amended and Restated Bylaws.</w:t>
              </w:r>
            </w:hyperlink>
          </w:p>
        </w:tc>
        <w:tc>
          <w:tcPr>
            <w:tcW w:w="1240" w:type="dxa"/>
            <w:vAlign w:val="bottom"/>
            <w:gridSpan w:val="10"/>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209"/>
        </w:trPr>
        <w:tc>
          <w:tcPr>
            <w:tcW w:w="3540" w:type="dxa"/>
            <w:vAlign w:val="bottom"/>
            <w:gridSpan w:val="16"/>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Specimen Common Stock Certificate of The</w:t>
              </w:r>
            </w:hyperlink>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18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Vita Coco Company, Inc.</w:t>
              </w:r>
            </w:hyperlink>
          </w:p>
        </w:tc>
        <w:tc>
          <w:tcPr>
            <w:tcW w:w="1400" w:type="dxa"/>
            <w:vAlign w:val="bottom"/>
            <w:tcBorders>
              <w:top w:val="single" w:sz="8" w:color="0000FF"/>
            </w:tcBorders>
            <w:gridSpan w:val="9"/>
          </w:tcPr>
          <w:p>
            <w:pPr>
              <w:spacing w:after="0"/>
              <w:rPr>
                <w:sz w:val="13"/>
                <w:szCs w:val="13"/>
                <w:color w:val="auto"/>
              </w:rPr>
            </w:pPr>
          </w:p>
        </w:tc>
        <w:tc>
          <w:tcPr>
            <w:tcW w:w="320" w:type="dxa"/>
            <w:vAlign w:val="bottom"/>
            <w:gridSpan w:val="2"/>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gridSpan w:val="16"/>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Registration Rights Agreement, by and</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gridSpan w:val="16"/>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among The Vita Coco Company, Inc. and</w:t>
              </w:r>
            </w:hyperlink>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certain security holders of The Vita Coco</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Company, Inc., dated as of October 20,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4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2021.</w:t>
              </w:r>
            </w:hyperlink>
          </w:p>
        </w:tc>
        <w:tc>
          <w:tcPr>
            <w:tcW w:w="6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gridSpan w:val="16"/>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Investor Rights Agreement, among The Vita</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Coco Company, Inc., Verlinvest Beverages</w:t>
              </w:r>
            </w:hyperlink>
          </w:p>
        </w:tc>
        <w:tc>
          <w:tcPr>
            <w:tcW w:w="34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440" w:type="dxa"/>
            <w:vAlign w:val="bottom"/>
            <w:gridSpan w:val="4"/>
          </w:tcPr>
          <w:p>
            <w:pPr>
              <w:spacing w:after="0"/>
              <w:rPr>
                <w:sz w:val="14"/>
                <w:szCs w:val="14"/>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3100" w:type="dxa"/>
            <w:vAlign w:val="bottom"/>
            <w:gridSpan w:val="12"/>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of October 20, 2021.</w:t>
              </w:r>
            </w:hyperlink>
          </w:p>
        </w:tc>
        <w:tc>
          <w:tcPr>
            <w:tcW w:w="440" w:type="dxa"/>
            <w:vAlign w:val="bottom"/>
            <w:gridSpan w:val="4"/>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Form of Indenture</w:t>
              </w:r>
            </w:hyperlink>
          </w:p>
        </w:tc>
        <w:tc>
          <w:tcPr>
            <w:tcW w:w="160" w:type="dxa"/>
            <w:vAlign w:val="bottom"/>
            <w:tcBorders>
              <w:top w:val="single" w:sz="8" w:color="0000FF"/>
            </w:tcBorders>
          </w:tcPr>
          <w:p>
            <w:pPr>
              <w:spacing w:after="0"/>
              <w:rPr>
                <w:sz w:val="18"/>
                <w:szCs w:val="18"/>
                <w:color w:val="auto"/>
              </w:rPr>
            </w:pPr>
          </w:p>
        </w:tc>
        <w:tc>
          <w:tcPr>
            <w:tcW w:w="2060" w:type="dxa"/>
            <w:vAlign w:val="bottom"/>
            <w:gridSpan w:val="12"/>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333-271583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5/2/23</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Rule 13a-14(a)/15d-14(a).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Rule 13a-14(a)/15d-14(a).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18 U.S.C. Section 1350.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18 U.S.C. Section 1350.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Document—the</w:t>
      </w:r>
    </w:p>
    <w:p>
      <w:pPr>
        <w:spacing w:after="0" w:line="219" w:lineRule="auto"/>
        <w:rPr>
          <w:sz w:val="20"/>
          <w:szCs w:val="20"/>
          <w:color w:val="auto"/>
        </w:rPr>
      </w:pPr>
      <w:r>
        <w:rPr>
          <w:rFonts w:ascii="Times New Roman" w:cs="Times New Roman" w:eastAsia="Times New Roman" w:hAnsi="Times New Roman"/>
          <w:sz w:val="18"/>
          <w:szCs w:val="18"/>
          <w:color w:val="auto"/>
        </w:rPr>
        <w:t>instance document does not appear in the</w:t>
      </w:r>
    </w:p>
    <w:p>
      <w:pPr>
        <w:spacing w:after="0" w:line="203" w:lineRule="auto"/>
        <w:rPr>
          <w:sz w:val="20"/>
          <w:szCs w:val="20"/>
          <w:color w:val="auto"/>
        </w:rPr>
      </w:pPr>
      <w:r>
        <w:rPr>
          <w:rFonts w:ascii="Times New Roman" w:cs="Times New Roman" w:eastAsia="Times New Roman" w:hAnsi="Times New Roman"/>
          <w:sz w:val="18"/>
          <w:szCs w:val="18"/>
          <w:color w:val="auto"/>
        </w:rPr>
        <w:t>Interactive Data File because its XBRL tags</w:t>
      </w:r>
    </w:p>
    <w:p>
      <w:pPr>
        <w:spacing w:after="0" w:line="204" w:lineRule="auto"/>
        <w:rPr>
          <w:sz w:val="20"/>
          <w:szCs w:val="20"/>
          <w:color w:val="auto"/>
        </w:rPr>
      </w:pPr>
      <w:r>
        <w:rPr>
          <w:rFonts w:ascii="Times New Roman" w:cs="Times New Roman" w:eastAsia="Times New Roman" w:hAnsi="Times New Roman"/>
          <w:sz w:val="18"/>
          <w:szCs w:val="18"/>
          <w:color w:val="auto"/>
        </w:rPr>
        <w:t>are embedded within the Inline XBRL</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Calculation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Definition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w:t>
      </w:r>
    </w:p>
    <w:p>
      <w:pPr>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5" w:lineRule="exact"/>
        <w:rPr>
          <w:sz w:val="20"/>
          <w:szCs w:val="20"/>
          <w:color w:val="auto"/>
        </w:rPr>
      </w:pPr>
    </w:p>
    <w:p>
      <w:pPr>
        <w:sectPr>
          <w:pgSz w:w="11900" w:h="16838" w:orient="portrait"/>
          <w:cols w:equalWidth="0" w:num="3">
            <w:col w:w="700" w:space="640"/>
            <w:col w:w="8200" w:space="480"/>
            <w:col w:w="1220"/>
          </w:cols>
          <w:pgMar w:left="320" w:top="117"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Cover Page Interactive Data File (formatted</w:t>
      </w:r>
    </w:p>
    <w:p>
      <w:pPr>
        <w:ind w:left="1340"/>
        <w:spacing w:after="0" w:line="219" w:lineRule="auto"/>
        <w:rPr>
          <w:sz w:val="20"/>
          <w:szCs w:val="20"/>
          <w:color w:val="auto"/>
        </w:rPr>
      </w:pPr>
      <w:r>
        <w:rPr>
          <w:rFonts w:ascii="Times New Roman" w:cs="Times New Roman" w:eastAsia="Times New Roman" w:hAnsi="Times New Roman"/>
          <w:sz w:val="18"/>
          <w:szCs w:val="18"/>
          <w:color w:val="auto"/>
        </w:rPr>
        <w:t>as Inline XBRL and contained in Exhibit</w:t>
      </w:r>
    </w:p>
    <w:p>
      <w:pPr>
        <w:ind w:left="1340" w:hanging="1314"/>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20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Certain portions of this exhibit (indicated by “####”) have been redacted pursuant to Regulation S-K, Item 601(a)(6).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THE VITA COCO COMPANY, INC.</w:t>
            </w:r>
          </w:p>
        </w:tc>
      </w:tr>
      <w:tr>
        <w:trPr>
          <w:trHeight w:val="49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Roper</w:t>
            </w:r>
          </w:p>
        </w:tc>
      </w:tr>
      <w:tr>
        <w:trPr>
          <w:trHeight w:val="214"/>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Martin Roper</w:t>
            </w:r>
          </w:p>
        </w:tc>
      </w:tr>
      <w:tr>
        <w:trPr>
          <w:trHeight w:val="232"/>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6"/>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Baker</w:t>
            </w:r>
          </w:p>
        </w:tc>
      </w:tr>
      <w:tr>
        <w:trPr>
          <w:trHeight w:val="214"/>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r>
      <w:tr>
        <w:trPr>
          <w:trHeight w:val="232"/>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6"/>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18"/>
        </w:trPr>
        <w:tc>
          <w:tcPr>
            <w:tcW w:w="3560" w:type="dxa"/>
            <w:vAlign w:val="bottom"/>
          </w:tcPr>
          <w:p>
            <w:pPr>
              <w:spacing w:after="0"/>
              <w:rPr>
                <w:sz w:val="24"/>
                <w:szCs w:val="24"/>
                <w:color w:val="auto"/>
              </w:rPr>
            </w:pPr>
          </w:p>
        </w:tc>
        <w:tc>
          <w:tcPr>
            <w:tcW w:w="2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5340" w:type="dxa"/>
            <w:vAlign w:val="bottom"/>
          </w:tcPr>
          <w:p>
            <w:pPr>
              <w:spacing w:after="0"/>
              <w:rPr>
                <w:sz w:val="24"/>
                <w:szCs w:val="24"/>
                <w:color w:val="auto"/>
              </w:rPr>
            </w:pPr>
          </w:p>
        </w:tc>
      </w:tr>
    </w:tbl>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76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3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34"/>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Corey Baker,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76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3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20"/>
          </w:cols>
          <w:pgMar w:left="320" w:top="114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September 30, 2024 as filed with the Securities and Exchange Commission on the date hereof (the “Report”), I, Martin Roper, certify, pursuant to 18 U.S.C. § 1350, as adopted pursuant to § 906 of the Sarbanes-Oxley Act of 2002, that, to the best of my knowledge:</w:t>
      </w:r>
    </w:p>
    <w:p>
      <w:pPr>
        <w:spacing w:after="0" w:line="176"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September 30, 2024 as filed with the Securities and Exchange Commission on the date hereof (the “Report”), I, Corey Baker, certify, pursuant to 18 U.S.C. § 1350, as adopted pursuant to § 906 of the Sarbanes-Oxley Act of 2002, that, to the best of my knowledge:</w:t>
      </w:r>
    </w:p>
    <w:p>
      <w:pPr>
        <w:spacing w:after="0" w:line="176"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upperLetter"/>
      <w:start w:val="2"/>
    </w:lvl>
  </w:abstractNum>
  <w:abstractNum w:abstractNumId="10">
    <w:nsid w:val="431BD7B7"/>
    <w:multiLevelType w:val="hybridMultilevel"/>
    <w:lvl w:ilvl="0">
      <w:lvlJc w:val="left"/>
      <w:lvlText w:val="1"/>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lvl w:ilvl="1">
      <w:lvlJc w:val="left"/>
      <w:lvlText w:val="(%2)"/>
      <w:numFmt w:val="decimal"/>
      <w:start w:val="1"/>
    </w:lvl>
  </w:abstractNum>
  <w:abstractNum w:abstractNumId="14">
    <w:nsid w:val="62BBD95A"/>
    <w:multiLevelType w:val="hybridMultilevel"/>
    <w:lvl w:ilvl="0">
      <w:lvlJc w:val="left"/>
      <w:lvlText w:val="%1."/>
      <w:numFmt w:val="decimal"/>
      <w:start w:val="14"/>
    </w:lvl>
    <w:lvl w:ilvl="1">
      <w:lvlJc w:val="left"/>
      <w:lvlText w:val="%2"/>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8" Type="http://schemas.openxmlformats.org/officeDocument/2006/relationships/hyperlink" Target="https://www.sec.gov/Archives/edgar/data/0001482981/000119312521306737/d222890dex31.htm" TargetMode="External"/><Relationship Id="rId59" Type="http://schemas.openxmlformats.org/officeDocument/2006/relationships/hyperlink" Target="https://www.sec.gov/Archives/edgar/data/0001482981/000119312521306737/d222890dex32.htm" TargetMode="External"/><Relationship Id="rId60" Type="http://schemas.openxmlformats.org/officeDocument/2006/relationships/hyperlink" Target="https://www.sec.gov/Archives/edgar/data/0001482981/000119312521284306/d197386dex41.htm" TargetMode="External"/><Relationship Id="rId61" Type="http://schemas.openxmlformats.org/officeDocument/2006/relationships/hyperlink" Target="https://www.sec.gov/Archives/edgar/data/0001482981/000119312521306737/d222890dex101.htm" TargetMode="External"/><Relationship Id="rId62" Type="http://schemas.openxmlformats.org/officeDocument/2006/relationships/hyperlink" Target="https://www.sec.gov/Archives/edgar/data/0001482981/000119312521306737/d222890dex102.htm" TargetMode="External"/><Relationship Id="rId63" Type="http://schemas.openxmlformats.org/officeDocument/2006/relationships/hyperlink" Target="https://www.sec.gov/Archives/edgar/data/1482981/000119312523132638/d49759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2024-10-30T14:44:03Z</dcterms:created>
  <dcterms:modified xsi:type="dcterms:W3CDTF">2024-10-30T14:44:03Z</dcterms:modified>
</cp:coreProperties>
</file>