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423545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2" w:lineRule="exact"/>
        <w:rPr>
          <w:sz w:val="24"/>
          <w:szCs w:val="24"/>
          <w:color w:val="auto"/>
        </w:rPr>
      </w:pPr>
    </w:p>
    <w:p>
      <w:pPr>
        <w:ind w:left="540" w:hanging="521"/>
        <w:spacing w:after="0"/>
        <w:tabs>
          <w:tab w:leader="none" w:pos="540"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2"/>
              </w:rPr>
              <w:t>For the fiscal year ended December 31, 2022</w:t>
            </w: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50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6"/>
              </w:rPr>
              <w:t>OR</w:t>
            </w: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8680" w:type="dxa"/>
            <w:vAlign w:val="bottom"/>
            <w:gridSpan w:val="3"/>
          </w:tcPr>
          <w:p>
            <w:pPr>
              <w:ind w:left="240"/>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 FOR THE TRANSITION PERIOD FROM</w:t>
            </w:r>
          </w:p>
        </w:tc>
        <w:tc>
          <w:tcPr>
            <w:tcW w:w="2300" w:type="dxa"/>
            <w:vAlign w:val="bottom"/>
          </w:tcPr>
          <w:p>
            <w:pPr>
              <w:ind w:left="60"/>
              <w:spacing w:after="0"/>
              <w:rPr>
                <w:sz w:val="20"/>
                <w:szCs w:val="20"/>
                <w:color w:val="auto"/>
              </w:rPr>
            </w:pPr>
            <w:r>
              <w:rPr>
                <w:rFonts w:ascii="Arial" w:cs="Arial" w:eastAsia="Arial" w:hAnsi="Arial"/>
                <w:sz w:val="11"/>
                <w:szCs w:val="11"/>
                <w:b w:val="1"/>
                <w:bCs w:val="1"/>
                <w:color w:val="auto"/>
              </w:rPr>
              <w:t>TO</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4"/>
              </w:rPr>
              <w:t>Commission File Number: 001-40950</w:t>
            </w:r>
          </w:p>
        </w:tc>
        <w:tc>
          <w:tcPr>
            <w:tcW w:w="1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center"/>
              <w:spacing w:after="0" w:line="277" w:lineRule="exact"/>
              <w:rPr>
                <w:sz w:val="20"/>
                <w:szCs w:val="20"/>
                <w:color w:val="auto"/>
              </w:rPr>
            </w:pPr>
            <w:r>
              <w:rPr>
                <w:rFonts w:ascii="Arial" w:cs="Arial" w:eastAsia="Arial" w:hAnsi="Arial"/>
                <w:sz w:val="25"/>
                <w:szCs w:val="25"/>
                <w:b w:val="1"/>
                <w:bCs w:val="1"/>
                <w:color w:val="auto"/>
                <w:w w:val="93"/>
              </w:rPr>
              <w:t>The Vita Coco Company, Inc.</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2"/>
              </w:rPr>
              <w:t>(Exact name of Registrant as specified in its Charter)</w:t>
            </w: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0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0"/>
        </w:trPr>
        <w:tc>
          <w:tcPr>
            <w:tcW w:w="300" w:type="dxa"/>
            <w:vAlign w:val="bottom"/>
          </w:tcPr>
          <w:p>
            <w:pPr>
              <w:spacing w:after="0"/>
              <w:rPr>
                <w:sz w:val="24"/>
                <w:szCs w:val="24"/>
                <w:color w:val="auto"/>
              </w:rPr>
            </w:pPr>
          </w:p>
        </w:tc>
        <w:tc>
          <w:tcPr>
            <w:tcW w:w="3500" w:type="dxa"/>
            <w:vAlign w:val="bottom"/>
          </w:tcPr>
          <w:p>
            <w:pPr>
              <w:jc w:val="center"/>
              <w:ind w:left="1499"/>
              <w:spacing w:after="0"/>
              <w:rPr>
                <w:sz w:val="20"/>
                <w:szCs w:val="20"/>
                <w:color w:val="auto"/>
              </w:rPr>
            </w:pPr>
            <w:r>
              <w:rPr>
                <w:rFonts w:ascii="Arial" w:cs="Arial" w:eastAsia="Arial" w:hAnsi="Arial"/>
                <w:sz w:val="13"/>
                <w:szCs w:val="13"/>
                <w:b w:val="1"/>
                <w:bCs w:val="1"/>
                <w:color w:val="auto"/>
                <w:w w:val="87"/>
              </w:rPr>
              <w:t>Delaware</w:t>
            </w:r>
          </w:p>
        </w:tc>
        <w:tc>
          <w:tcPr>
            <w:tcW w:w="372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Arial" w:cs="Arial" w:eastAsia="Arial" w:hAnsi="Arial"/>
                <w:sz w:val="13"/>
                <w:szCs w:val="13"/>
                <w:b w:val="1"/>
                <w:bCs w:val="1"/>
                <w:color w:val="auto"/>
              </w:rPr>
              <w:t>11-3713156</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3500" w:type="dxa"/>
            <w:vAlign w:val="bottom"/>
          </w:tcPr>
          <w:p>
            <w:pPr>
              <w:jc w:val="center"/>
              <w:ind w:left="1499"/>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3720" w:type="dxa"/>
            <w:vAlign w:val="bottom"/>
          </w:tcPr>
          <w:p>
            <w:pPr>
              <w:spacing w:after="0"/>
              <w:rPr>
                <w:sz w:val="9"/>
                <w:szCs w:val="9"/>
                <w:color w:val="auto"/>
              </w:rPr>
            </w:pPr>
          </w:p>
        </w:tc>
        <w:tc>
          <w:tcPr>
            <w:tcW w:w="1460" w:type="dxa"/>
            <w:vAlign w:val="bottom"/>
          </w:tcPr>
          <w:p>
            <w:pPr>
              <w:jc w:val="center"/>
              <w:ind w:left="379"/>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jc w:val="center"/>
              <w:ind w:left="1479"/>
              <w:spacing w:after="0"/>
              <w:rPr>
                <w:sz w:val="20"/>
                <w:szCs w:val="20"/>
                <w:color w:val="auto"/>
              </w:rPr>
            </w:pPr>
            <w:r>
              <w:rPr>
                <w:rFonts w:ascii="Arial" w:cs="Arial" w:eastAsia="Arial" w:hAnsi="Arial"/>
                <w:sz w:val="11"/>
                <w:szCs w:val="11"/>
                <w:b w:val="1"/>
                <w:bCs w:val="1"/>
                <w:color w:val="auto"/>
                <w:w w:val="94"/>
              </w:rPr>
              <w:t>incorporation or organization)</w:t>
            </w:r>
          </w:p>
        </w:tc>
        <w:tc>
          <w:tcPr>
            <w:tcW w:w="3720" w:type="dxa"/>
            <w:vAlign w:val="bottom"/>
          </w:tcPr>
          <w:p>
            <w:pPr>
              <w:spacing w:after="0"/>
              <w:rPr>
                <w:sz w:val="12"/>
                <w:szCs w:val="12"/>
                <w:color w:val="auto"/>
              </w:rPr>
            </w:pPr>
          </w:p>
        </w:tc>
        <w:tc>
          <w:tcPr>
            <w:tcW w:w="1460" w:type="dxa"/>
            <w:vAlign w:val="bottom"/>
          </w:tcPr>
          <w:p>
            <w:pPr>
              <w:jc w:val="center"/>
              <w:ind w:left="359"/>
              <w:spacing w:after="0"/>
              <w:rPr>
                <w:sz w:val="20"/>
                <w:szCs w:val="20"/>
                <w:color w:val="auto"/>
              </w:rPr>
            </w:pPr>
            <w:r>
              <w:rPr>
                <w:rFonts w:ascii="Arial" w:cs="Arial" w:eastAsia="Arial" w:hAnsi="Arial"/>
                <w:sz w:val="11"/>
                <w:szCs w:val="11"/>
                <w:b w:val="1"/>
                <w:bCs w:val="1"/>
                <w:color w:val="auto"/>
                <w:w w:val="94"/>
              </w:rPr>
              <w:t>Identification No.)</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3500" w:type="dxa"/>
            <w:vAlign w:val="bottom"/>
          </w:tcPr>
          <w:p>
            <w:pPr>
              <w:jc w:val="center"/>
              <w:ind w:left="1479"/>
              <w:spacing w:after="0"/>
              <w:rPr>
                <w:sz w:val="20"/>
                <w:szCs w:val="20"/>
                <w:color w:val="auto"/>
              </w:rPr>
            </w:pPr>
            <w:r>
              <w:rPr>
                <w:rFonts w:ascii="Arial" w:cs="Arial" w:eastAsia="Arial" w:hAnsi="Arial"/>
                <w:sz w:val="13"/>
                <w:szCs w:val="13"/>
                <w:b w:val="1"/>
                <w:bCs w:val="1"/>
                <w:color w:val="auto"/>
                <w:w w:val="88"/>
              </w:rPr>
              <w:t>250 Park Avenue South</w:t>
            </w:r>
          </w:p>
        </w:tc>
        <w:tc>
          <w:tcPr>
            <w:tcW w:w="3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500" w:type="dxa"/>
            <w:vAlign w:val="bottom"/>
          </w:tcPr>
          <w:p>
            <w:pPr>
              <w:jc w:val="center"/>
              <w:ind w:left="1479"/>
              <w:spacing w:after="0"/>
              <w:rPr>
                <w:sz w:val="20"/>
                <w:szCs w:val="20"/>
                <w:color w:val="auto"/>
              </w:rPr>
            </w:pPr>
            <w:r>
              <w:rPr>
                <w:rFonts w:ascii="Arial" w:cs="Arial" w:eastAsia="Arial" w:hAnsi="Arial"/>
                <w:sz w:val="13"/>
                <w:szCs w:val="13"/>
                <w:b w:val="1"/>
                <w:bCs w:val="1"/>
                <w:color w:val="auto"/>
                <w:w w:val="87"/>
              </w:rPr>
              <w:t>Seventh Floor</w:t>
            </w:r>
          </w:p>
        </w:tc>
        <w:tc>
          <w:tcPr>
            <w:tcW w:w="3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500" w:type="dxa"/>
            <w:vAlign w:val="bottom"/>
          </w:tcPr>
          <w:p>
            <w:pPr>
              <w:ind w:left="1980"/>
              <w:spacing w:after="0"/>
              <w:rPr>
                <w:sz w:val="20"/>
                <w:szCs w:val="20"/>
                <w:color w:val="auto"/>
              </w:rPr>
            </w:pPr>
            <w:r>
              <w:rPr>
                <w:rFonts w:ascii="Arial" w:cs="Arial" w:eastAsia="Arial" w:hAnsi="Arial"/>
                <w:sz w:val="13"/>
                <w:szCs w:val="13"/>
                <w:b w:val="1"/>
                <w:bCs w:val="1"/>
                <w:color w:val="auto"/>
              </w:rPr>
              <w:t>New York NY</w:t>
            </w:r>
          </w:p>
        </w:tc>
        <w:tc>
          <w:tcPr>
            <w:tcW w:w="3720" w:type="dxa"/>
            <w:vAlign w:val="bottom"/>
          </w:tcPr>
          <w:p>
            <w:pPr>
              <w:spacing w:after="0"/>
              <w:rPr>
                <w:sz w:val="17"/>
                <w:szCs w:val="17"/>
                <w:color w:val="auto"/>
              </w:rPr>
            </w:pPr>
          </w:p>
        </w:tc>
        <w:tc>
          <w:tcPr>
            <w:tcW w:w="1460" w:type="dxa"/>
            <w:vAlign w:val="bottom"/>
          </w:tcPr>
          <w:p>
            <w:pPr>
              <w:jc w:val="right"/>
              <w:ind w:right="299"/>
              <w:spacing w:after="0"/>
              <w:rPr>
                <w:sz w:val="20"/>
                <w:szCs w:val="20"/>
                <w:color w:val="auto"/>
              </w:rPr>
            </w:pPr>
            <w:r>
              <w:rPr>
                <w:rFonts w:ascii="Arial" w:cs="Arial" w:eastAsia="Arial" w:hAnsi="Arial"/>
                <w:sz w:val="13"/>
                <w:szCs w:val="13"/>
                <w:b w:val="1"/>
                <w:bCs w:val="1"/>
                <w:color w:val="auto"/>
              </w:rPr>
              <w:t>10003</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1"/>
                <w:szCs w:val="11"/>
                <w:b w:val="1"/>
                <w:bCs w:val="1"/>
                <w:color w:val="auto"/>
              </w:rPr>
              <w:t>(Address of principal executive offices)</w:t>
            </w:r>
          </w:p>
        </w:tc>
        <w:tc>
          <w:tcPr>
            <w:tcW w:w="3720" w:type="dxa"/>
            <w:vAlign w:val="bottom"/>
          </w:tcPr>
          <w:p>
            <w:pPr>
              <w:spacing w:after="0"/>
              <w:rPr>
                <w:sz w:val="12"/>
                <w:szCs w:val="12"/>
                <w:color w:val="auto"/>
              </w:rPr>
            </w:pPr>
          </w:p>
        </w:tc>
        <w:tc>
          <w:tcPr>
            <w:tcW w:w="1460" w:type="dxa"/>
            <w:vAlign w:val="bottom"/>
          </w:tcPr>
          <w:p>
            <w:pPr>
              <w:jc w:val="center"/>
              <w:ind w:left="359"/>
              <w:spacing w:after="0"/>
              <w:rPr>
                <w:sz w:val="20"/>
                <w:szCs w:val="20"/>
                <w:color w:val="auto"/>
              </w:rPr>
            </w:pPr>
            <w:r>
              <w:rPr>
                <w:rFonts w:ascii="Arial" w:cs="Arial" w:eastAsia="Arial" w:hAnsi="Arial"/>
                <w:sz w:val="11"/>
                <w:szCs w:val="11"/>
                <w:b w:val="1"/>
                <w:bCs w:val="1"/>
                <w:color w:val="auto"/>
                <w:w w:val="95"/>
              </w:rPr>
              <w:t>(Zip Code)</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 (212) 206-0763</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 registered pursuant to Section 12(b) of the Act:</w:t>
            </w:r>
          </w:p>
        </w:tc>
        <w:tc>
          <w:tcPr>
            <w:tcW w:w="1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3500" w:type="dxa"/>
            <w:vAlign w:val="bottom"/>
          </w:tcPr>
          <w:p>
            <w:pPr>
              <w:jc w:val="center"/>
              <w:ind w:left="479"/>
              <w:spacing w:after="0"/>
              <w:rPr>
                <w:sz w:val="20"/>
                <w:szCs w:val="20"/>
                <w:color w:val="auto"/>
              </w:rPr>
            </w:pPr>
            <w:r>
              <w:rPr>
                <w:rFonts w:ascii="Arial" w:cs="Arial" w:eastAsia="Arial" w:hAnsi="Arial"/>
                <w:sz w:val="13"/>
                <w:szCs w:val="13"/>
                <w:b w:val="1"/>
                <w:bCs w:val="1"/>
                <w:color w:val="auto"/>
                <w:w w:val="85"/>
              </w:rPr>
              <w:t>Title of each class</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89"/>
              </w:rPr>
              <w:t>Trading Symbol(s)</w:t>
            </w:r>
          </w:p>
        </w:tc>
        <w:tc>
          <w:tcPr>
            <w:tcW w:w="3760" w:type="dxa"/>
            <w:vAlign w:val="bottom"/>
            <w:gridSpan w:val="2"/>
          </w:tcPr>
          <w:p>
            <w:pPr>
              <w:jc w:val="center"/>
              <w:ind w:right="863"/>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500" w:type="dxa"/>
            <w:vAlign w:val="bottom"/>
          </w:tcPr>
          <w:p>
            <w:pPr>
              <w:jc w:val="center"/>
              <w:ind w:left="479"/>
              <w:spacing w:after="0"/>
              <w:rPr>
                <w:sz w:val="20"/>
                <w:szCs w:val="20"/>
                <w:color w:val="auto"/>
              </w:rPr>
            </w:pPr>
            <w:r>
              <w:rPr>
                <w:rFonts w:ascii="Arial" w:cs="Arial" w:eastAsia="Arial" w:hAnsi="Arial"/>
                <w:sz w:val="13"/>
                <w:szCs w:val="13"/>
                <w:b w:val="1"/>
                <w:bCs w:val="1"/>
                <w:color w:val="auto"/>
                <w:w w:val="88"/>
              </w:rPr>
              <w:t>Common Stock, Par Value $0.01 Per Share</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7"/>
              </w:rPr>
              <w:t>COCO</w:t>
            </w:r>
          </w:p>
        </w:tc>
        <w:tc>
          <w:tcPr>
            <w:tcW w:w="3760" w:type="dxa"/>
            <w:vAlign w:val="bottom"/>
            <w:gridSpan w:val="2"/>
          </w:tcPr>
          <w:p>
            <w:pPr>
              <w:jc w:val="center"/>
              <w:ind w:right="863"/>
              <w:spacing w:after="0"/>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3"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8" w:lineRule="exact"/>
        <w:rPr>
          <w:sz w:val="24"/>
          <w:szCs w:val="24"/>
          <w:color w:val="auto"/>
        </w:rPr>
      </w:pPr>
    </w:p>
    <w:p>
      <w:pPr>
        <w:ind w:right="80"/>
        <w:spacing w:after="0" w:line="121"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 w:lineRule="exact"/>
        <w:rPr>
          <w:sz w:val="24"/>
          <w:szCs w:val="24"/>
          <w:color w:val="auto"/>
        </w:rPr>
      </w:pPr>
    </w:p>
    <w:p>
      <w:pPr>
        <w:ind w:right="20"/>
        <w:spacing w:after="0" w:line="144" w:lineRule="exact"/>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w:t>
      </w:r>
      <w:r>
        <w:rPr>
          <w:rFonts w:ascii="Arial" w:cs="Arial" w:eastAsia="Arial" w:hAnsi="Arial"/>
          <w:sz w:val="14"/>
          <w:szCs w:val="14"/>
          <w:color w:val="auto"/>
        </w:rPr>
        <w:t>le</w:t>
      </w:r>
      <w:r>
        <w:rPr>
          <w:rFonts w:ascii="Arial" w:cs="Arial" w:eastAsia="Arial" w:hAnsi="Arial"/>
          <w:sz w:val="10"/>
          <w:szCs w:val="10"/>
          <w:color w:val="auto"/>
        </w:rPr>
        <w:t xml:space="preserv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1" w:lineRule="exact"/>
        <w:rPr>
          <w:sz w:val="24"/>
          <w:szCs w:val="24"/>
          <w:color w:val="auto"/>
        </w:rPr>
      </w:pPr>
    </w:p>
    <w:p>
      <w:pPr>
        <w:ind w:right="18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7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7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86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1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89" w:lineRule="exact"/>
        <w:rPr>
          <w:sz w:val="24"/>
          <w:szCs w:val="24"/>
          <w:color w:val="auto"/>
        </w:rPr>
      </w:pPr>
    </w:p>
    <w:p>
      <w:pPr>
        <w:ind w:right="440"/>
        <w:spacing w:after="0" w:line="116"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ectPr>
          <w:pgSz w:w="11900" w:h="16838" w:orient="portrait"/>
          <w:cols w:equalWidth="0" w:num="1">
            <w:col w:w="11280"/>
          </w:cols>
          <w:pgMar w:left="300" w:top="203" w:right="319" w:bottom="1440" w:gutter="0" w:footer="0" w:header="0"/>
        </w:sectPr>
      </w:pPr>
    </w:p>
    <w:p>
      <w:pPr>
        <w:spacing w:after="0" w:line="162" w:lineRule="exact"/>
        <w:rPr>
          <w:sz w:val="24"/>
          <w:szCs w:val="24"/>
          <w:color w:val="auto"/>
        </w:rPr>
      </w:pPr>
    </w:p>
    <w:p>
      <w:pPr>
        <w:spacing w:after="0"/>
        <w:rPr>
          <w:sz w:val="20"/>
          <w:szCs w:val="20"/>
          <w:color w:val="auto"/>
        </w:rPr>
      </w:pPr>
      <w:r>
        <w:rPr>
          <w:rFonts w:ascii="Arial" w:cs="Arial" w:eastAsia="Arial" w:hAnsi="Arial"/>
          <w:sz w:val="9"/>
          <w:szCs w:val="9"/>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86" w:lineRule="exact"/>
        <w:rPr>
          <w:sz w:val="24"/>
          <w:szCs w:val="24"/>
          <w:color w:val="auto"/>
        </w:rPr>
      </w:pPr>
    </w:p>
    <w:p>
      <w:pPr>
        <w:sectPr>
          <w:pgSz w:w="11900" w:h="16838" w:orient="portrait"/>
          <w:cols w:equalWidth="0" w:num="2">
            <w:col w:w="9220" w:space="720"/>
            <w:col w:w="1340"/>
          </w:cols>
          <w:pgMar w:left="300" w:top="203" w:right="31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7"/>
          <w:szCs w:val="7"/>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20" w:lineRule="exact"/>
        <w:rPr>
          <w:sz w:val="24"/>
          <w:szCs w:val="24"/>
          <w:color w:val="auto"/>
        </w:rPr>
      </w:pPr>
      <w:r>
        <w:rPr>
          <w:sz w:val="24"/>
          <w:szCs w:val="24"/>
          <w:color w:val="auto"/>
        </w:rPr>
        <w:br w:type="column"/>
      </w:r>
    </w:p>
    <w:p>
      <w:pPr>
        <w:spacing w:after="0" w:line="51" w:lineRule="exact"/>
        <w:rPr>
          <w:sz w:val="20"/>
          <w:szCs w:val="20"/>
          <w:color w:val="auto"/>
        </w:rPr>
      </w:pPr>
      <w:r>
        <w:rPr>
          <w:rFonts w:ascii="MS PGothic" w:cs="MS PGothic" w:eastAsia="MS PGothic" w:hAnsi="MS PGothic"/>
          <w:sz w:val="7"/>
          <w:szCs w:val="7"/>
          <w:color w:val="auto"/>
        </w:rPr>
        <w:t>☐</w:t>
      </w:r>
    </w:p>
    <w:p>
      <w:pPr>
        <w:spacing w:after="0" w:line="228" w:lineRule="exact"/>
        <w:rPr>
          <w:sz w:val="24"/>
          <w:szCs w:val="24"/>
          <w:color w:val="auto"/>
        </w:rPr>
      </w:pPr>
    </w:p>
    <w:p>
      <w:pPr>
        <w:sectPr>
          <w:pgSz w:w="11900" w:h="16838" w:orient="portrait"/>
          <w:cols w:equalWidth="0" w:num="2">
            <w:col w:w="10440" w:space="580"/>
            <w:col w:w="260"/>
          </w:cols>
          <w:pgMar w:left="300" w:top="203" w:right="31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spacing w:after="0" w:line="81" w:lineRule="exact"/>
        <w:rPr>
          <w:sz w:val="20"/>
          <w:szCs w:val="20"/>
          <w:color w:val="auto"/>
        </w:rPr>
      </w:pPr>
      <w:r>
        <w:rPr>
          <w:rFonts w:ascii="Arial" w:cs="Arial" w:eastAsia="Arial" w:hAnsi="Arial"/>
          <w:sz w:val="7"/>
          <w:szCs w:val="7"/>
          <w:color w:val="auto"/>
        </w:rPr>
        <w:t xml:space="preserve">Yes </w:t>
      </w:r>
      <w:r>
        <w:rPr>
          <w:rFonts w:ascii="MS PGothic" w:cs="MS PGothic" w:eastAsia="MS PGothic" w:hAnsi="MS PGothic"/>
          <w:sz w:val="7"/>
          <w:szCs w:val="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71" w:lineRule="exact"/>
        <w:rPr>
          <w:sz w:val="20"/>
          <w:szCs w:val="20"/>
          <w:color w:val="auto"/>
        </w:rPr>
      </w:pPr>
      <w:r>
        <w:rPr>
          <w:rFonts w:ascii="MS PGothic" w:cs="MS PGothic" w:eastAsia="MS PGothic" w:hAnsi="MS PGothic"/>
          <w:sz w:val="7"/>
          <w:szCs w:val="7"/>
          <w:color w:val="auto"/>
        </w:rPr>
        <w:t>☒</w:t>
      </w:r>
    </w:p>
    <w:p>
      <w:pPr>
        <w:spacing w:after="0" w:line="96" w:lineRule="exact"/>
        <w:rPr>
          <w:sz w:val="24"/>
          <w:szCs w:val="24"/>
          <w:color w:val="auto"/>
        </w:rPr>
      </w:pPr>
    </w:p>
    <w:p>
      <w:pPr>
        <w:sectPr>
          <w:pgSz w:w="11900" w:h="16838" w:orient="portrait"/>
          <w:cols w:equalWidth="0" w:num="4">
            <w:col w:w="4500" w:space="100"/>
            <w:col w:w="260" w:space="80"/>
            <w:col w:w="120" w:space="60"/>
            <w:col w:w="6160"/>
          </w:cols>
          <w:pgMar w:left="300" w:top="203" w:right="319" w:bottom="1440" w:gutter="0" w:footer="0" w:header="0"/>
          <w:type w:val="continuous"/>
        </w:sectPr>
      </w:pPr>
    </w:p>
    <w:p>
      <w:pPr>
        <w:ind w:right="400"/>
        <w:spacing w:after="0" w:line="446" w:lineRule="auto"/>
        <w:rPr>
          <w:sz w:val="20"/>
          <w:szCs w:val="20"/>
          <w:color w:val="auto"/>
        </w:rPr>
      </w:pPr>
      <w:r>
        <w:rPr>
          <w:rFonts w:ascii="Arial" w:cs="Arial" w:eastAsia="Arial" w:hAnsi="Arial"/>
          <w:sz w:val="7"/>
          <w:szCs w:val="7"/>
          <w:color w:val="auto"/>
        </w:rPr>
        <w:t>The aggregate market value of the common equity held by non-affiliates of the registrant (assuming for these purposes, but without conceding, that all executive officers, directors and holders of more than 10% of registrant's common stock are affiliates for the purpose of this calculation) as of June 30, 2022, the last business day of the registrant’s most recently completed second fiscal quarter, was approximately $271.1 million (based on the closing sale price of the registrant’s common stock on that date as reported on the Nasdaq Stock Market).</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0"/>
          <w:szCs w:val="10"/>
          <w:color w:val="auto"/>
        </w:rPr>
        <w:t>As of March 10, 2023, 56,047,737, shares of the registrant's common stock, par value $0.01 per share, were outstanding.</w:t>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11"/>
          <w:szCs w:val="11"/>
          <w:b w:val="1"/>
          <w:bCs w:val="1"/>
          <w:color w:val="auto"/>
        </w:rPr>
        <w:t>DOCUMENTS INCORPORATED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Portions of the registrant’s definitive Proxy Statement relating to its 2023 Annual Meeting of Stockholders to be filed with the SEC within 120 days after the end of the fiscal year ended December 31, 2022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116840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1180" w:type="dxa"/>
            <w:vAlign w:val="bottom"/>
            <w:gridSpan w:val="3"/>
          </w:tcPr>
          <w:p>
            <w:pPr>
              <w:spacing w:after="0"/>
              <w:rPr>
                <w:sz w:val="20"/>
                <w:szCs w:val="20"/>
                <w:color w:val="auto"/>
              </w:rPr>
            </w:pPr>
            <w:r>
              <w:rPr>
                <w:rFonts w:ascii="Arial" w:cs="Arial" w:eastAsia="Arial" w:hAnsi="Arial"/>
                <w:sz w:val="14"/>
                <w:szCs w:val="14"/>
                <w:color w:val="auto"/>
              </w:rPr>
              <w:t>Table of Contents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6"/>
          </w:tcPr>
          <w:p>
            <w:pPr>
              <w:ind w:left="260"/>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w:t>
            </w:r>
          </w:p>
        </w:tc>
        <w:tc>
          <w:tcPr>
            <w:tcW w:w="6360" w:type="dxa"/>
            <w:vAlign w:val="bottom"/>
            <w:gridSpan w:val="21"/>
          </w:tcPr>
          <w:p>
            <w:pPr>
              <w:spacing w:after="0"/>
              <w:rPr>
                <w:sz w:val="20"/>
                <w:szCs w:val="20"/>
                <w:color w:val="auto"/>
              </w:rPr>
            </w:pPr>
            <w:r>
              <w:rPr>
                <w:rFonts w:ascii="Arial" w:cs="Arial" w:eastAsia="Arial" w:hAnsi="Arial"/>
                <w:sz w:val="14"/>
                <w:szCs w:val="14"/>
                <w:color w:val="0000EE"/>
              </w:rPr>
              <w:t>Business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Item 1A.</w:t>
            </w: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89"/>
              </w:rPr>
              <w:t>Risk Factors</w:t>
            </w:r>
          </w:p>
        </w:tc>
        <w:tc>
          <w:tcPr>
            <w:tcW w:w="56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1B.</w:t>
            </w:r>
          </w:p>
        </w:tc>
        <w:tc>
          <w:tcPr>
            <w:tcW w:w="162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w w:val="91"/>
              </w:rPr>
              <w:t>Unresolved Staff Comments</w:t>
            </w:r>
          </w:p>
        </w:tc>
        <w:tc>
          <w:tcPr>
            <w:tcW w:w="47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2.</w:t>
            </w:r>
          </w:p>
        </w:tc>
        <w:tc>
          <w:tcPr>
            <w:tcW w:w="6360" w:type="dxa"/>
            <w:vAlign w:val="bottom"/>
            <w:gridSpan w:val="21"/>
          </w:tcPr>
          <w:p>
            <w:pPr>
              <w:spacing w:after="0"/>
              <w:rPr>
                <w:sz w:val="20"/>
                <w:szCs w:val="20"/>
                <w:color w:val="auto"/>
              </w:rPr>
            </w:pPr>
            <w:r>
              <w:rPr>
                <w:rFonts w:ascii="Arial" w:cs="Arial" w:eastAsia="Arial" w:hAnsi="Arial"/>
                <w:sz w:val="14"/>
                <w:szCs w:val="14"/>
                <w:color w:val="0000EE"/>
              </w:rPr>
              <w:t>Properties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Item 3.</w:t>
            </w: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89"/>
              </w:rPr>
              <w:t>Legal Proceedings</w:t>
            </w:r>
          </w:p>
        </w:tc>
        <w:tc>
          <w:tcPr>
            <w:tcW w:w="530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4.</w:t>
            </w:r>
          </w:p>
        </w:tc>
        <w:tc>
          <w:tcPr>
            <w:tcW w:w="6360" w:type="dxa"/>
            <w:vAlign w:val="bottom"/>
            <w:gridSpan w:val="21"/>
          </w:tcPr>
          <w:p>
            <w:pPr>
              <w:spacing w:after="0"/>
              <w:rPr>
                <w:sz w:val="20"/>
                <w:szCs w:val="20"/>
                <w:color w:val="auto"/>
              </w:rPr>
            </w:pPr>
            <w:r>
              <w:rPr>
                <w:rFonts w:ascii="Arial" w:cs="Arial" w:eastAsia="Arial" w:hAnsi="Arial"/>
                <w:sz w:val="14"/>
                <w:szCs w:val="14"/>
                <w:color w:val="0000EE"/>
              </w:rPr>
              <w:t>Mine Safety Disclosures</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Item 5.</w:t>
            </w:r>
          </w:p>
        </w:tc>
        <w:tc>
          <w:tcPr>
            <w:tcW w:w="6360" w:type="dxa"/>
            <w:vAlign w:val="bottom"/>
            <w:tcBorders>
              <w:bottom w:val="single" w:sz="8" w:color="0000EE"/>
            </w:tcBorders>
            <w:gridSpan w:val="21"/>
          </w:tcPr>
          <w:p>
            <w:pPr>
              <w:spacing w:after="0" w:line="159" w:lineRule="exact"/>
              <w:rPr>
                <w:sz w:val="20"/>
                <w:szCs w:val="20"/>
                <w:color w:val="auto"/>
              </w:rPr>
            </w:pPr>
            <w:r>
              <w:rPr>
                <w:rFonts w:ascii="Arial" w:cs="Arial" w:eastAsia="Arial" w:hAnsi="Arial"/>
                <w:sz w:val="14"/>
                <w:szCs w:val="14"/>
                <w:color w:val="0000EE"/>
                <w:w w:val="91"/>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6.</w:t>
            </w:r>
          </w:p>
        </w:tc>
        <w:tc>
          <w:tcPr>
            <w:tcW w:w="6360" w:type="dxa"/>
            <w:vAlign w:val="bottom"/>
            <w:gridSpan w:val="21"/>
          </w:tcPr>
          <w:p>
            <w:pPr>
              <w:spacing w:after="0"/>
              <w:rPr>
                <w:sz w:val="20"/>
                <w:szCs w:val="20"/>
                <w:color w:val="auto"/>
              </w:rPr>
            </w:pPr>
            <w:r>
              <w:rPr>
                <w:rFonts w:ascii="Arial" w:cs="Arial" w:eastAsia="Arial" w:hAnsi="Arial"/>
                <w:sz w:val="14"/>
                <w:szCs w:val="14"/>
                <w:color w:val="0000EE"/>
              </w:rPr>
              <w:t>Selected Financial Data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Item 7.</w:t>
            </w: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360" w:type="dxa"/>
            <w:vAlign w:val="bottom"/>
            <w:gridSpan w:val="21"/>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7A.</w:t>
            </w:r>
          </w:p>
        </w:tc>
        <w:tc>
          <w:tcPr>
            <w:tcW w:w="34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w w:val="93"/>
              </w:rPr>
              <w:t>Quantitative and Qualitative Disclosures About Market Risk</w:t>
            </w:r>
          </w:p>
        </w:tc>
        <w:tc>
          <w:tcPr>
            <w:tcW w:w="1640" w:type="dxa"/>
            <w:vAlign w:val="bottom"/>
            <w:tcBorders>
              <w:top w:val="single" w:sz="8" w:color="0000EE"/>
            </w:tcBorders>
            <w:gridSpan w:val="3"/>
          </w:tcPr>
          <w:p>
            <w:pPr>
              <w:spacing w:after="0"/>
              <w:rPr>
                <w:sz w:val="15"/>
                <w:szCs w:val="15"/>
                <w:color w:val="auto"/>
              </w:rPr>
            </w:pPr>
          </w:p>
        </w:tc>
        <w:tc>
          <w:tcPr>
            <w:tcW w:w="1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8.</w:t>
            </w:r>
          </w:p>
        </w:tc>
        <w:tc>
          <w:tcPr>
            <w:tcW w:w="6360" w:type="dxa"/>
            <w:vAlign w:val="bottom"/>
            <w:gridSpan w:val="21"/>
          </w:tcPr>
          <w:p>
            <w:pPr>
              <w:spacing w:after="0"/>
              <w:rPr>
                <w:sz w:val="20"/>
                <w:szCs w:val="20"/>
                <w:color w:val="auto"/>
              </w:rPr>
            </w:pPr>
            <w:r>
              <w:rPr>
                <w:rFonts w:ascii="Arial" w:cs="Arial" w:eastAsia="Arial" w:hAnsi="Arial"/>
                <w:sz w:val="14"/>
                <w:szCs w:val="14"/>
                <w:color w:val="0000EE"/>
              </w:rPr>
              <w:t>Financial Statements and Supplementary Data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Item 9.</w:t>
            </w: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10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1"/>
              </w:rPr>
              <w:t>Changes in and Disagreements with Accountants on Accounting and Financial Disclosure</w:t>
            </w: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9A.</w:t>
            </w:r>
          </w:p>
        </w:tc>
        <w:tc>
          <w:tcPr>
            <w:tcW w:w="14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89"/>
              </w:rPr>
              <w:t>Controls and Procedures</w:t>
            </w:r>
          </w:p>
        </w:tc>
        <w:tc>
          <w:tcPr>
            <w:tcW w:w="49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9B.</w:t>
            </w:r>
          </w:p>
        </w:tc>
        <w:tc>
          <w:tcPr>
            <w:tcW w:w="10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3"/>
              </w:rPr>
              <w:t>Other Information</w:t>
            </w:r>
          </w:p>
        </w:tc>
        <w:tc>
          <w:tcPr>
            <w:tcW w:w="53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9C.</w:t>
            </w:r>
          </w:p>
        </w:tc>
        <w:tc>
          <w:tcPr>
            <w:tcW w:w="6360" w:type="dxa"/>
            <w:vAlign w:val="bottom"/>
            <w:gridSpan w:val="21"/>
          </w:tcPr>
          <w:p>
            <w:pPr>
              <w:spacing w:after="0"/>
              <w:rPr>
                <w:sz w:val="20"/>
                <w:szCs w:val="20"/>
                <w:color w:val="auto"/>
              </w:rPr>
            </w:pPr>
            <w:r>
              <w:rPr>
                <w:rFonts w:ascii="Arial" w:cs="Arial" w:eastAsia="Arial" w:hAnsi="Arial"/>
                <w:sz w:val="14"/>
                <w:szCs w:val="14"/>
                <w:color w:val="0000EE"/>
              </w:rPr>
              <w:t>Disclosure Regarding Foreign Jurisdictions that Prevent Inspections</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PART III</w:t>
            </w: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Item 10.</w:t>
            </w:r>
          </w:p>
        </w:tc>
        <w:tc>
          <w:tcPr>
            <w:tcW w:w="6360" w:type="dxa"/>
            <w:vAlign w:val="bottom"/>
            <w:gridSpan w:val="21"/>
          </w:tcPr>
          <w:p>
            <w:pPr>
              <w:spacing w:after="0" w:line="159" w:lineRule="exact"/>
              <w:rPr>
                <w:sz w:val="20"/>
                <w:szCs w:val="20"/>
                <w:color w:val="auto"/>
              </w:rPr>
            </w:pPr>
            <w:r>
              <w:rPr>
                <w:rFonts w:ascii="Arial" w:cs="Arial" w:eastAsia="Arial" w:hAnsi="Arial"/>
                <w:sz w:val="14"/>
                <w:szCs w:val="14"/>
                <w:color w:val="0000EE"/>
              </w:rPr>
              <w:t>Directors, Executive Officers and Corporate Governance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11.</w:t>
            </w:r>
          </w:p>
        </w:tc>
        <w:tc>
          <w:tcPr>
            <w:tcW w:w="322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0000EE"/>
              </w:rPr>
              <w:t>Executive Compensation</w:t>
            </w:r>
          </w:p>
        </w:tc>
        <w:tc>
          <w:tcPr>
            <w:tcW w:w="3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Item 12.</w:t>
            </w:r>
          </w:p>
        </w:tc>
        <w:tc>
          <w:tcPr>
            <w:tcW w:w="122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7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w w:val="91"/>
              </w:rPr>
              <w:t>Security Ownership of Certain Beneficial Owners and Management and Related Stockholder Matters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13.</w:t>
            </w:r>
          </w:p>
        </w:tc>
        <w:tc>
          <w:tcPr>
            <w:tcW w:w="6360" w:type="dxa"/>
            <w:vAlign w:val="bottom"/>
            <w:gridSpan w:val="21"/>
          </w:tcPr>
          <w:p>
            <w:pPr>
              <w:spacing w:after="0"/>
              <w:rPr>
                <w:sz w:val="20"/>
                <w:szCs w:val="20"/>
                <w:color w:val="auto"/>
              </w:rPr>
            </w:pPr>
            <w:r>
              <w:rPr>
                <w:rFonts w:ascii="Arial" w:cs="Arial" w:eastAsia="Arial" w:hAnsi="Arial"/>
                <w:sz w:val="14"/>
                <w:szCs w:val="14"/>
                <w:color w:val="0000EE"/>
              </w:rPr>
              <w:t>Certain Relationships and Related Transactions, and Director Independence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14.</w:t>
            </w:r>
          </w:p>
        </w:tc>
        <w:tc>
          <w:tcPr>
            <w:tcW w:w="4280" w:type="dxa"/>
            <w:vAlign w:val="bottom"/>
            <w:tcBorders>
              <w:top w:val="single" w:sz="8" w:color="0000EE"/>
            </w:tcBorders>
            <w:gridSpan w:val="17"/>
          </w:tcPr>
          <w:p>
            <w:pPr>
              <w:spacing w:after="0"/>
              <w:rPr>
                <w:sz w:val="20"/>
                <w:szCs w:val="20"/>
                <w:color w:val="auto"/>
              </w:rPr>
            </w:pPr>
            <w:r>
              <w:rPr>
                <w:rFonts w:ascii="Arial" w:cs="Arial" w:eastAsia="Arial" w:hAnsi="Arial"/>
                <w:sz w:val="14"/>
                <w:szCs w:val="14"/>
                <w:color w:val="0000EE"/>
              </w:rPr>
              <w:t>Principal Accountant Fees and Services</w:t>
            </w:r>
          </w:p>
        </w:tc>
        <w:tc>
          <w:tcPr>
            <w:tcW w:w="20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PART IV</w:t>
            </w: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Item 15.</w:t>
            </w:r>
          </w:p>
        </w:tc>
        <w:tc>
          <w:tcPr>
            <w:tcW w:w="6360" w:type="dxa"/>
            <w:vAlign w:val="bottom"/>
            <w:gridSpan w:val="21"/>
          </w:tcPr>
          <w:p>
            <w:pPr>
              <w:spacing w:after="0" w:line="159" w:lineRule="exact"/>
              <w:rPr>
                <w:sz w:val="20"/>
                <w:szCs w:val="20"/>
                <w:color w:val="auto"/>
              </w:rPr>
            </w:pPr>
            <w:r>
              <w:rPr>
                <w:rFonts w:ascii="Arial" w:cs="Arial" w:eastAsia="Arial" w:hAnsi="Arial"/>
                <w:sz w:val="14"/>
                <w:szCs w:val="14"/>
                <w:color w:val="0000EE"/>
              </w:rPr>
              <w:t>Exhibits, Financial Statement Schedules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Item 16.</w:t>
            </w:r>
          </w:p>
        </w:tc>
        <w:tc>
          <w:tcPr>
            <w:tcW w:w="2280" w:type="dxa"/>
            <w:vAlign w:val="bottom"/>
            <w:tcBorders>
              <w:top w:val="single" w:sz="8" w:color="0000EE"/>
            </w:tcBorders>
            <w:gridSpan w:val="12"/>
          </w:tcPr>
          <w:p>
            <w:pPr>
              <w:spacing w:after="0"/>
              <w:rPr>
                <w:sz w:val="20"/>
                <w:szCs w:val="20"/>
                <w:color w:val="auto"/>
              </w:rPr>
            </w:pPr>
            <w:r>
              <w:rPr>
                <w:rFonts w:ascii="Arial" w:cs="Arial" w:eastAsia="Arial" w:hAnsi="Arial"/>
                <w:sz w:val="14"/>
                <w:szCs w:val="14"/>
                <w:color w:val="0000EE"/>
              </w:rPr>
              <w:t>Form 10-K Summary</w:t>
            </w:r>
          </w:p>
        </w:tc>
        <w:tc>
          <w:tcPr>
            <w:tcW w:w="40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0000FF"/>
              </w:rPr>
              <w:t>Signatures</w:t>
            </w:r>
          </w:p>
        </w:tc>
        <w:tc>
          <w:tcPr>
            <w:tcW w:w="5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gridSpan w:val="18"/>
          </w:tcPr>
          <w:p>
            <w:pPr>
              <w:ind w:left="442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14605</wp:posOffset>
            </wp:positionV>
            <wp:extent cx="43116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1165" cy="6985"/>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39</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39</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39</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39</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40</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40</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41</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57</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59</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97</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97</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98</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103</w:t>
      </w:r>
    </w:p>
    <w:p>
      <w:pPr>
        <w:sectPr>
          <w:pgSz w:w="11900" w:h="16838" w:orient="portrait"/>
          <w:cols w:equalWidth="0" w:num="2">
            <w:col w:w="10060" w:space="720"/>
            <w:col w:w="480"/>
          </w:cols>
          <w:pgMar w:left="30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51" w:lineRule="exact"/>
        <w:rPr>
          <w:sz w:val="20"/>
          <w:szCs w:val="20"/>
          <w:color w:val="auto"/>
        </w:rPr>
      </w:pPr>
    </w:p>
    <w:p>
      <w:pPr>
        <w:jc w:val="center"/>
        <w:ind w:left="340"/>
        <w:spacing w:after="0"/>
        <w:rPr>
          <w:sz w:val="20"/>
          <w:szCs w:val="20"/>
          <w:color w:val="auto"/>
        </w:rPr>
      </w:pPr>
      <w:r>
        <w:rPr>
          <w:rFonts w:ascii="Arial" w:cs="Arial" w:eastAsia="Arial" w:hAnsi="Arial"/>
          <w:sz w:val="12"/>
          <w:szCs w:val="12"/>
          <w:color w:val="auto"/>
        </w:rPr>
        <w:t>This Annual Report on Form 10-K contains forward-looking statements. We intend such forward-looking statements to be covered by the safe harbor provisions for forward-looking statements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contained in Section 27A of the Securities Act of 1933, as amended (the "Securities Act"), and Section 21E of the Securities Exchange Act of 1934, as amended (the "Exchange Act"). All statements</w:t>
      </w:r>
    </w:p>
    <w:p>
      <w:pPr>
        <w:spacing w:after="0"/>
        <w:rPr>
          <w:sz w:val="20"/>
          <w:szCs w:val="20"/>
          <w:color w:val="auto"/>
        </w:rPr>
      </w:pPr>
      <w:r>
        <w:rPr>
          <w:rFonts w:ascii="Arial" w:cs="Arial" w:eastAsia="Arial" w:hAnsi="Arial"/>
          <w:sz w:val="12"/>
          <w:szCs w:val="12"/>
          <w:color w:val="auto"/>
        </w:rPr>
        <w:t>other than statements of historical facts contained in this Annual Report on Form 10-K may be forward-looking statements. In some cases, you can identify forward-looking statements by terms such</w:t>
      </w:r>
    </w:p>
    <w:p>
      <w:pPr>
        <w:spacing w:after="0"/>
        <w:rPr>
          <w:sz w:val="20"/>
          <w:szCs w:val="20"/>
          <w:color w:val="auto"/>
        </w:rPr>
      </w:pPr>
      <w:r>
        <w:rPr>
          <w:rFonts w:ascii="Arial" w:cs="Arial" w:eastAsia="Arial" w:hAnsi="Arial"/>
          <w:sz w:val="13"/>
          <w:szCs w:val="13"/>
          <w:color w:val="auto"/>
        </w:rPr>
        <w:t>as “may,” “will,” “should,” “expects,” “plans,” “anticipates,” “could,” “intends,” “targets,” “projects,” “contemplates,” “believes,” “estimates,” “forecasts,” “predicts,” “potential” or “continue” or the</w:t>
      </w:r>
    </w:p>
    <w:p>
      <w:pPr>
        <w:ind w:right="60"/>
        <w:spacing w:after="0" w:line="251" w:lineRule="auto"/>
        <w:rPr>
          <w:sz w:val="20"/>
          <w:szCs w:val="20"/>
          <w:color w:val="auto"/>
        </w:rPr>
      </w:pPr>
      <w:r>
        <w:rPr>
          <w:rFonts w:ascii="Arial" w:cs="Arial" w:eastAsia="Arial" w:hAnsi="Arial"/>
          <w:sz w:val="13"/>
          <w:szCs w:val="13"/>
          <w:color w:val="auto"/>
        </w:rPr>
        <w:t>negative of these terms or other similar expressions. Forward-looking statements contained in this Annual Report on Form 10-K include, but are not limited to, statements regarding our future results of operations and financial position, industry and business trends, equity compensation, business strategy, plans, market growth and our objectives for future operations.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forward-looking statements in this Annual Report on Form 10-K are only predictions. We have based these forward-looking statements largely on our current expectations and projections</w:t>
      </w:r>
    </w:p>
    <w:p>
      <w:pPr>
        <w:spacing w:after="0" w:line="23"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w:t>
      </w:r>
    </w:p>
    <w:p>
      <w:pPr>
        <w:ind w:right="140"/>
        <w:spacing w:after="0" w:line="246" w:lineRule="auto"/>
        <w:rPr>
          <w:sz w:val="20"/>
          <w:szCs w:val="20"/>
          <w:color w:val="auto"/>
        </w:rPr>
      </w:pPr>
      <w:r>
        <w:rPr>
          <w:rFonts w:ascii="Arial" w:cs="Arial" w:eastAsia="Arial" w:hAnsi="Arial"/>
          <w:sz w:val="12"/>
          <w:szCs w:val="12"/>
          <w:color w:val="auto"/>
        </w:rPr>
        <w:t>ended December 31, 2022.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w:t>
      </w:r>
    </w:p>
    <w:p>
      <w:pPr>
        <w:spacing w:after="0"/>
        <w:rPr>
          <w:sz w:val="20"/>
          <w:szCs w:val="20"/>
          <w:color w:val="auto"/>
        </w:rPr>
      </w:pPr>
      <w:r>
        <w:rPr>
          <w:rFonts w:ascii="Arial" w:cs="Arial" w:eastAsia="Arial" w:hAnsi="Arial"/>
          <w:sz w:val="14"/>
          <w:szCs w:val="14"/>
          <w:color w:val="auto"/>
        </w:rPr>
        <w:t>statements.</w:t>
      </w:r>
    </w:p>
    <w:p>
      <w:pPr>
        <w:spacing w:after="0" w:line="135" w:lineRule="exact"/>
        <w:rPr>
          <w:sz w:val="20"/>
          <w:szCs w:val="20"/>
          <w:color w:val="auto"/>
        </w:rPr>
      </w:pPr>
    </w:p>
    <w:p>
      <w:pPr>
        <w:ind w:right="240" w:firstLine="382"/>
        <w:spacing w:after="0" w:line="259" w:lineRule="auto"/>
        <w:rPr>
          <w:sz w:val="20"/>
          <w:szCs w:val="20"/>
          <w:color w:val="auto"/>
        </w:rPr>
      </w:pPr>
      <w:r>
        <w:rPr>
          <w:rFonts w:ascii="Arial" w:cs="Arial" w:eastAsia="Arial" w:hAnsi="Arial"/>
          <w:sz w:val="12"/>
          <w:szCs w:val="12"/>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w:t>
      </w:r>
    </w:p>
    <w:p>
      <w:pPr>
        <w:spacing w:after="0" w:line="1" w:lineRule="exact"/>
        <w:rPr>
          <w:sz w:val="20"/>
          <w:szCs w:val="20"/>
          <w:color w:val="auto"/>
        </w:rPr>
      </w:pPr>
    </w:p>
    <w:p>
      <w:pPr>
        <w:ind w:right="240"/>
        <w:spacing w:after="0" w:line="228" w:lineRule="auto"/>
        <w:rPr>
          <w:sz w:val="20"/>
          <w:szCs w:val="20"/>
          <w:color w:val="auto"/>
        </w:rPr>
      </w:pPr>
      <w:r>
        <w:rPr>
          <w:rFonts w:ascii="Arial" w:cs="Arial" w:eastAsia="Arial" w:hAnsi="Arial"/>
          <w:sz w:val="14"/>
          <w:szCs w:val="14"/>
          <w:color w:val="auto"/>
        </w:rPr>
        <w:t>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128" w:lineRule="exact"/>
        <w:rPr>
          <w:sz w:val="20"/>
          <w:szCs w:val="20"/>
          <w:color w:val="auto"/>
        </w:rPr>
      </w:pPr>
    </w:p>
    <w:p>
      <w:pPr>
        <w:ind w:right="240" w:firstLine="382"/>
        <w:spacing w:after="0" w:line="249" w:lineRule="auto"/>
        <w:rPr>
          <w:sz w:val="20"/>
          <w:szCs w:val="20"/>
          <w:color w:val="auto"/>
        </w:rPr>
      </w:pPr>
      <w:r>
        <w:rPr>
          <w:rFonts w:ascii="Arial" w:cs="Arial" w:eastAsia="Arial" w:hAnsi="Arial"/>
          <w:sz w:val="14"/>
          <w:szCs w:val="14"/>
          <w:color w:val="auto"/>
        </w:rPr>
        <w:t>As used in this Annual Report on Form 10-K, unless otherwise stated or the context requires otherwise, the terms “Vita Coco,” the “Company,” “we,” “us” and “our” refer to The Vita Coco Company, Inc. and its consolidated subsidiaries.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AND INDUSTRY DATA</w:t>
      </w:r>
    </w:p>
    <w:p>
      <w:pPr>
        <w:spacing w:after="0" w:line="193" w:lineRule="exact"/>
        <w:rPr>
          <w:sz w:val="20"/>
          <w:szCs w:val="20"/>
          <w:color w:val="auto"/>
        </w:rPr>
      </w:pPr>
    </w:p>
    <w:p>
      <w:pPr>
        <w:ind w:firstLine="509"/>
        <w:spacing w:after="0" w:line="266" w:lineRule="auto"/>
        <w:rPr>
          <w:sz w:val="20"/>
          <w:szCs w:val="20"/>
          <w:color w:val="auto"/>
        </w:rPr>
      </w:pPr>
      <w:r>
        <w:rPr>
          <w:rFonts w:ascii="Arial" w:cs="Arial" w:eastAsia="Arial" w:hAnsi="Arial"/>
          <w:sz w:val="13"/>
          <w:szCs w:val="13"/>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168" w:lineRule="exact"/>
        <w:rPr>
          <w:sz w:val="20"/>
          <w:szCs w:val="20"/>
          <w:color w:val="auto"/>
        </w:rPr>
      </w:pPr>
    </w:p>
    <w:p>
      <w:pPr>
        <w:jc w:val="both"/>
        <w:ind w:right="40" w:firstLine="509"/>
        <w:spacing w:after="0" w:line="251" w:lineRule="auto"/>
        <w:rPr>
          <w:sz w:val="20"/>
          <w:szCs w:val="20"/>
          <w:color w:val="auto"/>
        </w:rPr>
      </w:pPr>
      <w:r>
        <w:rPr>
          <w:rFonts w:ascii="Arial" w:cs="Arial" w:eastAsia="Arial" w:hAnsi="Arial"/>
          <w:sz w:val="14"/>
          <w:szCs w:val="14"/>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63"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Information Resources Inc. Custom Research, MULO + Convenience channels, for the periods ended December 25, 2022 ("IRI");</w:t>
      </w:r>
    </w:p>
    <w:p>
      <w:pPr>
        <w:spacing w:after="0" w:line="200" w:lineRule="exact"/>
        <w:rPr>
          <w:rFonts w:ascii="Arial" w:cs="Arial" w:eastAsia="Arial" w:hAnsi="Arial"/>
          <w:sz w:val="14"/>
          <w:szCs w:val="14"/>
          <w:color w:val="auto"/>
        </w:rPr>
      </w:pPr>
    </w:p>
    <w:p>
      <w:pPr>
        <w:spacing w:after="0" w:line="286" w:lineRule="exact"/>
        <w:rPr>
          <w:rFonts w:ascii="Arial" w:cs="Arial" w:eastAsia="Arial" w:hAnsi="Arial"/>
          <w:sz w:val="14"/>
          <w:szCs w:val="14"/>
          <w:color w:val="auto"/>
        </w:rPr>
      </w:pPr>
    </w:p>
    <w:p>
      <w:pPr>
        <w:ind w:left="5600"/>
        <w:spacing w:after="0"/>
        <w:rPr>
          <w:rFonts w:ascii="Arial" w:cs="Arial" w:eastAsia="Arial" w:hAnsi="Arial"/>
          <w:sz w:val="14"/>
          <w:szCs w:val="14"/>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IRI, Total UK Chilled Coconut Water Category, Value Sales, 52, Weeks ended December 31, 2022; and</w:t>
      </w:r>
    </w:p>
    <w:p>
      <w:pPr>
        <w:spacing w:after="0" w:line="1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Euromonitor International Limited; Coconut and other plant waters category, Estimated Combined On-Trade &amp; Off-Trade Value Sales for 2022 as per Passport Soft Drinks 2021 edition (Euromonitor).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118" w:right="65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SUMMARY RISK FACTORS</w:t>
      </w:r>
    </w:p>
    <w:p>
      <w:pPr>
        <w:spacing w:after="0" w:line="151" w:lineRule="exact"/>
        <w:rPr>
          <w:sz w:val="20"/>
          <w:szCs w:val="20"/>
          <w:color w:val="auto"/>
        </w:rPr>
      </w:pPr>
    </w:p>
    <w:p>
      <w:pPr>
        <w:ind w:right="60" w:firstLine="509"/>
        <w:spacing w:after="0" w:line="249" w:lineRule="auto"/>
        <w:rPr>
          <w:sz w:val="20"/>
          <w:szCs w:val="20"/>
          <w:color w:val="auto"/>
        </w:rPr>
      </w:pPr>
      <w:r>
        <w:rPr>
          <w:rFonts w:ascii="Arial" w:cs="Arial" w:eastAsia="Arial" w:hAnsi="Arial"/>
          <w:sz w:val="14"/>
          <w:szCs w:val="14"/>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43"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color w:val="auto"/>
        </w:rPr>
        <w:t>a reduction in demand for and sales of our coconut water products or a decrease in consumer demand for coconut water generally;</w:t>
      </w:r>
    </w:p>
    <w:p>
      <w:pPr>
        <w:spacing w:after="0" w:line="167" w:lineRule="exact"/>
        <w:rPr>
          <w:rFonts w:ascii="Arial" w:cs="Arial" w:eastAsia="Arial" w:hAnsi="Arial"/>
          <w:sz w:val="14"/>
          <w:szCs w:val="14"/>
          <w:b w:val="1"/>
          <w:bCs w:val="1"/>
          <w:i w:val="1"/>
          <w:iCs w:val="1"/>
          <w:color w:val="auto"/>
        </w:rPr>
      </w:pPr>
    </w:p>
    <w:p>
      <w:pPr>
        <w:ind w:left="520" w:right="520" w:hanging="260"/>
        <w:spacing w:after="0" w:line="249"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problems with our supply chain and inflation resulting in an increase in shipping expenses and potential cost increases for our products, adverse impacts on our distributor and retail customers’ ability to deliver our products to market;</w:t>
      </w:r>
    </w:p>
    <w:p>
      <w:pPr>
        <w:spacing w:after="0" w:line="14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our third-party manufacturing and co-packing partners;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reduced or limited availability of coconuts or other raw materials that meet our quality standards;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in the price of materials used to package our products, and our dependence on our existing suppliers for such materials;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our distributor and retail customers for a significant portion of our sales;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forecast and manage our inventory levels;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harm to our brand and reputation as a result of real or perceived quality or food safety issues with our products;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strong competition in the food and beverage retail industry presents an ongoing threat to the success of our business;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develop and maintain our brands and company image;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introduce new products, successfully improve existing products and respond to changes in consumer preferences;</w:t>
      </w:r>
    </w:p>
    <w:p>
      <w:pPr>
        <w:spacing w:after="0" w:line="167" w:lineRule="exact"/>
        <w:rPr>
          <w:rFonts w:ascii="Arial" w:cs="Arial" w:eastAsia="Arial" w:hAnsi="Arial"/>
          <w:sz w:val="14"/>
          <w:szCs w:val="14"/>
          <w:color w:val="auto"/>
        </w:rPr>
      </w:pPr>
    </w:p>
    <w:p>
      <w:pPr>
        <w:ind w:left="520" w:hanging="260"/>
        <w:spacing w:after="0" w:line="23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pandemics, epidemics or disease outbreaks, such as the COVID-19 pandemic, may disrupt our business, including, among other things, consumption and trade patterns, and our supply chain and production processes;</w:t>
      </w:r>
    </w:p>
    <w:p>
      <w:pPr>
        <w:spacing w:after="0" w:line="160"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manage our growth effectively;</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make acquisitions and successfully integrate newly acquired businesses or products in the future;</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difficulties as we expand our operations into countries in which we have no prior operating history;</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climate change, or measures taken to address climate change, may negatively affect our business and operations;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need for and ability to obtain additional financing to achieve our goals;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and ability to retain our senior management;</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and the ability of our third-party partners to meet our respective labor needs;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suppliers and manufacturing partners compliance with ethical business practices or applicable laws and regulations;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the international nature of our business;</w:t>
      </w:r>
    </w:p>
    <w:p>
      <w:pPr>
        <w:spacing w:after="0" w:line="189" w:lineRule="exact"/>
        <w:rPr>
          <w:rFonts w:ascii="Arial" w:cs="Arial" w:eastAsia="Arial" w:hAnsi="Arial"/>
          <w:sz w:val="14"/>
          <w:szCs w:val="14"/>
          <w:color w:val="auto"/>
        </w:rPr>
      </w:pPr>
    </w:p>
    <w:p>
      <w:pPr>
        <w:ind w:left="520" w:right="260" w:hanging="260"/>
        <w:spacing w:after="0" w:line="23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lawsuits, product recalls or regulatory enforcement actions in connection with food safety and food-borne illness incidents, other safety concerns or related to advertising inaccuracies or product mislabeling;</w:t>
      </w:r>
    </w:p>
    <w:p>
      <w:pPr>
        <w:spacing w:after="0" w:line="150"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new and existing government regulation and legislative changes, both in the United States and abroad;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laws and regulations relating to anti-corruption, sanctions, trade, data privacy, data protection, advertising and consumer protection;</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information technology systems, and the risk of failure or inadequacy of such systems and cyberattacks;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protect our intellectual property;</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service any indebtedness and comply with the covenants imposed under our existing debt agreements; and</w:t>
      </w:r>
    </w:p>
    <w:p>
      <w:pPr>
        <w:spacing w:after="0" w:line="95" w:lineRule="exact"/>
        <w:rPr>
          <w:rFonts w:ascii="Arial" w:cs="Arial" w:eastAsia="Arial" w:hAnsi="Arial"/>
          <w:sz w:val="12"/>
          <w:szCs w:val="12"/>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risks associated with sustainability and corporate social responsibility and our status as a public benefit corporation.</w:t>
      </w:r>
    </w:p>
    <w:p>
      <w:pPr>
        <w:spacing w:after="0" w:line="200" w:lineRule="exact"/>
        <w:rPr>
          <w:sz w:val="20"/>
          <w:szCs w:val="20"/>
          <w:color w:val="auto"/>
        </w:rPr>
      </w:pPr>
    </w:p>
    <w:p>
      <w:pPr>
        <w:spacing w:after="0" w:line="2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1" w:lineRule="exact"/>
        <w:rPr>
          <w:sz w:val="20"/>
          <w:szCs w:val="20"/>
          <w:color w:val="auto"/>
        </w:rPr>
      </w:pPr>
    </w:p>
    <w:p>
      <w:pPr>
        <w:ind w:right="100" w:firstLine="509"/>
        <w:spacing w:after="0" w:line="251" w:lineRule="auto"/>
        <w:rPr>
          <w:sz w:val="20"/>
          <w:szCs w:val="20"/>
          <w:color w:val="auto"/>
        </w:rPr>
      </w:pPr>
      <w:r>
        <w:rPr>
          <w:rFonts w:ascii="Arial" w:cs="Arial" w:eastAsia="Arial" w:hAnsi="Arial"/>
          <w:sz w:val="14"/>
          <w:szCs w:val="14"/>
          <w:color w:val="auto"/>
        </w:rPr>
        <w:t>The Vita Coco Company is a leading platform for brands in the functional beverage category. We pioneered packaged coconut water in 2004 and have extended our business into other healthy hydration categories. Our mission is to deliver great tasting, natural and nutritious products that we believe are better for consumers and better for the world. We are one of the largest brands globally in the coconut and other plant waters category, and one of the largest suppliers of Private Label coconut water.</w:t>
      </w:r>
    </w:p>
    <w:p>
      <w:pPr>
        <w:spacing w:after="0" w:line="163" w:lineRule="exact"/>
        <w:rPr>
          <w:sz w:val="20"/>
          <w:szCs w:val="20"/>
          <w:color w:val="auto"/>
        </w:rPr>
      </w:pPr>
    </w:p>
    <w:p>
      <w:pPr>
        <w:ind w:right="40" w:firstLine="509"/>
        <w:spacing w:after="0" w:line="251" w:lineRule="auto"/>
        <w:rPr>
          <w:sz w:val="20"/>
          <w:szCs w:val="20"/>
          <w:color w:val="auto"/>
        </w:rPr>
      </w:pPr>
      <w:r>
        <w:rPr>
          <w:rFonts w:ascii="Arial" w:cs="Arial" w:eastAsia="Arial" w:hAnsi="Arial"/>
          <w:sz w:val="14"/>
          <w:szCs w:val="14"/>
          <w:color w:val="auto"/>
        </w:rPr>
        <w:t xml:space="preserve">Our branded portfolio is led by our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which is the leader in the coconut water category in the United States, and also includes coconut oil, juice, hydration mix and milk offerings. Our other brands include </w:t>
      </w:r>
      <w:r>
        <w:rPr>
          <w:rFonts w:ascii="Arial" w:cs="Arial" w:eastAsia="Arial" w:hAnsi="Arial"/>
          <w:sz w:val="14"/>
          <w:szCs w:val="14"/>
          <w:i w:val="1"/>
          <w:iCs w:val="1"/>
          <w:color w:val="auto"/>
        </w:rPr>
        <w:t>Runa</w:t>
      </w:r>
      <w:r>
        <w:rPr>
          <w:rFonts w:ascii="Arial" w:cs="Arial" w:eastAsia="Arial" w:hAnsi="Arial"/>
          <w:sz w:val="14"/>
          <w:szCs w:val="14"/>
          <w:color w:val="auto"/>
        </w:rPr>
        <w:t xml:space="preserve">, a plant-based energy drink inspired from the guayusa plant native to Ecuador,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a sustainably packaged water, and </w:t>
      </w:r>
      <w:r>
        <w:rPr>
          <w:rFonts w:ascii="Arial" w:cs="Arial" w:eastAsia="Arial" w:hAnsi="Arial"/>
          <w:sz w:val="14"/>
          <w:szCs w:val="14"/>
          <w:i w:val="1"/>
          <w:iCs w:val="1"/>
          <w:color w:val="auto"/>
        </w:rPr>
        <w:t>PWR LIFT</w:t>
      </w:r>
      <w:r>
        <w:rPr>
          <w:rFonts w:ascii="Arial" w:cs="Arial" w:eastAsia="Arial" w:hAnsi="Arial"/>
          <w:sz w:val="14"/>
          <w:szCs w:val="14"/>
          <w:color w:val="auto"/>
        </w:rPr>
        <w:t>, a protein-infused fitness drink. We also supply Private Label products to key retailers in both the coconut water and coconut oil categories.</w:t>
      </w:r>
    </w:p>
    <w:p>
      <w:pPr>
        <w:spacing w:after="0" w:line="1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4"/>
          <w:szCs w:val="14"/>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69" w:lineRule="exact"/>
        <w:rPr>
          <w:sz w:val="20"/>
          <w:szCs w:val="20"/>
          <w:color w:val="auto"/>
        </w:rPr>
      </w:pPr>
    </w:p>
    <w:p>
      <w:pPr>
        <w:ind w:right="40" w:firstLine="509"/>
        <w:spacing w:after="0" w:line="251" w:lineRule="auto"/>
        <w:rPr>
          <w:sz w:val="20"/>
          <w:szCs w:val="20"/>
          <w:color w:val="auto"/>
        </w:rPr>
      </w:pPr>
      <w:r>
        <w:rPr>
          <w:rFonts w:ascii="Arial" w:cs="Arial" w:eastAsia="Arial" w:hAnsi="Arial"/>
          <w:sz w:val="14"/>
          <w:szCs w:val="14"/>
          <w:i w:val="1"/>
          <w:iCs w:val="1"/>
          <w:color w:val="auto"/>
        </w:rPr>
        <w:t xml:space="preserve">Vita Coco </w:t>
      </w:r>
      <w:r>
        <w:rPr>
          <w:rFonts w:ascii="Arial" w:cs="Arial" w:eastAsia="Arial" w:hAnsi="Arial"/>
          <w:sz w:val="14"/>
          <w:szCs w:val="14"/>
          <w:color w:val="auto"/>
        </w:rPr>
        <w:t>is available in over 30 countries, with our primary markets in North America, the United Kingdom, and China. Our primary markets for Private Label are North America and</w:t>
      </w:r>
      <w:r>
        <w:rPr>
          <w:rFonts w:ascii="Arial" w:cs="Arial" w:eastAsia="Arial" w:hAnsi="Arial"/>
          <w:sz w:val="14"/>
          <w:szCs w:val="14"/>
          <w:i w:val="1"/>
          <w:iCs w:val="1"/>
          <w:color w:val="auto"/>
        </w:rPr>
        <w:t xml:space="preserve"> </w:t>
      </w:r>
      <w:r>
        <w:rPr>
          <w:rFonts w:ascii="Arial" w:cs="Arial" w:eastAsia="Arial" w:hAnsi="Arial"/>
          <w:sz w:val="14"/>
          <w:szCs w:val="14"/>
          <w:color w:val="auto"/>
        </w:rPr>
        <w:t>Europe. Our products are distributed primarily through club, food, drug, mass, convenience, e-commerce, and foodservice channels. We are also available in a variety of on-premise locations such as corporate offices, fitness clubs, airports, and educational institutions.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w:t>
      </w:r>
    </w:p>
    <w:p>
      <w:pPr>
        <w:spacing w:after="0" w:line="193"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The Vita Coco Company, Inc., formerly known as All Market Inc., was incorporated as a Delaware corporation in January 2007 and incorporated in Delaware as a public benefit corporation in April 2021. We completed an initial public offering (the "IPO") of our common stock in October 2021.</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193" w:lineRule="exact"/>
        <w:rPr>
          <w:sz w:val="20"/>
          <w:szCs w:val="20"/>
          <w:color w:val="auto"/>
        </w:rPr>
      </w:pPr>
    </w:p>
    <w:p>
      <w:pPr>
        <w:ind w:firstLine="509"/>
        <w:spacing w:after="0" w:line="301" w:lineRule="auto"/>
        <w:rPr>
          <w:sz w:val="20"/>
          <w:szCs w:val="20"/>
          <w:color w:val="auto"/>
        </w:rPr>
      </w:pPr>
      <w:r>
        <w:rPr>
          <w:rFonts w:ascii="Arial" w:cs="Arial" w:eastAsia="Arial" w:hAnsi="Arial"/>
          <w:sz w:val="12"/>
          <w:szCs w:val="12"/>
          <w:color w:val="auto"/>
        </w:rPr>
        <w:t xml:space="preserve">We operate in the functional beverages industry. Our primary brand </w:t>
      </w:r>
      <w:r>
        <w:rPr>
          <w:rFonts w:ascii="Arial" w:cs="Arial" w:eastAsia="Arial" w:hAnsi="Arial"/>
          <w:sz w:val="12"/>
          <w:szCs w:val="12"/>
          <w:i w:val="1"/>
          <w:iCs w:val="1"/>
          <w:color w:val="auto"/>
        </w:rPr>
        <w:t>Vita Coco</w:t>
      </w:r>
      <w:r>
        <w:rPr>
          <w:rFonts w:ascii="Arial" w:cs="Arial" w:eastAsia="Arial" w:hAnsi="Arial"/>
          <w:sz w:val="12"/>
          <w:szCs w:val="12"/>
          <w:color w:val="auto"/>
        </w:rPr>
        <w:t xml:space="preserve"> Coconut Water competes in the approximately $2.7 billion global coconut and plant waters category, as estimated by Euromonitor (2022). Our </w:t>
      </w:r>
      <w:r>
        <w:rPr>
          <w:rFonts w:ascii="Arial" w:cs="Arial" w:eastAsia="Arial" w:hAnsi="Arial"/>
          <w:sz w:val="12"/>
          <w:szCs w:val="12"/>
          <w:i w:val="1"/>
          <w:iCs w:val="1"/>
          <w:color w:val="auto"/>
        </w:rPr>
        <w:t>Runa</w:t>
      </w:r>
      <w:r>
        <w:rPr>
          <w:rFonts w:ascii="Arial" w:cs="Arial" w:eastAsia="Arial" w:hAnsi="Arial"/>
          <w:sz w:val="12"/>
          <w:szCs w:val="12"/>
          <w:color w:val="auto"/>
        </w:rPr>
        <w:t xml:space="preserve"> brand competes in the plant based energy beverage category, our </w:t>
      </w:r>
      <w:r>
        <w:rPr>
          <w:rFonts w:ascii="Arial" w:cs="Arial" w:eastAsia="Arial" w:hAnsi="Arial"/>
          <w:sz w:val="12"/>
          <w:szCs w:val="12"/>
          <w:i w:val="1"/>
          <w:iCs w:val="1"/>
          <w:color w:val="auto"/>
        </w:rPr>
        <w:t>Vita Coco</w:t>
      </w:r>
      <w:r>
        <w:rPr>
          <w:rFonts w:ascii="Arial" w:cs="Arial" w:eastAsia="Arial" w:hAnsi="Arial"/>
          <w:sz w:val="12"/>
          <w:szCs w:val="12"/>
          <w:color w:val="auto"/>
        </w:rPr>
        <w:t xml:space="preserve"> coconut milk product is a plant-based dairy alternative and our </w:t>
      </w:r>
      <w:r>
        <w:rPr>
          <w:rFonts w:ascii="Arial" w:cs="Arial" w:eastAsia="Arial" w:hAnsi="Arial"/>
          <w:sz w:val="12"/>
          <w:szCs w:val="12"/>
          <w:i w:val="1"/>
          <w:iCs w:val="1"/>
          <w:color w:val="auto"/>
        </w:rPr>
        <w:t>PWR LIFT</w:t>
      </w:r>
      <w:r>
        <w:rPr>
          <w:rFonts w:ascii="Arial" w:cs="Arial" w:eastAsia="Arial" w:hAnsi="Arial"/>
          <w:sz w:val="12"/>
          <w:szCs w:val="12"/>
          <w:color w:val="auto"/>
        </w:rPr>
        <w:t xml:space="preserve"> brand competes in the enhanced isotonic category. We also develop and sell other brands in the beverage category, and occasionally in other categories, as we test our ideas for expanding our product portfolio. The beverage industry, and specifically the functional beverage categories, are significantly larger than the coconut and plant waters category and provide opportunities for potential growth.</w:t>
      </w:r>
    </w:p>
    <w:p>
      <w:pPr>
        <w:spacing w:after="0" w:line="12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3"/>
          <w:szCs w:val="13"/>
          <w:color w:val="auto"/>
        </w:rPr>
        <w:t>We believe per capita consumption of natural beverages is growing as a result of increasing consumer interest in plant-based alternatives and preferences for health-conscious products that have fewer added sugars and artificial ingredients, while providing more nutritional benefits. In addition, we believe that consumer awareness of the negative environmental and social impact of packaged goods has resulted in increased consumer demand for brands that are purpose-driven, take responsibility for their impact on the planet and are focused on sustainable packaging and transparent ethical values. We believe our mission is aligned with the growing demands generated by this consumer behavior.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3" w:lineRule="exact"/>
        <w:rPr>
          <w:sz w:val="20"/>
          <w:szCs w:val="20"/>
          <w:color w:val="auto"/>
        </w:rPr>
      </w:pPr>
    </w:p>
    <w:p>
      <w:pPr>
        <w:ind w:right="400" w:firstLine="509"/>
        <w:spacing w:after="0" w:line="265" w:lineRule="auto"/>
        <w:rPr>
          <w:sz w:val="20"/>
          <w:szCs w:val="20"/>
          <w:color w:val="auto"/>
        </w:rPr>
      </w:pPr>
      <w:r>
        <w:rPr>
          <w:rFonts w:ascii="Arial" w:cs="Arial" w:eastAsia="Arial" w:hAnsi="Arial"/>
          <w:sz w:val="14"/>
          <w:szCs w:val="14"/>
          <w:color w:val="auto"/>
        </w:rPr>
        <w:t>The beverage industry is highly competitive and is constantly evolving in response to ever-changing consumer preferences. Competition is generally based on brand recognition, taste, quality, price, availability, selection and convenience, as well as factors related to corporate responsibility and sustainability.</w:t>
      </w:r>
    </w:p>
    <w:p>
      <w:pPr>
        <w:spacing w:after="0" w:line="154" w:lineRule="exact"/>
        <w:rPr>
          <w:sz w:val="20"/>
          <w:szCs w:val="20"/>
          <w:color w:val="auto"/>
        </w:rPr>
      </w:pPr>
    </w:p>
    <w:p>
      <w:pPr>
        <w:ind w:right="160" w:firstLine="509"/>
        <w:spacing w:after="0" w:line="251" w:lineRule="auto"/>
        <w:rPr>
          <w:sz w:val="20"/>
          <w:szCs w:val="20"/>
          <w:color w:val="auto"/>
        </w:rPr>
      </w:pPr>
      <w:r>
        <w:rPr>
          <w:rFonts w:ascii="Arial" w:cs="Arial" w:eastAsia="Arial" w:hAnsi="Arial"/>
          <w:sz w:val="14"/>
          <w:szCs w:val="14"/>
          <w:color w:val="auto"/>
        </w:rPr>
        <w:t xml:space="preserve">Additionally, we compete within the broad non-alcoholic beverage category, and our flagship brand, </w:t>
      </w:r>
      <w:r>
        <w:rPr>
          <w:rFonts w:ascii="Arial" w:cs="Arial" w:eastAsia="Arial" w:hAnsi="Arial"/>
          <w:sz w:val="14"/>
          <w:szCs w:val="14"/>
          <w:i w:val="1"/>
          <w:iCs w:val="1"/>
          <w:color w:val="auto"/>
        </w:rPr>
        <w:t>Vita Coco</w:t>
      </w:r>
      <w:r>
        <w:rPr>
          <w:rFonts w:ascii="Arial" w:cs="Arial" w:eastAsia="Arial" w:hAnsi="Arial"/>
          <w:sz w:val="14"/>
          <w:szCs w:val="14"/>
          <w:color w:val="auto"/>
        </w:rPr>
        <w:t>, is the market leader in the coconut water category in the United States. Our competitors in the beverage market include large beverage companies such as The Coca-Cola Company, PepsiCo, Inc. and Nestlé S.A. that may have substantially greater financial resources and stronger brand recognition than we have. We also compete with other leading functional beverages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including Goya, Harmless Harvest, Foco, BodyArmor, Monster Energy, Red Bull, Bang, Ocean Spray and Bai, as well as a range of emerging brands and retailers’ own private label beverage brands.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Our competition and competitors vary by market due to regional brands and taste preferences.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also a leading supplier of Private Label coconut water and oil brands, and we compete with other Private Label suppliers for that business.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Operations</w:t>
      </w:r>
    </w:p>
    <w:p>
      <w:pPr>
        <w:spacing w:after="0" w:line="193" w:lineRule="exact"/>
        <w:rPr>
          <w:sz w:val="20"/>
          <w:szCs w:val="20"/>
          <w:color w:val="auto"/>
        </w:rPr>
      </w:pPr>
    </w:p>
    <w:p>
      <w:pPr>
        <w:ind w:right="140" w:firstLine="509"/>
        <w:spacing w:after="0" w:line="251" w:lineRule="auto"/>
        <w:rPr>
          <w:sz w:val="20"/>
          <w:szCs w:val="20"/>
          <w:color w:val="auto"/>
        </w:rPr>
      </w:pPr>
      <w:r>
        <w:rPr>
          <w:rFonts w:ascii="Arial" w:cs="Arial" w:eastAsia="Arial" w:hAnsi="Arial"/>
          <w:sz w:val="14"/>
          <w:szCs w:val="14"/>
          <w:color w:val="auto"/>
        </w:rPr>
        <w:t>As of December 31, 2022, we operate in two business segments: (i) the Americas segment, comprised of our operations primarily in the United States and Canada and (ii) the International segment, comprised of operations primarily in Europe, the Middle East, Africa and the Asia Pacific regions. While over 91% of our business is based on sales of coconut water, we have used our access to market to add other beverage brands with a view to building a diversified beverage platform of compatible brands.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Vita Coco</w:t>
      </w:r>
    </w:p>
    <w:p>
      <w:pPr>
        <w:spacing w:after="0" w:line="200"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 xml:space="preserve">With the launch of the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in New York City in 2004, we established coconut water as a premium lifestyle drink in America.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is the coconut water category leader with approximately 50% market share in the United States according to IRI U.S. for the 52 weeks ending December 25, 2022, which over indexes to younger households and to more multicultural shoppers.</w:t>
      </w:r>
    </w:p>
    <w:p>
      <w:pPr>
        <w:spacing w:after="0" w:line="14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3"/>
          <w:szCs w:val="13"/>
          <w:color w:val="auto"/>
        </w:rPr>
        <w:t xml:space="preserve">We offer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water as an alternative to sugar-packed sports drinks and other less healthy hydration alternatives.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has evolved from a primarily pure coconut water brand to a full portfolio of coconut-based products. The portfolio now includes multiple offerings in the coconut water category with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Pressed,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Juice, and Farmers Organic, with offerings in adjacent plant-based categories such as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MLK,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Barista,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Oil, and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Hydration Drink Mix.</w:t>
      </w:r>
    </w:p>
    <w:p>
      <w:pPr>
        <w:spacing w:after="0" w:line="147" w:lineRule="exact"/>
        <w:rPr>
          <w:sz w:val="20"/>
          <w:szCs w:val="20"/>
          <w:color w:val="auto"/>
        </w:rPr>
      </w:pPr>
    </w:p>
    <w:p>
      <w:pPr>
        <w:ind w:right="40" w:firstLine="509"/>
        <w:spacing w:after="0" w:line="246" w:lineRule="auto"/>
        <w:rPr>
          <w:sz w:val="20"/>
          <w:szCs w:val="20"/>
          <w:color w:val="auto"/>
        </w:rPr>
      </w:pPr>
      <w:r>
        <w:rPr>
          <w:rFonts w:ascii="Arial" w:cs="Arial" w:eastAsia="Arial" w:hAnsi="Arial"/>
          <w:sz w:val="14"/>
          <w:szCs w:val="14"/>
          <w:color w:val="auto"/>
        </w:rPr>
        <w:t xml:space="preserve">In 2022, we focused on expanding our multipack strategy in coconut water to increase consumption with core consumers. In addition, we expanded our Farmers Organic product to national distribution and focused on the regional rollout of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Juice. In 2023, we intend to continue to develop these initiatives, while in parallel expanding into new occasions through a licensing collaboration with Diageo. </w:t>
      </w:r>
      <w:r>
        <w:rPr>
          <w:rFonts w:ascii="Arial" w:cs="Arial" w:eastAsia="Arial" w:hAnsi="Arial"/>
          <w:sz w:val="14"/>
          <w:szCs w:val="14"/>
          <w:i w:val="1"/>
          <w:iCs w:val="1"/>
          <w:color w:val="auto"/>
        </w:rPr>
        <w:t>Vita Coco Spiked with Captain Morgan</w:t>
      </w:r>
      <w:r>
        <w:rPr>
          <w:rFonts w:ascii="Arial" w:cs="Arial" w:eastAsia="Arial" w:hAnsi="Arial"/>
          <w:sz w:val="14"/>
          <w:szCs w:val="14"/>
          <w:color w:val="auto"/>
        </w:rPr>
        <w:t xml:space="preserve"> is a ready-to-drink cocktail sold by Diageo and made with their flagship Captain Morgan rum and our flagship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that will be distributed nationally in 2023.</w:t>
      </w:r>
    </w:p>
    <w:p>
      <w:pPr>
        <w:spacing w:after="0" w:line="167" w:lineRule="exact"/>
        <w:rPr>
          <w:sz w:val="20"/>
          <w:szCs w:val="20"/>
          <w:color w:val="auto"/>
        </w:rPr>
      </w:pPr>
    </w:p>
    <w:p>
      <w:pPr>
        <w:ind w:right="60" w:firstLine="509"/>
        <w:spacing w:after="0" w:line="251" w:lineRule="auto"/>
        <w:rPr>
          <w:sz w:val="20"/>
          <w:szCs w:val="20"/>
          <w:color w:val="auto"/>
        </w:rPr>
      </w:pPr>
      <w:r>
        <w:rPr>
          <w:rFonts w:ascii="Arial" w:cs="Arial" w:eastAsia="Arial" w:hAnsi="Arial"/>
          <w:sz w:val="14"/>
          <w:szCs w:val="14"/>
          <w:color w:val="auto"/>
        </w:rPr>
        <w:t xml:space="preserve">Internationally, our business is anchored by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’s presence in the United Kingdom, where it is the chilled coconut water category leader with 82% market share, according to IRI UK, for 52 weeks ended December 31, 2022. Our United Kingdom commercial team and our supply chain based in Asia have allowed us to sell into other European and Asian countries.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has a presence in key markets such as China, France, Spain, the Benelux region, the Nordic Region, Africa and the Middle East.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Label</w:t>
      </w:r>
    </w:p>
    <w:p>
      <w:pPr>
        <w:spacing w:after="0" w:line="18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4"/>
          <w:szCs w:val="14"/>
          <w:color w:val="auto"/>
        </w:rPr>
        <w:t>We expanded into Private Label coconut water in 2016 as a way to develop stronger ties with select, strategic retail partners and improve our operating scale. Our coconut water Private Label offering increases the scale and efficiency of our coconut water supply chain, and also provides us with a share of the value segment, without diluting our own brand. We also supply retailers with Private Label coconut oil.</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Runa</w:t>
      </w:r>
    </w:p>
    <w:p>
      <w:pPr>
        <w:spacing w:after="0" w:line="189" w:lineRule="exact"/>
        <w:rPr>
          <w:sz w:val="20"/>
          <w:szCs w:val="20"/>
          <w:color w:val="auto"/>
        </w:rPr>
      </w:pPr>
    </w:p>
    <w:p>
      <w:pPr>
        <w:ind w:right="140" w:firstLine="509"/>
        <w:spacing w:after="0" w:line="304" w:lineRule="auto"/>
        <w:rPr>
          <w:sz w:val="20"/>
          <w:szCs w:val="20"/>
          <w:color w:val="auto"/>
        </w:rPr>
      </w:pPr>
      <w:r>
        <w:rPr>
          <w:rFonts w:ascii="Arial" w:cs="Arial" w:eastAsia="Arial" w:hAnsi="Arial"/>
          <w:sz w:val="13"/>
          <w:szCs w:val="13"/>
          <w:i w:val="1"/>
          <w:iCs w:val="1"/>
          <w:color w:val="auto"/>
        </w:rPr>
        <w:t xml:space="preserve">Runa </w:t>
      </w:r>
      <w:r>
        <w:rPr>
          <w:rFonts w:ascii="Arial" w:cs="Arial" w:eastAsia="Arial" w:hAnsi="Arial"/>
          <w:sz w:val="13"/>
          <w:szCs w:val="13"/>
          <w:color w:val="auto"/>
        </w:rPr>
        <w:t>is a plant-based, natural offering for consumers in the energy drink market. We believe that</w:t>
      </w:r>
      <w:r>
        <w:rPr>
          <w:rFonts w:ascii="Arial" w:cs="Arial" w:eastAsia="Arial" w:hAnsi="Arial"/>
          <w:sz w:val="13"/>
          <w:szCs w:val="13"/>
          <w:i w:val="1"/>
          <w:iCs w:val="1"/>
          <w:color w:val="auto"/>
        </w:rPr>
        <w:t xml:space="preserve"> Runa</w:t>
      </w:r>
      <w:r>
        <w:rPr>
          <w:rFonts w:ascii="Arial" w:cs="Arial" w:eastAsia="Arial" w:hAnsi="Arial"/>
          <w:sz w:val="13"/>
          <w:szCs w:val="13"/>
          <w:color w:val="auto"/>
        </w:rPr>
        <w:t>’s clean energy drinks provide consumers with a refreshing energy boost without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jolts and jitters, and with less sugar, than traditional energy beverages. A key ingredient in </w:t>
      </w:r>
      <w:r>
        <w:rPr>
          <w:rFonts w:ascii="Arial" w:cs="Arial" w:eastAsia="Arial" w:hAnsi="Arial"/>
          <w:sz w:val="13"/>
          <w:szCs w:val="13"/>
          <w:i w:val="1"/>
          <w:iCs w:val="1"/>
          <w:color w:val="auto"/>
        </w:rPr>
        <w:t>Runa</w:t>
      </w:r>
      <w:r>
        <w:rPr>
          <w:rFonts w:ascii="Arial" w:cs="Arial" w:eastAsia="Arial" w:hAnsi="Arial"/>
          <w:sz w:val="13"/>
          <w:szCs w:val="13"/>
          <w:color w:val="auto"/>
        </w:rPr>
        <w:t xml:space="preserve"> is guayusa, an Amazonian jungle plant which we believe is a "super-leaf."</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Ever &amp; Ever</w:t>
      </w:r>
    </w:p>
    <w:p>
      <w:pPr>
        <w:spacing w:after="0" w:line="189" w:lineRule="exact"/>
        <w:rPr>
          <w:sz w:val="20"/>
          <w:szCs w:val="20"/>
          <w:color w:val="auto"/>
        </w:rPr>
      </w:pPr>
    </w:p>
    <w:p>
      <w:pPr>
        <w:ind w:right="40" w:firstLine="509"/>
        <w:spacing w:after="0" w:line="251" w:lineRule="auto"/>
        <w:rPr>
          <w:sz w:val="20"/>
          <w:szCs w:val="20"/>
          <w:color w:val="auto"/>
        </w:rPr>
      </w:pPr>
      <w:r>
        <w:rPr>
          <w:rFonts w:ascii="Arial" w:cs="Arial" w:eastAsia="Arial" w:hAnsi="Arial"/>
          <w:sz w:val="14"/>
          <w:szCs w:val="14"/>
          <w:color w:val="auto"/>
        </w:rPr>
        <w:t xml:space="preserve">Launched in 2019,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is a purified water brand packaged solely in aluminum bottles. Given emerging consumer concerns with the disposal or recyclability of plastic water bottles, we created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to respond to the consumer need for a sustainably packaged water product in aluminum bottles with potential infinite re-cyclability.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was launched with a focus on the foodservice and office channels. </w:t>
      </w:r>
      <w:r>
        <w:rPr>
          <w:rFonts w:ascii="Arial" w:cs="Arial" w:eastAsia="Arial" w:hAnsi="Arial"/>
          <w:sz w:val="14"/>
          <w:szCs w:val="14"/>
          <w:i w:val="1"/>
          <w:iCs w:val="1"/>
          <w:color w:val="auto"/>
        </w:rPr>
        <w:t>Ever &amp; Eve</w:t>
      </w:r>
      <w:r>
        <w:rPr>
          <w:rFonts w:ascii="Arial" w:cs="Arial" w:eastAsia="Arial" w:hAnsi="Arial"/>
          <w:sz w:val="14"/>
          <w:szCs w:val="14"/>
          <w:color w:val="auto"/>
        </w:rPr>
        <w:t>r is also available in our Direct-to-Consumer ("DTC") channels.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PWR LIFT</w:t>
      </w:r>
    </w:p>
    <w:p>
      <w:pPr>
        <w:spacing w:after="0" w:line="18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3"/>
          <w:szCs w:val="13"/>
          <w:color w:val="auto"/>
        </w:rPr>
        <w:t xml:space="preserve">In 2021, we launched </w:t>
      </w:r>
      <w:r>
        <w:rPr>
          <w:rFonts w:ascii="Arial" w:cs="Arial" w:eastAsia="Arial" w:hAnsi="Arial"/>
          <w:sz w:val="13"/>
          <w:szCs w:val="13"/>
          <w:i w:val="1"/>
          <w:iCs w:val="1"/>
          <w:color w:val="auto"/>
        </w:rPr>
        <w:t>PWR LIFT,</w:t>
      </w:r>
      <w:r>
        <w:rPr>
          <w:rFonts w:ascii="Arial" w:cs="Arial" w:eastAsia="Arial" w:hAnsi="Arial"/>
          <w:sz w:val="13"/>
          <w:szCs w:val="13"/>
          <w:color w:val="auto"/>
        </w:rPr>
        <w:t xml:space="preserve"> a beverage targeted at post-workout and recovery hydration occasions with added nutritional benefits. </w:t>
      </w:r>
      <w:r>
        <w:rPr>
          <w:rFonts w:ascii="Arial" w:cs="Arial" w:eastAsia="Arial" w:hAnsi="Arial"/>
          <w:sz w:val="13"/>
          <w:szCs w:val="13"/>
          <w:i w:val="1"/>
          <w:iCs w:val="1"/>
          <w:color w:val="auto"/>
        </w:rPr>
        <w:t>PWR LIFT</w:t>
      </w:r>
      <w:r>
        <w:rPr>
          <w:rFonts w:ascii="Arial" w:cs="Arial" w:eastAsia="Arial" w:hAnsi="Arial"/>
          <w:sz w:val="13"/>
          <w:szCs w:val="13"/>
          <w:color w:val="auto"/>
        </w:rPr>
        <w:t xml:space="preserve"> is a protein-infused sports drink with electrolytes and zero sugar, designed to provide fitness-minded consumers with protein in a hydrating beverage. In 2022, we tested PWR LIFT in select markets including Arizona, North Carolina, South Carolina and Georgia and, in 2023, we plan to expand the offering to Texas. The brand targets fitness enthusiasts and consumers seeking healthier beverage options, and we plan to grow the brand by focusing on premium retail execution, brand sponsorships, influencer partnerships and social media advertising.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Supply Chain</w:t>
      </w:r>
    </w:p>
    <w:p>
      <w:pPr>
        <w:spacing w:after="0" w:line="193" w:lineRule="exact"/>
        <w:rPr>
          <w:sz w:val="20"/>
          <w:szCs w:val="20"/>
          <w:color w:val="auto"/>
        </w:rPr>
      </w:pPr>
    </w:p>
    <w:p>
      <w:pPr>
        <w:ind w:right="60" w:firstLine="509"/>
        <w:spacing w:after="0"/>
        <w:rPr>
          <w:sz w:val="20"/>
          <w:szCs w:val="20"/>
          <w:color w:val="auto"/>
        </w:rPr>
      </w:pPr>
      <w:r>
        <w:rPr>
          <w:rFonts w:ascii="Arial" w:cs="Arial" w:eastAsia="Arial" w:hAnsi="Arial"/>
          <w:sz w:val="14"/>
          <w:szCs w:val="14"/>
          <w:color w:val="auto"/>
        </w:rPr>
        <w:t>We engage contract manufacturers, co-packers and third-party logistics providers to manufacture and distribute our products. Our fixed asset-lite model enhances production flexibility and capacity, and enables us to focus on our core in-house capabilities which include supplier management, logistics, sales and marketing, brand management and customer service. Our well-diversified global manufacturing network spans across six countries, 14 coconut water factories operated by our manufacturing partners and five co-packing facilities for products not packaged near source. Our network provides us with significant production capacity and capabilities, and an ability to re-allocate coconut water sourcing in the event of supply chain issues, weather, logistics or other macroeconomic impacts.</w:t>
      </w:r>
    </w:p>
    <w:p>
      <w:pPr>
        <w:spacing w:after="0" w:line="171" w:lineRule="exact"/>
        <w:rPr>
          <w:sz w:val="20"/>
          <w:szCs w:val="20"/>
          <w:color w:val="auto"/>
        </w:rPr>
      </w:pPr>
    </w:p>
    <w:p>
      <w:pPr>
        <w:ind w:right="20" w:firstLine="509"/>
        <w:spacing w:after="0" w:line="242" w:lineRule="auto"/>
        <w:rPr>
          <w:sz w:val="20"/>
          <w:szCs w:val="20"/>
          <w:color w:val="auto"/>
        </w:rPr>
      </w:pPr>
      <w:r>
        <w:rPr>
          <w:rFonts w:ascii="Arial" w:cs="Arial" w:eastAsia="Arial" w:hAnsi="Arial"/>
          <w:sz w:val="14"/>
          <w:szCs w:val="14"/>
          <w:color w:val="auto"/>
        </w:rPr>
        <w:t>Coconut water needs to be transferred from the coconut into an aseptic package within hours of cutting a coconut from the tree. Our supply chain partners are positioned as close to the coconut growing regions as possible to keep quality at the highest level. Through our access and relationships with coconut processors and manufacturers in many countries, including the Philippines, Indonesia, Malaysia, Thailand, Sri Lanka, and Brazil, we have built up a unique body of knowledge and relationships that promote coconut water processing at scale, as well as gained access to farms across diversified geographies. We also attempt to foster a thriving loyal farming community around our manufacturing partners through our work with charitable organizations to support agricultural education programs and investments in schooling. This community outreach has strengthened our long-term manufacturing relationships and we believe will support our capacity needs for future growth.</w:t>
      </w:r>
    </w:p>
    <w:p>
      <w:pPr>
        <w:spacing w:after="0" w:line="172" w:lineRule="exact"/>
        <w:rPr>
          <w:sz w:val="20"/>
          <w:szCs w:val="20"/>
          <w:color w:val="auto"/>
        </w:rPr>
      </w:pPr>
    </w:p>
    <w:p>
      <w:pPr>
        <w:ind w:firstLine="509"/>
        <w:spacing w:after="0" w:line="239" w:lineRule="auto"/>
        <w:rPr>
          <w:sz w:val="20"/>
          <w:szCs w:val="20"/>
          <w:color w:val="auto"/>
        </w:rPr>
      </w:pPr>
      <w:r>
        <w:rPr>
          <w:rFonts w:ascii="Arial" w:cs="Arial" w:eastAsia="Arial" w:hAnsi="Arial"/>
          <w:sz w:val="14"/>
          <w:szCs w:val="14"/>
          <w:color w:val="auto"/>
        </w:rPr>
        <w:t>Raw materials used in our business and by our co-packers consist of ingredients and packaging materials purchased from local, regional and international suppliers. The principal ingredients include coconut water, Tetra Paks and caps, cardboard cartons, PET bottles and aluminum bottles and cans. We work with our contract manufacturing partners to purchase our raw ingredients from local suppliers in accordance with rigorous standards to assure responsible sourcing, quality and safety. The majority of our products are produced and packaged with materials sourced from a single supplier, Tetra Pak, whether purchased by us or by our contract manufacturers on our behalf, which provides us efficiency in the packaging and export of our products, and furthers our commitment to responsible sourcing, packaging near source and sustainability. Our production contracts are mostly denominated in United States dollars, with some limited contracts in local currencies such as the Brazil Real.</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Sales and Marketing</w:t>
      </w:r>
    </w:p>
    <w:p>
      <w:pPr>
        <w:spacing w:after="0" w:line="225" w:lineRule="exact"/>
        <w:rPr>
          <w:sz w:val="20"/>
          <w:szCs w:val="20"/>
          <w:color w:val="auto"/>
        </w:rPr>
      </w:pPr>
    </w:p>
    <w:p>
      <w:pPr>
        <w:ind w:right="20" w:firstLine="509"/>
        <w:spacing w:after="0" w:line="244" w:lineRule="auto"/>
        <w:rPr>
          <w:sz w:val="20"/>
          <w:szCs w:val="20"/>
          <w:color w:val="auto"/>
        </w:rPr>
      </w:pPr>
      <w:r>
        <w:rPr>
          <w:rFonts w:ascii="Arial" w:cs="Arial" w:eastAsia="Arial" w:hAnsi="Arial"/>
          <w:sz w:val="14"/>
          <w:szCs w:val="14"/>
          <w:color w:val="auto"/>
        </w:rPr>
        <w:t>Our beverages and other products are sold in club stores, supermarkets, convenience stores, drug stores and e-commerce websites as well as other outlets. Our products are typically shipped directly from our contract manufacturing partners to a network of third-party warehouses located in our selling markets. We go to market in North America through various distribution channels, including a Direct Store Delivery distribution network ("DSD"), Direct-to-Warehouse network (DTW), broadline distributors, and our own DTC channel. We match the customers' needs with the right route to market providing us flexibility for our established brands and for our innovations. Outside of North America, we use a combination of DTW, importers and distributors depending on the needs of the market.</w:t>
      </w:r>
    </w:p>
    <w:p>
      <w:pPr>
        <w:spacing w:after="0" w:line="168" w:lineRule="exact"/>
        <w:rPr>
          <w:sz w:val="20"/>
          <w:szCs w:val="20"/>
          <w:color w:val="auto"/>
        </w:rPr>
      </w:pPr>
    </w:p>
    <w:p>
      <w:pPr>
        <w:ind w:right="200" w:firstLine="509"/>
        <w:spacing w:after="0" w:line="279" w:lineRule="auto"/>
        <w:rPr>
          <w:sz w:val="20"/>
          <w:szCs w:val="20"/>
          <w:color w:val="auto"/>
        </w:rPr>
      </w:pPr>
      <w:r>
        <w:rPr>
          <w:rFonts w:ascii="Arial" w:cs="Arial" w:eastAsia="Arial" w:hAnsi="Arial"/>
          <w:sz w:val="13"/>
          <w:szCs w:val="13"/>
          <w:color w:val="auto"/>
        </w:rPr>
        <w:t>Our European market is primarily retail and e-commerce operator direct sales, with some countries supported by distributor or importer type relationships. In China, we sell to Reignwood Investment (China) Co., Ltd, which is our import and distributor partner for the territory, and, through its affiliates, has been one of our significant shareholders since 2014. Other countries are serviced through importers with limited retail direct relationships or in partnership with one of our manufacturing partners through licensing or other agreements.</w:t>
      </w:r>
    </w:p>
    <w:p>
      <w:pPr>
        <w:spacing w:after="0" w:line="147" w:lineRule="exact"/>
        <w:rPr>
          <w:sz w:val="20"/>
          <w:szCs w:val="20"/>
          <w:color w:val="auto"/>
        </w:rPr>
      </w:pPr>
    </w:p>
    <w:p>
      <w:pPr>
        <w:ind w:right="200" w:firstLine="509"/>
        <w:spacing w:after="0" w:line="241" w:lineRule="auto"/>
        <w:rPr>
          <w:sz w:val="20"/>
          <w:szCs w:val="20"/>
          <w:color w:val="auto"/>
        </w:rPr>
      </w:pPr>
      <w:r>
        <w:rPr>
          <w:rFonts w:ascii="Arial" w:cs="Arial" w:eastAsia="Arial" w:hAnsi="Arial"/>
          <w:sz w:val="14"/>
          <w:szCs w:val="14"/>
          <w:color w:val="auto"/>
        </w:rPr>
        <w:t>We employ a dedicated global sales and commercial team. In the Americas, the sales team focuses on three main areas: (i) DSD management, (ii) national account management (including club, mass food and convenience) and (iii) retail execution. Our European sales team is aligned geographically and by major account or by import partner and is further supported by a small field execution and marketing team in the United Kingdom. Private Label accounts are handled by each geographic division in close cooperation with supply chain leadership. Our sales and marketing function in China is handled by our importer.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20" w:firstLine="509"/>
        <w:spacing w:after="0" w:line="246" w:lineRule="auto"/>
        <w:rPr>
          <w:sz w:val="20"/>
          <w:szCs w:val="20"/>
          <w:color w:val="auto"/>
        </w:rPr>
      </w:pPr>
      <w:r>
        <w:rPr>
          <w:rFonts w:ascii="Arial" w:cs="Arial" w:eastAsia="Arial" w:hAnsi="Arial"/>
          <w:sz w:val="14"/>
          <w:szCs w:val="14"/>
          <w:color w:val="auto"/>
        </w:rPr>
        <w:t>We also employ a brand, marketing, e-commerce and insights team with strong creative, social and digital capabilities with a primary focus on the North American and European markets. The primary goal of our marketing function is to educate consumers about the functional benefits of our products while inspiring consumers to fall in love with our brands. Since the early days, our brands have been sponsored by a roster of celebrity and athlete fans. Today, we continue to leverage relationships with talent and influencers who are aligned with our values and are genuine fans of our brands.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93"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As is typical in the beverage industry, sales of our beverages are seasonal, with the highest sales volumes generally occurring in the second and third fiscal quarters during the warmer months of the year in our major markets.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w:t>
      </w:r>
    </w:p>
    <w:p>
      <w:pPr>
        <w:spacing w:after="0" w:line="193" w:lineRule="exact"/>
        <w:rPr>
          <w:sz w:val="20"/>
          <w:szCs w:val="20"/>
          <w:color w:val="auto"/>
        </w:rPr>
      </w:pPr>
    </w:p>
    <w:p>
      <w:pPr>
        <w:jc w:val="both"/>
        <w:ind w:right="220" w:firstLine="509"/>
        <w:spacing w:after="0" w:line="251" w:lineRule="auto"/>
        <w:rPr>
          <w:sz w:val="20"/>
          <w:szCs w:val="20"/>
          <w:color w:val="auto"/>
        </w:rPr>
      </w:pPr>
      <w:r>
        <w:rPr>
          <w:rFonts w:ascii="Arial" w:cs="Arial" w:eastAsia="Arial" w:hAnsi="Arial"/>
          <w:sz w:val="14"/>
          <w:szCs w:val="14"/>
          <w:color w:val="auto"/>
        </w:rPr>
        <w:t>Over the past few years, the COVID-19 pandemic has caused general business disruption worldwide. Since the beginning of this pandemic in January 2020, our top priority has been the health, safety and well-being of our employees. Although our workforce has returned to the office on a hybrid basis, some of the impacts on our business created by the COVID-19 pandemic have continued or evolved.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After COVID-19 emerged, among other impacts, we saw significant changes to global ocean shipping availability and pricing of containers, lengthening transit times, increased domestic</w:t>
      </w:r>
    </w:p>
    <w:p>
      <w:pPr>
        <w:spacing w:after="0" w:line="4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transportation costs and some payroll inflationary effects. We also experienced negative impacts on our inventory availability and delivery capacity and temporary manufacturing and distribution partner shutdowns which affected, at times, our ability to fully service our customers’ demand. We took measures to bolster key aspects of our supply chain and we continue to work with our supply chain partners to ensure our ability to service customers and their demand. Some of these supply chain and logistics impacts have lessened over time, but conditions have not returned to those existing before the COVID-19 pandemic. In some cases, new challenges have emerged. For example, towards the end of 2022 into 2023, although the pricing and availability of shipping containers has improved, the cost of warehouse space in the United States used to store inventory has increased significantly over recent months while availability of such warehouse space has decreased.</w:t>
      </w:r>
    </w:p>
    <w:p>
      <w:pPr>
        <w:spacing w:after="0" w:line="187" w:lineRule="exact"/>
        <w:rPr>
          <w:sz w:val="20"/>
          <w:szCs w:val="20"/>
          <w:color w:val="auto"/>
        </w:rPr>
      </w:pPr>
    </w:p>
    <w:p>
      <w:pPr>
        <w:ind w:right="140" w:firstLine="509"/>
        <w:spacing w:after="0" w:line="349" w:lineRule="auto"/>
        <w:rPr>
          <w:sz w:val="20"/>
          <w:szCs w:val="20"/>
          <w:color w:val="auto"/>
        </w:rPr>
      </w:pPr>
      <w:r>
        <w:rPr>
          <w:rFonts w:ascii="Arial" w:cs="Arial" w:eastAsia="Arial" w:hAnsi="Arial"/>
          <w:sz w:val="12"/>
          <w:szCs w:val="12"/>
          <w:color w:val="auto"/>
        </w:rPr>
        <w:t>We continue to closely monitor the impact of the COVID-19 pandemic and developments related thereto on our business. For additional discussion of the factors above and the impact of COVID-19, see Part I, Item 1A. “Risk Factors” and Part II, Item 7. "Management's Discussion and Analysis of Financial Condition and Results of Operations" of this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Innovation</w:t>
      </w:r>
    </w:p>
    <w:p>
      <w:pPr>
        <w:spacing w:after="0" w:line="183" w:lineRule="exact"/>
        <w:rPr>
          <w:sz w:val="20"/>
          <w:szCs w:val="20"/>
          <w:color w:val="auto"/>
        </w:rPr>
      </w:pPr>
    </w:p>
    <w:p>
      <w:pPr>
        <w:jc w:val="both"/>
        <w:ind w:right="440" w:firstLine="509"/>
        <w:spacing w:after="0" w:line="251" w:lineRule="auto"/>
        <w:rPr>
          <w:sz w:val="20"/>
          <w:szCs w:val="20"/>
          <w:color w:val="auto"/>
        </w:rPr>
      </w:pPr>
      <w:r>
        <w:rPr>
          <w:rFonts w:ascii="Arial" w:cs="Arial" w:eastAsia="Arial" w:hAnsi="Arial"/>
          <w:sz w:val="14"/>
          <w:szCs w:val="14"/>
          <w:color w:val="auto"/>
        </w:rPr>
        <w:t>We engage in research and development activities and invest in innovation globally with the goal of creating products using natural, functional ingredients. We have years of expertise working with plant-based ingredients to deliver products to meet the needs of our customers. We balance our innovation priorities between adding functionality and taste to existing brands and researching and developing new products and brands for new occasions, need states or specific retailer opportunities.</w:t>
      </w:r>
    </w:p>
    <w:p>
      <w:pPr>
        <w:spacing w:after="0" w:line="163" w:lineRule="exact"/>
        <w:rPr>
          <w:sz w:val="20"/>
          <w:szCs w:val="20"/>
          <w:color w:val="auto"/>
        </w:rPr>
      </w:pPr>
    </w:p>
    <w:p>
      <w:pPr>
        <w:ind w:right="60" w:firstLine="509"/>
        <w:spacing w:after="0" w:line="279" w:lineRule="auto"/>
        <w:rPr>
          <w:sz w:val="20"/>
          <w:szCs w:val="20"/>
          <w:color w:val="auto"/>
        </w:rPr>
      </w:pPr>
      <w:r>
        <w:rPr>
          <w:rFonts w:ascii="Arial" w:cs="Arial" w:eastAsia="Arial" w:hAnsi="Arial"/>
          <w:sz w:val="13"/>
          <w:szCs w:val="13"/>
          <w:color w:val="auto"/>
        </w:rPr>
        <w:t>Our global innovation function sits in the marketing team to ensure alignment with current brand initiatives and sharing of consumer insights across teams and markets. The innovation team works closely with our internal global research and development and technical teams that include employees in the United States, Europe and Singapore focused on supplier capability, quality improvements and new processes. We also have strong supplier relationships that give us access to a broad scope of ingredients, packaging offerings and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93"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We own domestic and international trademarks and other proprietary rights that are important to our business. We view our primary trademark to be VITA COCO. We have a global approach to protecting our trademarks, designs, patents and other intellectual property rights. We believe the protection of our trademarks, designs, copyrights, patents, domain names, trade dress and trade secrets are important to our success.</w:t>
      </w:r>
    </w:p>
    <w:p>
      <w:pPr>
        <w:spacing w:after="0" w:line="163"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As of December 31, 2022, we had over 30 registered trademarks, over 10 pending trademark applications in the United States, over 230 registered trademarks and over 20 pending trademark applications in other countries. Depending upon the jurisdiction, trademarks are valid as long as they are in use and/or their registrations are properly maintained.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509"/>
        <w:spacing w:after="0" w:line="304" w:lineRule="auto"/>
        <w:rPr>
          <w:sz w:val="20"/>
          <w:szCs w:val="20"/>
          <w:color w:val="auto"/>
        </w:rPr>
      </w:pPr>
      <w:r>
        <w:rPr>
          <w:rFonts w:ascii="Arial" w:cs="Arial" w:eastAsia="Arial" w:hAnsi="Arial"/>
          <w:sz w:val="13"/>
          <w:szCs w:val="13"/>
          <w:color w:val="auto"/>
        </w:rPr>
        <w:t>We consider information related to formulas, processes, know-how and methods used in our production and manufacturing as proprietary and endeavor to maintain them as trade secrets. We have in place reasonable measures to keep the above-mentioned items, as well as our business and marketing plans, customer lists and contracts reasonably protected.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93" w:lineRule="exact"/>
        <w:rPr>
          <w:sz w:val="20"/>
          <w:szCs w:val="20"/>
          <w:color w:val="auto"/>
        </w:rPr>
      </w:pPr>
    </w:p>
    <w:p>
      <w:pPr>
        <w:ind w:firstLine="509"/>
        <w:spacing w:after="0" w:line="260" w:lineRule="auto"/>
        <w:rPr>
          <w:sz w:val="20"/>
          <w:szCs w:val="20"/>
          <w:color w:val="auto"/>
        </w:rPr>
      </w:pPr>
      <w:r>
        <w:rPr>
          <w:rFonts w:ascii="Arial" w:cs="Arial" w:eastAsia="Arial" w:hAnsi="Arial"/>
          <w:sz w:val="13"/>
          <w:szCs w:val="13"/>
          <w:color w:val="auto"/>
        </w:rPr>
        <w:t>Our products are regulated in the United States as conventional foods. We, along with our distributors, and manufacturing and co-packing partners, are subject to extensive laws and regulations in the United States by federal, state and local government authorities including, among others, the U.S. Federal Trade Commission ("FTC"), the U.S. Food and Drug Administration ("FDA"), the U.S. Department of Agriculture, the U.S. Environmental Protection Agency and the U.S. Occupational Safety and Health Administration and similar state and local agencies. Among other things, the facilities in which our products and ingredients are manufactured must register with the FDA, comply with current good manufacturing practices and other standard requirements applicable to the production and distribution of conventional food products. We and our manufacturing and co-packing partners are also subject to similar requirements in foreign jurisdictions in which we operate. These types of requirements include: product standards; product safety, product safety reporting; marketing, sales, and distribution; packaging and labeling requirements; nutritional and health claims; advertising and promotion; import and export restrictions; and tariff regulations, duties, and tax requirements.</w:t>
      </w:r>
    </w:p>
    <w:p>
      <w:pPr>
        <w:spacing w:after="0" w:line="161" w:lineRule="exact"/>
        <w:rPr>
          <w:sz w:val="20"/>
          <w:szCs w:val="20"/>
          <w:color w:val="auto"/>
        </w:rPr>
      </w:pPr>
    </w:p>
    <w:p>
      <w:pPr>
        <w:ind w:right="40" w:firstLine="509"/>
        <w:spacing w:after="0" w:line="246" w:lineRule="auto"/>
        <w:rPr>
          <w:sz w:val="20"/>
          <w:szCs w:val="20"/>
          <w:color w:val="auto"/>
        </w:rPr>
      </w:pPr>
      <w:r>
        <w:rPr>
          <w:rFonts w:ascii="Arial" w:cs="Arial" w:eastAsia="Arial" w:hAnsi="Arial"/>
          <w:sz w:val="14"/>
          <w:szCs w:val="14"/>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import holds, injunctions, fines, civil penalties or criminal prosecution. In addition, some of our products are produced and marketed under contract as part of special certification programs such as organic, kosher or non-GMO, and must comply with the strict standards of federal, state and third-party certifying organizations.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Benefit Corporation Status and Corporate Social Responsibility</w:t>
      </w:r>
    </w:p>
    <w:p>
      <w:pPr>
        <w:spacing w:after="0" w:line="225" w:lineRule="exact"/>
        <w:rPr>
          <w:sz w:val="20"/>
          <w:szCs w:val="20"/>
          <w:color w:val="auto"/>
        </w:rPr>
      </w:pPr>
    </w:p>
    <w:p>
      <w:pPr>
        <w:ind w:firstLine="509"/>
        <w:spacing w:after="0" w:line="246" w:lineRule="auto"/>
        <w:rPr>
          <w:sz w:val="20"/>
          <w:szCs w:val="20"/>
          <w:color w:val="auto"/>
        </w:rPr>
      </w:pPr>
      <w:r>
        <w:rPr>
          <w:rFonts w:ascii="Arial" w:cs="Arial" w:eastAsia="Arial" w:hAnsi="Arial"/>
          <w:sz w:val="14"/>
          <w:szCs w:val="14"/>
          <w:color w:val="auto"/>
        </w:rPr>
        <w:t>We operate as a Delaware public benefit corporation, and, therefore, our operational decision-making goes beyond solely maximizing shareholder value. Our public benefit purpose, as provided in our certificate of incorporation, is harnessing, while protecting, nature’s resources for the betterment of the world and its habitants by creating ethical, sustainable, better-for-you beverages and consumer products that not only uplift our communities, but that do right by our planet. Furthermore, in order to advance the best interests of those materially affected by the corporation’s conduct, it is intended that our business and operations create a material positive impact on society, taken as a whole.</w:t>
      </w:r>
    </w:p>
    <w:p>
      <w:pPr>
        <w:spacing w:after="0" w:line="167" w:lineRule="exact"/>
        <w:rPr>
          <w:sz w:val="20"/>
          <w:szCs w:val="20"/>
          <w:color w:val="auto"/>
        </w:rPr>
      </w:pPr>
    </w:p>
    <w:p>
      <w:pPr>
        <w:jc w:val="both"/>
        <w:ind w:right="220" w:firstLine="509"/>
        <w:spacing w:after="0" w:line="243" w:lineRule="auto"/>
        <w:rPr>
          <w:sz w:val="20"/>
          <w:szCs w:val="20"/>
          <w:color w:val="auto"/>
        </w:rPr>
      </w:pPr>
      <w:r>
        <w:rPr>
          <w:rFonts w:ascii="Arial" w:cs="Arial" w:eastAsia="Arial" w:hAnsi="Arial"/>
          <w:sz w:val="14"/>
          <w:szCs w:val="14"/>
          <w:color w:val="auto"/>
        </w:rPr>
        <w:t>In March 2022, The Vita Coco Company, Inc. announced it was designated as a Certified B Corporation, a certification reserved for businesses that balance profit and purpose to meet the highest verified standards of social and environmental performance, public transparency and legal accountability. Through achieving Certified B Corporation status, The Vita Coco Company, Inc. joined its subsidiary, All Market Europe Ltd, a United Kingdom company, which had previously achieved B Corporation status.</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4"/>
          <w:szCs w:val="14"/>
          <w:color w:val="auto"/>
        </w:rPr>
        <w:t>We believe that we bring our products to market through a responsibly designed supply chain, and provide our farmers and manufacturers the partnership, investment, and training they need to not only reduce waste and environmental impact, but also bring income and opportunity to their local communities. In 2014, we created the Vita Coco Project to support and empower our coconut farming communities by encouraging innovative farming practices, improving education resources, and scaling our business to promote economic prosperity. With our “Give, Grow, Guide” philosophy we seek to contribute to educational programs and facilities by supporting initiatives to build new classrooms and fund scholarships, with a goal to impact the lives of people in these communities. Additionally, we attempt to partner with other third-party organizations that share and advance our ideals, including fair trade, accessible nutrition and wellness, and environmental responsibility.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believe this purpose-driven approach has aided our growth as it is strategically aligned with the beliefs of our global consumer base and has improved our supplier relationships.</w:t>
      </w:r>
    </w:p>
    <w:p>
      <w:pPr>
        <w:spacing w:after="0" w:line="201" w:lineRule="exact"/>
        <w:rPr>
          <w:sz w:val="20"/>
          <w:szCs w:val="20"/>
          <w:color w:val="auto"/>
        </w:rPr>
      </w:pPr>
    </w:p>
    <w:p>
      <w:pPr>
        <w:ind w:right="80" w:firstLine="509"/>
        <w:spacing w:after="0" w:line="251" w:lineRule="auto"/>
        <w:rPr>
          <w:sz w:val="20"/>
          <w:szCs w:val="20"/>
          <w:color w:val="auto"/>
        </w:rPr>
      </w:pPr>
      <w:r>
        <w:rPr>
          <w:rFonts w:ascii="Arial" w:cs="Arial" w:eastAsia="Arial" w:hAnsi="Arial"/>
          <w:sz w:val="14"/>
          <w:szCs w:val="14"/>
          <w:color w:val="auto"/>
        </w:rPr>
        <w:t>Since 2022, we have published an annual Impact Report to evaluate and communicate the environmental and social impacts of our business. As a public benefit corporation, we are required by Delaware law to provide a biennial statement on our promotion of the public benefits identified in our certificate of incorporation and of the best interests of those materially affected by the corporation's conduct. We intend to use the Impact Report to be issued later this year as such biennial statement.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93" w:lineRule="exact"/>
        <w:rPr>
          <w:sz w:val="20"/>
          <w:szCs w:val="20"/>
          <w:color w:val="auto"/>
        </w:rPr>
      </w:pPr>
    </w:p>
    <w:p>
      <w:pPr>
        <w:ind w:right="440" w:firstLine="509"/>
        <w:spacing w:after="0" w:line="265" w:lineRule="auto"/>
        <w:rPr>
          <w:sz w:val="20"/>
          <w:szCs w:val="20"/>
          <w:color w:val="auto"/>
        </w:rPr>
      </w:pPr>
      <w:r>
        <w:rPr>
          <w:rFonts w:ascii="Arial" w:cs="Arial" w:eastAsia="Arial" w:hAnsi="Arial"/>
          <w:sz w:val="14"/>
          <w:szCs w:val="14"/>
          <w:color w:val="auto"/>
        </w:rPr>
        <w:t>As of December 31, 2022, we had 269 full-time employees. Of these employees, 202 were employed in the United States. None of these employees are represented by labor unions or covered by collective bargaining agreements. We have never experienced a labor-related work stoppage.</w:t>
      </w:r>
    </w:p>
    <w:p>
      <w:pPr>
        <w:spacing w:after="0" w:line="154" w:lineRule="exact"/>
        <w:rPr>
          <w:sz w:val="20"/>
          <w:szCs w:val="20"/>
          <w:color w:val="auto"/>
        </w:rPr>
      </w:pPr>
    </w:p>
    <w:p>
      <w:pPr>
        <w:ind w:right="20" w:firstLine="509"/>
        <w:spacing w:after="0" w:line="239" w:lineRule="auto"/>
        <w:rPr>
          <w:sz w:val="20"/>
          <w:szCs w:val="20"/>
          <w:color w:val="auto"/>
        </w:rPr>
      </w:pPr>
      <w:r>
        <w:rPr>
          <w:rFonts w:ascii="Arial" w:cs="Arial" w:eastAsia="Arial" w:hAnsi="Arial"/>
          <w:sz w:val="14"/>
          <w:szCs w:val="14"/>
          <w:color w:val="auto"/>
        </w:rPr>
        <w:t>Our people are at the heart of our business. Our Board of Directors provides oversight of the policies and procedures in place that relate to talent, leadership and culture, and compensation plans for our Executive Chairman and Chief Executive Officer. The Compensation Committee evaluates and approves the compensation plans related to our executive officers. In 2022, we received a Great Place to Work Certification from the Great Place to Work Institute based on the ratings of our employees. We believe that we have been able to attract diverse and highly engaged employees who share our belief in our mission and further promote our inclusive company culture. To monitor the health of our human capital resources, we track turnover, perform exit interviews, conduct periodic employee surveys, hold quarterly town halls with open question and answer sessions, and conduct performance reviews and build development plans to assist each employee achieve their potential. Based on exit interviews and employee surveys, we identify opportunities for improvement in our processes and track our employee engagement levels. At the time of our IPO and again in the first quarter of 2023, we awarded all full-time global employees an equity grant with vesting based on continued employment in order to motivate retention and align our employees with our other shareholders.</w:t>
      </w:r>
    </w:p>
    <w:p>
      <w:pPr>
        <w:spacing w:after="0" w:line="17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3"/>
          <w:szCs w:val="13"/>
          <w:color w:val="auto"/>
        </w:rPr>
        <w:t>We promote and value a diverse, equitable and inclusive culture for our employees. In 2020, our employees formed a Diversity and Inclusivity Committee which has worked to celebrate all our employees, educate and recommend improvements to our processes to enhance our organization and our culture. As of December 31, 2022, approximately 47% of our employees identified as female, 51% identified as male, and 1% did not disclose their gender identity. In addition, at the end of 2022, 40% of our employees identified as Black, Indigenous and/or People of Color or two or more races, 52% identified as white, and 8% did not disclose their race. We strive to reflect the diverse identities and cultures of our consumers.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51" w:lineRule="exact"/>
        <w:rPr>
          <w:sz w:val="20"/>
          <w:szCs w:val="20"/>
          <w:color w:val="auto"/>
        </w:rPr>
      </w:pPr>
    </w:p>
    <w:p>
      <w:pPr>
        <w:ind w:right="340" w:firstLine="509"/>
        <w:spacing w:after="0" w:line="236" w:lineRule="auto"/>
        <w:rPr>
          <w:sz w:val="20"/>
          <w:szCs w:val="20"/>
          <w:color w:val="auto"/>
        </w:rPr>
      </w:pPr>
      <w:r>
        <w:rPr>
          <w:rFonts w:ascii="Arial" w:cs="Arial" w:eastAsia="Arial" w:hAnsi="Arial"/>
          <w:sz w:val="14"/>
          <w:szCs w:val="14"/>
          <w:color w:val="auto"/>
        </w:rPr>
        <w:t>The Vita Coco Company, Inc., formerly known as All Market Inc., was incorporated in Delaware as a corporation in January 2007 and as a public benefit corporation in April 2021. We completed an initial public offering of our common stock in October 2021.</w:t>
      </w:r>
    </w:p>
    <w:p>
      <w:pPr>
        <w:spacing w:after="0" w:line="140" w:lineRule="exact"/>
        <w:rPr>
          <w:sz w:val="20"/>
          <w:szCs w:val="20"/>
          <w:color w:val="auto"/>
        </w:rPr>
      </w:pPr>
    </w:p>
    <w:p>
      <w:pPr>
        <w:ind w:firstLine="509"/>
        <w:spacing w:after="0" w:line="252" w:lineRule="auto"/>
        <w:rPr>
          <w:sz w:val="20"/>
          <w:szCs w:val="20"/>
          <w:color w:val="auto"/>
        </w:rPr>
      </w:pPr>
      <w:r>
        <w:rPr>
          <w:rFonts w:ascii="Arial" w:cs="Arial" w:eastAsia="Arial" w:hAnsi="Arial"/>
          <w:sz w:val="12"/>
          <w:szCs w:val="12"/>
          <w:color w:val="auto"/>
        </w:rPr>
        <w:t>Our website is www.thevitacococompany.com. At our Investor Relations website, investors.thevitacococompany.com,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Securities and Exchange Commission (the "SEC"). The information found on our website is not part of this or any other report we file with, 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furnish to, the SEC.</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Our business involves a high degree of risk. You should carefully consider the risks and uncertainties described below, together with all of the other information in this Annual Report on</w:t>
      </w:r>
    </w:p>
    <w:p>
      <w:pPr>
        <w:spacing w:after="0" w:line="11"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i w:val="1"/>
          <w:iCs w:val="1"/>
          <w:color w:val="auto"/>
        </w:rPr>
        <w:t>Form 10-K. This section contains forward-looking statements. You should refer to the explanation of the qualifications and limitations on forward-looking statements set forth below the Summary Risk Factors of this Annual Report on Form 10-K. The risks and uncertainties described below are not the only ones we face. Additional risk and uncertainties not presently known to us or that we currently deem immaterial may also become important factors that adversely affect our business. The realization of any of these risks and uncertainties could have a material adverse effect on our</w:t>
      </w:r>
    </w:p>
    <w:p>
      <w:pPr>
        <w:ind w:right="40"/>
        <w:spacing w:after="0" w:line="228" w:lineRule="auto"/>
        <w:rPr>
          <w:sz w:val="20"/>
          <w:szCs w:val="20"/>
          <w:color w:val="auto"/>
        </w:rPr>
      </w:pPr>
      <w:r>
        <w:rPr>
          <w:rFonts w:ascii="Arial" w:cs="Arial" w:eastAsia="Arial" w:hAnsi="Arial"/>
          <w:sz w:val="14"/>
          <w:szCs w:val="14"/>
          <w:i w:val="1"/>
          <w:iCs w:val="1"/>
          <w:color w:val="auto"/>
        </w:rPr>
        <w:t>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200" w:lineRule="exact"/>
        <w:rPr>
          <w:sz w:val="20"/>
          <w:szCs w:val="20"/>
          <w:color w:val="auto"/>
        </w:rPr>
      </w:pPr>
    </w:p>
    <w:p>
      <w:pPr>
        <w:spacing w:after="0" w:line="237"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b w:val="1"/>
          <w:bCs w:val="1"/>
          <w:i w:val="1"/>
          <w:iCs w:val="1"/>
          <w:color w:val="auto"/>
        </w:rPr>
        <w:t>Sales of our coconut water products constitute a significant portion of our revenue, and a reduction in demand for our coconut water products or a decrease in consumer demand for coconut water generally would have an adverse effect on our financial condition.</w:t>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Our coconut water accounted for approximately 91% of our revenue for the year ended December 31, 2022. We believe that sales of our coconut water will continue to constitute a</w:t>
      </w:r>
    </w:p>
    <w:p>
      <w:pPr>
        <w:ind w:right="100"/>
        <w:spacing w:after="0" w:line="228" w:lineRule="auto"/>
        <w:rPr>
          <w:sz w:val="20"/>
          <w:szCs w:val="20"/>
          <w:color w:val="auto"/>
        </w:rPr>
      </w:pPr>
      <w:r>
        <w:rPr>
          <w:rFonts w:ascii="Arial" w:cs="Arial" w:eastAsia="Arial" w:hAnsi="Arial"/>
          <w:sz w:val="14"/>
          <w:szCs w:val="14"/>
          <w:color w:val="auto"/>
        </w:rPr>
        <w:t>significant portion of our revenue, income and cash flow for the foreseeable future. Any material negative change to consumer demand for our products or coconut water generally or failure to grow the coconut water category could materially and adversely affect our business, financial</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condition, results of operations and cash flows. We are also subject to the risk of overly relying upon a few large customers (whether serviced directly or through distributors) in a particular market due to the concentration that exists in retail ownership in our key markets. We cannot be certain that consumer and retail customer demand for our other existing and future products will expand to</w:t>
      </w:r>
    </w:p>
    <w:p>
      <w:pPr>
        <w:spacing w:after="0" w:line="1"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reduce this reliance on coconut water and allow such products to represent a larger percentage of our revenue than they do currently. Accordingly, any factor adversely affecting demand or sales of our coconut water or coconut water generally could have a material adverse effect on our business, financial condition,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encounter problems with our supply chain and continued inflation, our costs may increase and our or our customers’ ability to deliver our products to market could be adversely affected.</w:t>
      </w:r>
    </w:p>
    <w:p>
      <w:pPr>
        <w:spacing w:after="0" w:line="212" w:lineRule="exact"/>
        <w:rPr>
          <w:sz w:val="20"/>
          <w:szCs w:val="20"/>
          <w:color w:val="auto"/>
        </w:rPr>
      </w:pPr>
    </w:p>
    <w:p>
      <w:pPr>
        <w:jc w:val="both"/>
        <w:ind w:right="60" w:firstLine="509"/>
        <w:spacing w:after="0" w:line="226" w:lineRule="auto"/>
        <w:rPr>
          <w:sz w:val="20"/>
          <w:szCs w:val="20"/>
          <w:color w:val="auto"/>
        </w:rPr>
      </w:pPr>
      <w:r>
        <w:rPr>
          <w:rFonts w:ascii="Arial" w:cs="Arial" w:eastAsia="Arial" w:hAnsi="Arial"/>
          <w:sz w:val="14"/>
          <w:szCs w:val="14"/>
          <w:color w:val="auto"/>
        </w:rPr>
        <w:t>We do not own warehouses or fulfillment centers, but rather outsource to independent warehousing and fulfillment service providers in the United States, United Kingdom, France and from time to time other countries, to receive, store, stage, repack, fulfill and load our products for shipment. We also source ocean shipping containers and capacity from major shipping lines and brokers, and source third-party transportation providers for land-based transportation based on market conditions.</w:t>
      </w:r>
    </w:p>
    <w:p>
      <w:pPr>
        <w:spacing w:after="0" w:line="161" w:lineRule="exact"/>
        <w:rPr>
          <w:sz w:val="20"/>
          <w:szCs w:val="20"/>
          <w:color w:val="auto"/>
        </w:rPr>
      </w:pPr>
    </w:p>
    <w:p>
      <w:pPr>
        <w:ind w:right="20" w:firstLine="509"/>
        <w:spacing w:after="0" w:line="279" w:lineRule="auto"/>
        <w:rPr>
          <w:sz w:val="20"/>
          <w:szCs w:val="20"/>
          <w:color w:val="auto"/>
        </w:rPr>
      </w:pPr>
      <w:r>
        <w:rPr>
          <w:rFonts w:ascii="Arial" w:cs="Arial" w:eastAsia="Arial" w:hAnsi="Arial"/>
          <w:sz w:val="12"/>
          <w:szCs w:val="12"/>
          <w:color w:val="auto"/>
        </w:rPr>
        <w:t>Our shipping partners transport our products from the country of origin or from our domestic co-packing partners, which are then received by, and subsequently distributed from the third party warehousing and fulfillment service providers to our distributors and retail-direct customers by transportation partners or customer pickup. We depend in large part on the orderly operation of this receiving and distribution process, which depends, in turn, on timely arrival of product from ports or co-packers, availability of outbound and inbound shipping, real-time tracking information on our products, and effective operations at the warehouses/distribution centers and the ports through which our product flows. Any increase in transportation costs (including increases in fuel costs), increased shipping costs, increased warehouse costs, issues with overseas shipments or port or supplier-side delays, reductions in the transportation capacity of carriers, labor strikes or shortages in the transportation industry, disruptions to the national and international transportation infrastructure, decreased warehouse availability and unexpected delivery interruptions or delays may increase the cost of, and adversely impact, our logistics, and our ability to provide quality and timely service to our distributor or retail-direct customers. In 2021 and 2022, we experienced cost inflation</w:t>
      </w:r>
    </w:p>
    <w:p>
      <w:pPr>
        <w:spacing w:after="0" w:line="2"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relating to global shipping costs and some inflationary pressures on other related transportation costs, such as demurrage, port fees and drayage, and domestic transportation, and the size of these cost increases. While we have seen some moderation of these cost pressures and disruptions late in 2022, we expect to see ongoing cost and supply challenges continue in 2023, including the costs of storing increased inventory. We cannot predict how long these cost pressures will last or how they will continue to impact our supply chain environment and business.</w:t>
      </w:r>
    </w:p>
    <w:p>
      <w:pPr>
        <w:spacing w:after="0" w:line="14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2"/>
          <w:szCs w:val="12"/>
          <w:color w:val="auto"/>
        </w:rPr>
        <w:t>In addition, if we change the warehouse, fulfillment, shipping or transportation companies we use, we could face logistical difficulties that could adversely affect deliveries and we could incur costs and expend resources in connection with such change. We also may not be able to obtain terms as favorable as those received from the third-party warehouse, fulfilment, shipping and</w:t>
      </w:r>
    </w:p>
    <w:p>
      <w:pPr>
        <w:spacing w:after="0" w:line="1" w:lineRule="exact"/>
        <w:rPr>
          <w:sz w:val="20"/>
          <w:szCs w:val="20"/>
          <w:color w:val="auto"/>
        </w:rPr>
      </w:pPr>
    </w:p>
    <w:p>
      <w:pPr>
        <w:jc w:val="both"/>
        <w:ind w:right="80"/>
        <w:spacing w:after="0" w:line="220" w:lineRule="auto"/>
        <w:rPr>
          <w:sz w:val="20"/>
          <w:szCs w:val="20"/>
          <w:color w:val="auto"/>
        </w:rPr>
      </w:pPr>
      <w:r>
        <w:rPr>
          <w:rFonts w:ascii="Arial" w:cs="Arial" w:eastAsia="Arial" w:hAnsi="Arial"/>
          <w:sz w:val="14"/>
          <w:szCs w:val="14"/>
          <w:color w:val="auto"/>
        </w:rPr>
        <w:t>transportation providers we currently use, which could increase our costs. We also may not adequately anticipate changing demands on our distribution system, including the effect of any expansion we may need to implement in the capacity, the number or the location of our warehouses/fulfillment centers to meet increased complexity or demand. Any of these factors could cause interruptions and delays in delivery or result in increased costs.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Additionally, events beyond our control, such as disruptions in operations due to natural or man-made disasters, inclement weather conditions, accidents, system failures, power outages,</w:t>
      </w:r>
    </w:p>
    <w:p>
      <w:pPr>
        <w:spacing w:after="0" w:line="11"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political instability, physical or cyber break-ins, server failure, work stoppages, slowdowns or strikes by employees, acts of terrorism, the outbreak of viruses, widespread illness, infectious diseases, contagions and the occurrence of unforeseen epidemics (such as the outbreak of the COVID-19 pandemic and its potential impact on supply chain and our financial results) and other unforeseen or catastrophic events, could damage the facilities of our warehousing and fulfillment service providers or render them inoperable, or effect the flow of product to and from these centers, or impact our</w:t>
      </w:r>
    </w:p>
    <w:p>
      <w:pPr>
        <w:ind w:right="360"/>
        <w:spacing w:after="0" w:line="220" w:lineRule="auto"/>
        <w:rPr>
          <w:sz w:val="20"/>
          <w:szCs w:val="20"/>
          <w:color w:val="auto"/>
        </w:rPr>
      </w:pPr>
      <w:r>
        <w:rPr>
          <w:rFonts w:ascii="Arial" w:cs="Arial" w:eastAsia="Arial" w:hAnsi="Arial"/>
          <w:sz w:val="14"/>
          <w:szCs w:val="14"/>
          <w:color w:val="auto"/>
        </w:rPr>
        <w:t>ability to manage our partners, making it difficult or impossible for us to process customer or consumer orders for an extended period of time. We could also incur significantly higher costs and longer lead times associated with distributing inventory during the time it takes for our third party providers to reopen, replace or bring the capacity back to normal levels for their warehouses/fulfillment centers and logistics capabilities after a disruption.</w:t>
      </w:r>
    </w:p>
    <w:p>
      <w:pPr>
        <w:spacing w:after="0" w:line="13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2"/>
          <w:szCs w:val="12"/>
          <w:color w:val="auto"/>
        </w:rPr>
        <w:t>The inability to fulfill, or any delays in processing, customer or consumer orders from the warehousing/fulfillment centers of our providers or any quality issues could result in the loss of consumers, retail partners or distributors, or the issuances of penalties, refunds or credits, and may also adversely affect our reputation. The success of our retail or distribution partners depends on their timely receipt of products for sale and any repeated, intermittent or long-term disruption in, or failures of, the operations of the warehouses/fulfillment centers of our partners could result in</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lower sales and profitability, a loss of loyalty to our products and excess inventory. The insurance we maintain for business interruption may not cover all risk, or be sufficient to cover all of our potential losses, and may not continue to be available to us on acceptable terms, if at all, and any insurance proceeds may not be paid to us in a timely manner. Additionally, we will need to continue to update and expand our systems to manage these warehouse/fulfillment centers and related systems to support our business growth and increasing complexity, which may require significant</w:t>
      </w:r>
    </w:p>
    <w:p>
      <w:pPr>
        <w:ind w:right="340"/>
        <w:spacing w:after="0" w:line="228" w:lineRule="auto"/>
        <w:rPr>
          <w:sz w:val="20"/>
          <w:szCs w:val="20"/>
          <w:color w:val="auto"/>
        </w:rPr>
      </w:pPr>
      <w:r>
        <w:rPr>
          <w:rFonts w:ascii="Arial" w:cs="Arial" w:eastAsia="Arial" w:hAnsi="Arial"/>
          <w:sz w:val="14"/>
          <w:szCs w:val="14"/>
          <w:color w:val="auto"/>
        </w:rPr>
        <w:t>amounts of capital and maintenance and creates others risks, including those related to cyber security and system availability, as discussed in “Risks Related to Our Information Technology and Intellectual Property.”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In addition, in recent years, and last year due to the ongoing conflict between Russia and Ukraine, volatility in the global oil markets has resulted in higher fuel prices, which many shipping companies have passed on to their customers by way of higher base pricing and increased fuel surcharges. During this time, shortages of capacity in shipping occurred due to economic, weather and</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pandemic effects, which have affected the smooth flow of our supply chain and increased transportation costs and decreased reliability. In particular, the increase in demand for shipping services during the COVID-19 pandemic significantly increased shipping costs such that spot rates were at times multiples of contracted rates, and limited container availability delayed shipment of product. Additionally, port congestion increased transit times and delayed timely arrival and unloading of containers. If fuel prices, transportation costs and inflation were to increase again, we could</w:t>
      </w:r>
    </w:p>
    <w:p>
      <w:pPr>
        <w:spacing w:after="0" w:line="246" w:lineRule="auto"/>
        <w:rPr>
          <w:sz w:val="20"/>
          <w:szCs w:val="20"/>
          <w:color w:val="auto"/>
        </w:rPr>
      </w:pPr>
      <w:r>
        <w:rPr>
          <w:rFonts w:ascii="Arial" w:cs="Arial" w:eastAsia="Arial" w:hAnsi="Arial"/>
          <w:sz w:val="12"/>
          <w:szCs w:val="12"/>
          <w:color w:val="auto"/>
        </w:rPr>
        <w:t>experience higher shipping rates and fuel surcharges, as well as surcharges on our raw materials and packaging. It is hard to predict where rates and capacity, which have improved over the peak levels seen in 2022, will be in the future and what long-term rates could be, and when economic effects will normalize. A significant part of our business relies on shipping prepackaged coconut water from sourcing countries to our countries of sale so we are very dependent on shipping container prices and service levels. Due to the price sensitivity of our products, we may not be able to pass such</w:t>
      </w:r>
    </w:p>
    <w:p>
      <w:pPr>
        <w:spacing w:after="0"/>
        <w:rPr>
          <w:sz w:val="20"/>
          <w:szCs w:val="20"/>
          <w:color w:val="auto"/>
        </w:rPr>
      </w:pPr>
      <w:r>
        <w:rPr>
          <w:rFonts w:ascii="Arial" w:cs="Arial" w:eastAsia="Arial" w:hAnsi="Arial"/>
          <w:sz w:val="14"/>
          <w:szCs w:val="14"/>
          <w:color w:val="auto"/>
        </w:rPr>
        <w:t>increases on to our customers.</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i w:val="1"/>
          <w:iCs w:val="1"/>
          <w:color w:val="auto"/>
        </w:rPr>
        <w:t>We are dependent on our third party manufacturing and co-packing partners, and if we fail to maintain our relationship with such third party partners, or such third parties are unable to fulfill their obligations, our business could be harmed.</w:t>
      </w:r>
    </w:p>
    <w:p>
      <w:pPr>
        <w:spacing w:after="0" w:line="55" w:lineRule="exact"/>
        <w:rPr>
          <w:sz w:val="20"/>
          <w:szCs w:val="20"/>
          <w:color w:val="auto"/>
        </w:rPr>
      </w:pPr>
    </w:p>
    <w:p>
      <w:pPr>
        <w:ind w:right="60" w:firstLine="509"/>
        <w:spacing w:after="0" w:line="252" w:lineRule="auto"/>
        <w:rPr>
          <w:sz w:val="20"/>
          <w:szCs w:val="20"/>
          <w:color w:val="auto"/>
        </w:rPr>
      </w:pPr>
      <w:r>
        <w:rPr>
          <w:rFonts w:ascii="Arial" w:cs="Arial" w:eastAsia="Arial" w:hAnsi="Arial"/>
          <w:sz w:val="12"/>
          <w:szCs w:val="12"/>
          <w:color w:val="auto"/>
        </w:rPr>
        <w:t>We do not manufacture our products directly but instead outsource the manufacturing and production to our manufacturing and co-packing partners whom we rely on to provide us with quality products in substantial quantities and on a timely basis. Our success is dependent upon our ability to maintain our relationships with existing manufacturers and co-packers and enter into new manufacturing arrangements in the future. We have agreements with our existing manufacturers, many of which are terminable under certain conditions, including in some cases without cause. If our</w:t>
      </w:r>
    </w:p>
    <w:p>
      <w:pPr>
        <w:spacing w:after="0" w:line="2" w:lineRule="exact"/>
        <w:rPr>
          <w:sz w:val="20"/>
          <w:szCs w:val="20"/>
          <w:color w:val="auto"/>
        </w:rPr>
      </w:pPr>
    </w:p>
    <w:p>
      <w:pPr>
        <w:jc w:val="both"/>
        <w:ind w:right="120"/>
        <w:spacing w:after="0" w:line="246" w:lineRule="auto"/>
        <w:rPr>
          <w:sz w:val="20"/>
          <w:szCs w:val="20"/>
          <w:color w:val="auto"/>
        </w:rPr>
      </w:pPr>
      <w:r>
        <w:rPr>
          <w:rFonts w:ascii="Arial" w:cs="Arial" w:eastAsia="Arial" w:hAnsi="Arial"/>
          <w:sz w:val="12"/>
          <w:szCs w:val="12"/>
          <w:color w:val="auto"/>
        </w:rPr>
        <w:t>manufacturers and co-packers become unable to provide, deprioritize production of, or experience delays in providing, our products, or if the agreements we have in place are terminated, our ability to obtain a sufficient selection or volume of merchandise at acceptable prices and on a timely basis could suffer. Additionally, if we do not use capacity that we are contracted for or that is otherwise available to us, our suppliers may choose to supply competitors or to compete more aggressively in private label supply, either of which could have an adverse effect on our business. Our ability to</w:t>
      </w:r>
    </w:p>
    <w:p>
      <w:pPr>
        <w:ind w:right="240"/>
        <w:spacing w:after="0" w:line="228" w:lineRule="auto"/>
        <w:rPr>
          <w:sz w:val="20"/>
          <w:szCs w:val="20"/>
          <w:color w:val="auto"/>
        </w:rPr>
      </w:pPr>
      <w:r>
        <w:rPr>
          <w:rFonts w:ascii="Arial" w:cs="Arial" w:eastAsia="Arial" w:hAnsi="Arial"/>
          <w:sz w:val="14"/>
          <w:szCs w:val="14"/>
          <w:color w:val="auto"/>
        </w:rPr>
        <w:t>maintain effective relationships with our manufacturing partners for the sourcing of raw materials from local suppliers, and the manufacture and production of our products by such manufacturing partners and as well as our co-packing partners is important to the success of our operations within each market and globally.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we need to replace an existing manufacturing partner due to bankruptcy or insolvency, lack of adequate supply, failure to comply with our product specifications, performance against our</w:t>
      </w:r>
    </w:p>
    <w:p>
      <w:pPr>
        <w:spacing w:after="0" w:line="11" w:lineRule="exact"/>
        <w:rPr>
          <w:sz w:val="20"/>
          <w:szCs w:val="20"/>
          <w:color w:val="auto"/>
        </w:rPr>
      </w:pPr>
    </w:p>
    <w:p>
      <w:pPr>
        <w:ind w:right="140"/>
        <w:spacing w:after="0" w:line="246" w:lineRule="auto"/>
        <w:rPr>
          <w:sz w:val="20"/>
          <w:szCs w:val="20"/>
          <w:color w:val="auto"/>
        </w:rPr>
      </w:pPr>
      <w:r>
        <w:rPr>
          <w:rFonts w:ascii="Arial" w:cs="Arial" w:eastAsia="Arial" w:hAnsi="Arial"/>
          <w:sz w:val="12"/>
          <w:szCs w:val="12"/>
          <w:color w:val="auto"/>
        </w:rPr>
        <w:t>contracts and our demands, disagreements or any other reason, there can be no assurance that we will find alternative manufacturing partners with access to adequate supplies of raw materials when required on acceptable terms or at all, or that a new manufacturing partner would allocate sufficient capacity to us in order to meet our requirements or fill our orders in a timely manner. Finding a new manufacturing partner may take a significant amount of time and resources, and once we have identified such new manufacturing partner, we would have to ensure that they meet our standards</w:t>
      </w:r>
    </w:p>
    <w:p>
      <w:pPr>
        <w:ind w:right="260"/>
        <w:spacing w:after="0" w:line="246" w:lineRule="auto"/>
        <w:rPr>
          <w:sz w:val="20"/>
          <w:szCs w:val="20"/>
          <w:color w:val="auto"/>
        </w:rPr>
      </w:pPr>
      <w:r>
        <w:rPr>
          <w:rFonts w:ascii="Arial" w:cs="Arial" w:eastAsia="Arial" w:hAnsi="Arial"/>
          <w:sz w:val="12"/>
          <w:szCs w:val="12"/>
          <w:color w:val="auto"/>
        </w:rPr>
        <w:t>for quality control and have the necessary capabilities, responsiveness, high-quality service and financial stability, among other things, as well as have satisfactory labor, sustainability and ethical practices that align with our values and mission. We may need to assist that manufacturing partner in purchasing and installing packaging and processing capability which may further delay and increase the financial costs of including them in our supply network and increase the financial risk of that relationship. Although we do not rely on our co-packing partners for the sourcing of raw</w:t>
      </w:r>
    </w:p>
    <w:p>
      <w:pPr>
        <w:ind w:right="240"/>
        <w:spacing w:after="0" w:line="251" w:lineRule="auto"/>
        <w:rPr>
          <w:sz w:val="20"/>
          <w:szCs w:val="20"/>
          <w:color w:val="auto"/>
        </w:rPr>
      </w:pPr>
      <w:r>
        <w:rPr>
          <w:rFonts w:ascii="Arial" w:cs="Arial" w:eastAsia="Arial" w:hAnsi="Arial"/>
          <w:sz w:val="13"/>
          <w:szCs w:val="13"/>
          <w:color w:val="auto"/>
        </w:rPr>
        <w:t>materials, we face similar risks related to the operations and quality of services provided by such partners. If we are unable to manage our supply chain effectively and ensure that our products are available to meet consumer demand, our sales might decrease, and our business, financial condition, results of operations and cash flows may be materially adversely affected.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in the past sought, and from time to time in the future may seek, to amend the terms of our agreements to secure additional capacity or address urgent supply needs, and we cannot</w:t>
      </w:r>
    </w:p>
    <w:p>
      <w:pPr>
        <w:spacing w:after="0" w:line="23" w:lineRule="exact"/>
        <w:rPr>
          <w:sz w:val="20"/>
          <w:szCs w:val="20"/>
          <w:color w:val="auto"/>
        </w:rPr>
      </w:pPr>
    </w:p>
    <w:p>
      <w:pPr>
        <w:jc w:val="both"/>
        <w:ind w:right="320"/>
        <w:spacing w:after="0" w:line="265" w:lineRule="auto"/>
        <w:rPr>
          <w:sz w:val="20"/>
          <w:szCs w:val="20"/>
          <w:color w:val="auto"/>
        </w:rPr>
      </w:pPr>
      <w:r>
        <w:rPr>
          <w:rFonts w:ascii="Arial" w:cs="Arial" w:eastAsia="Arial" w:hAnsi="Arial"/>
          <w:sz w:val="12"/>
          <w:szCs w:val="12"/>
          <w:color w:val="auto"/>
        </w:rPr>
        <w:t>guarantee that we will be able to maintain or achieve satisfactory economic terms with our existing partners. In addition, our manufacturing and co-packing partners may not have the capacity to supply us with sufficient merchandise to keep pace with our growth plans, especially if we need significantly greater amounts of production capacity on short notice. In such cases, our ability to pursue our growth strategy will depend in part upon our ability to develop new supplier and manufacturing relationships and onboard them in a timely manner to meet our expected demand.</w:t>
      </w:r>
    </w:p>
    <w:p>
      <w:pPr>
        <w:spacing w:after="0" w:line="146" w:lineRule="exact"/>
        <w:rPr>
          <w:sz w:val="20"/>
          <w:szCs w:val="20"/>
          <w:color w:val="auto"/>
        </w:rPr>
      </w:pPr>
    </w:p>
    <w:p>
      <w:pPr>
        <w:ind w:right="20" w:firstLine="509"/>
        <w:spacing w:after="0" w:line="249" w:lineRule="auto"/>
        <w:rPr>
          <w:sz w:val="20"/>
          <w:szCs w:val="20"/>
          <w:color w:val="auto"/>
        </w:rPr>
      </w:pPr>
      <w:r>
        <w:rPr>
          <w:rFonts w:ascii="Arial" w:cs="Arial" w:eastAsia="Arial" w:hAnsi="Arial"/>
          <w:sz w:val="12"/>
          <w:szCs w:val="12"/>
          <w:color w:val="auto"/>
        </w:rPr>
        <w:t>Additionally, a natural disaster, fire, power interruption, work stoppage, labor matters (including illness or absenteeism in workforce) or other calamity at the facilities of our manufacturing and co-packing partners and any combination thereof would significantly disrupt our ability to deliver our products and operate our business. In the future, we expect that these partners may experience plant shutdowns or periods of reduced production because of regulatory issues, equipment failure, loss of certifications, employee-related incidents that result in harm or death, delays in raw material deliveries or as a result of pandemics or related response measures or other similar natural emergencies. Any such disruption or unanticipated event may cause significant interruptions or</w:t>
      </w:r>
    </w:p>
    <w:p>
      <w:pPr>
        <w:spacing w:after="0" w:line="2" w:lineRule="exact"/>
        <w:rPr>
          <w:sz w:val="20"/>
          <w:szCs w:val="20"/>
          <w:color w:val="auto"/>
        </w:rPr>
      </w:pPr>
    </w:p>
    <w:p>
      <w:pPr>
        <w:ind w:right="40"/>
        <w:spacing w:after="0" w:line="220" w:lineRule="auto"/>
        <w:rPr>
          <w:sz w:val="20"/>
          <w:szCs w:val="20"/>
          <w:color w:val="auto"/>
        </w:rPr>
      </w:pPr>
      <w:r>
        <w:rPr>
          <w:rFonts w:ascii="Arial" w:cs="Arial" w:eastAsia="Arial" w:hAnsi="Arial"/>
          <w:sz w:val="14"/>
          <w:szCs w:val="14"/>
          <w:color w:val="auto"/>
        </w:rPr>
        <w:t>delays in our business and the reduction or loss of inventory may render us unable to fulfill customer orders in a timely manner, or at all, which could materially adversely affect our business, financial condition, results of operations and cash flows. During the COVID-19 pandemic, two of our manufacturing partners experienced government mandated temporary closures of their facilities, resulting in minor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680"/>
        <w:spacing w:after="0" w:line="236" w:lineRule="auto"/>
        <w:rPr>
          <w:sz w:val="20"/>
          <w:szCs w:val="20"/>
          <w:color w:val="auto"/>
        </w:rPr>
      </w:pPr>
      <w:r>
        <w:rPr>
          <w:rFonts w:ascii="Arial" w:cs="Arial" w:eastAsia="Arial" w:hAnsi="Arial"/>
          <w:sz w:val="14"/>
          <w:szCs w:val="14"/>
          <w:color w:val="auto"/>
        </w:rPr>
        <w:t>disruptions, but with no material impact to our business to date. There can be no assurance that there will not be additional closures or delays in the future as a result of pandemics or other disruptions.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cash flows and results of operations may be negatively affected if we are not successful in forecasting and managing our inventory at appropriate levels for our demand.</w:t>
      </w:r>
    </w:p>
    <w:p>
      <w:pPr>
        <w:spacing w:after="0" w:line="73" w:lineRule="exact"/>
        <w:rPr>
          <w:sz w:val="20"/>
          <w:szCs w:val="20"/>
          <w:color w:val="auto"/>
        </w:rPr>
      </w:pPr>
    </w:p>
    <w:p>
      <w:pPr>
        <w:ind w:right="80" w:firstLine="509"/>
        <w:spacing w:after="0" w:line="236" w:lineRule="auto"/>
        <w:rPr>
          <w:sz w:val="20"/>
          <w:szCs w:val="20"/>
          <w:color w:val="auto"/>
        </w:rPr>
      </w:pPr>
      <w:r>
        <w:rPr>
          <w:rFonts w:ascii="Arial" w:cs="Arial" w:eastAsia="Arial" w:hAnsi="Arial"/>
          <w:sz w:val="14"/>
          <w:szCs w:val="14"/>
          <w:color w:val="auto"/>
        </w:rPr>
        <w:t>Efficient inventory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w:t>
      </w:r>
    </w:p>
    <w:p>
      <w:pPr>
        <w:spacing w:after="0" w:line="246" w:lineRule="exact"/>
        <w:rPr>
          <w:sz w:val="20"/>
          <w:szCs w:val="20"/>
          <w:color w:val="auto"/>
        </w:rPr>
      </w:pPr>
    </w:p>
    <w:p>
      <w:pPr>
        <w:ind w:right="60" w:firstLine="509"/>
        <w:spacing w:after="0" w:line="252" w:lineRule="auto"/>
        <w:rPr>
          <w:sz w:val="20"/>
          <w:szCs w:val="20"/>
          <w:color w:val="auto"/>
        </w:rPr>
      </w:pPr>
      <w:r>
        <w:rPr>
          <w:rFonts w:ascii="Arial" w:cs="Arial" w:eastAsia="Arial" w:hAnsi="Arial"/>
          <w:sz w:val="12"/>
          <w:szCs w:val="12"/>
          <w:color w:val="auto"/>
        </w:rPr>
        <w:t>Our independent distributors and retail-direct customers are generally not required to place minimum monthly orders for our products beyond meeting a minimum delivery quantity for shipping. While we expect distributors to maintain on average two to four weeks of inventory to support their businesses and to cover any supply or service issues, there is no guarantee that they will do so and the appropriate inventory level for our customers varies seasonally. Distributors and retail-direct customers typically order products from us on a monthly basis, or with approximately one</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2"/>
          <w:szCs w:val="12"/>
          <w:color w:val="auto"/>
        </w:rPr>
        <w:t>or two weeks lead time, in quantities and at such times based on their expected demand for the products in a particular distribution area. Accordingly, we cannot predict the timing or quantity of purchases by our distributors and direct retail customers or whether any of these customers will continue to purchase products from us with the same frequency and at volumes consistent with their past practice or to maintain historic inventory levels. Additionally, our larger distributors and retail-direct customers may make orders that are larger than we can fill in the requested timeframe, and</w:t>
      </w:r>
    </w:p>
    <w:p>
      <w:pPr>
        <w:ind w:right="160"/>
        <w:spacing w:after="0" w:line="227" w:lineRule="auto"/>
        <w:rPr>
          <w:sz w:val="20"/>
          <w:szCs w:val="20"/>
          <w:color w:val="auto"/>
        </w:rPr>
      </w:pPr>
      <w:r>
        <w:rPr>
          <w:rFonts w:ascii="Arial" w:cs="Arial" w:eastAsia="Arial" w:hAnsi="Arial"/>
          <w:sz w:val="13"/>
          <w:szCs w:val="13"/>
          <w:color w:val="auto"/>
        </w:rPr>
        <w:t>such orders may roll into another period or be cancelled. For example, certain of our retailers may offer promotions including rebates and temporary price discounts on our products and we do not have control over the timing or frequency of these promotional activities. If we underestimate future demand for a particular product or do not respond quickly enough to replenish our best-performing products or do not forecast mix changes, or otherwise fail to adjust to fill customer orders, we may have a shortfall in inventory of such products, likely leading to unfulfilled orders and</w:t>
      </w:r>
    </w:p>
    <w:p>
      <w:pPr>
        <w:spacing w:after="0" w:line="220" w:lineRule="auto"/>
        <w:rPr>
          <w:sz w:val="20"/>
          <w:szCs w:val="20"/>
          <w:color w:val="auto"/>
        </w:rPr>
      </w:pPr>
      <w:r>
        <w:rPr>
          <w:rFonts w:ascii="Arial" w:cs="Arial" w:eastAsia="Arial" w:hAnsi="Arial"/>
          <w:sz w:val="14"/>
          <w:szCs w:val="14"/>
          <w:color w:val="auto"/>
        </w:rPr>
        <w:t>inventory shortages at our customers. Shortages in distributor inventory levels may result in poor service to retailers and lost retail sales, in turn negatively impacting our sales to distributor customers and harming our relationship. Shortages in inventory levels at our retail-direct customers may result in our products being out of stock on their retail shelves resulting in customer dissatisfaction, reduced revenue, difficulty in keeping shelf space and potentially damaging our relationship with our retail-direct customers.</w:t>
      </w:r>
    </w:p>
    <w:p>
      <w:pPr>
        <w:spacing w:after="0" w:line="161" w:lineRule="exact"/>
        <w:rPr>
          <w:sz w:val="20"/>
          <w:szCs w:val="20"/>
          <w:color w:val="auto"/>
        </w:rPr>
      </w:pPr>
    </w:p>
    <w:p>
      <w:pPr>
        <w:ind w:firstLine="509"/>
        <w:spacing w:after="0" w:line="252" w:lineRule="auto"/>
        <w:rPr>
          <w:sz w:val="20"/>
          <w:szCs w:val="20"/>
          <w:color w:val="auto"/>
        </w:rPr>
      </w:pPr>
      <w:r>
        <w:rPr>
          <w:rFonts w:ascii="Arial" w:cs="Arial" w:eastAsia="Arial" w:hAnsi="Arial"/>
          <w:sz w:val="12"/>
          <w:szCs w:val="12"/>
          <w:color w:val="auto"/>
        </w:rPr>
        <w:t>Our products have a limited shelf life, as it is normal for certain nutrition products and other ingredients to degrade over time, and our inventory may reach its expiration date and not be sold. We may decide to discontinue a product, and/or any new products we introduce may not gain market acceptance, which may result in returns by customers and excess inventory. In such cases, we may have to record write-downs, which may be significant. In addition, if we do not accurately predict customer trends or spending levels or if we inappropriately price products, we may have to take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unanticipated markdowns and discounts to dispose of obsolete, aged or excess inventory or record write-downs relating to the value of obsolete, aged or excess inventory.</w:t>
      </w:r>
    </w:p>
    <w:p>
      <w:pPr>
        <w:spacing w:after="0" w:line="15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Maintaining adequate inventory requires significant attention to and monitoring of market trends, local market demands, performance of our raw material suppliers and manufacturers and performance of our logistics suppliers and distributors, and it is not certain that we will be effective in collection of data and monitoring to enable efficient inventory management. Although we seek</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2"/>
          <w:szCs w:val="12"/>
          <w:color w:val="auto"/>
        </w:rPr>
        <w:t>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and can require planning as much as six months in advance to coordinate all materials for production. In addition, our inventory could be</w:t>
      </w:r>
    </w:p>
    <w:p>
      <w:pPr>
        <w:ind w:right="140"/>
        <w:spacing w:after="0" w:line="246" w:lineRule="auto"/>
        <w:rPr>
          <w:sz w:val="20"/>
          <w:szCs w:val="20"/>
          <w:color w:val="auto"/>
        </w:rPr>
      </w:pPr>
      <w:r>
        <w:rPr>
          <w:rFonts w:ascii="Arial" w:cs="Arial" w:eastAsia="Arial" w:hAnsi="Arial"/>
          <w:sz w:val="12"/>
          <w:szCs w:val="12"/>
          <w:color w:val="auto"/>
        </w:rPr>
        <w:t>damaged or destroyed, particularly in the event of any casualty or disruption to our warehouses/fulfilment centers or losses during ocean freight transit or outbound shipping. As we expand our operations, it may be more difficult to effectively manage our inventory as the complexity increases. In any cases where consumers might not have access to our products, our reputation and brands could be harmed, and consumers may be less likely to recommend our products in the future. In any cases where retailers or distributors might not have access to our products, our relationship with</w:t>
      </w:r>
    </w:p>
    <w:p>
      <w:pPr>
        <w:ind w:right="120"/>
        <w:spacing w:after="0" w:line="228" w:lineRule="auto"/>
        <w:rPr>
          <w:sz w:val="20"/>
          <w:szCs w:val="20"/>
          <w:color w:val="auto"/>
        </w:rPr>
      </w:pPr>
      <w:r>
        <w:rPr>
          <w:rFonts w:ascii="Arial" w:cs="Arial" w:eastAsia="Arial" w:hAnsi="Arial"/>
          <w:sz w:val="14"/>
          <w:szCs w:val="14"/>
          <w:color w:val="auto"/>
        </w:rPr>
        <w:t>these customers could be harmed. If we are not successful in managing our inventory balances, it could have a material adverse effect on our business, financial conditions, results of operations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business, financial condition, results of operations and cash flows may be adversely affected by reduced or limited availability of coconuts and other raw materials for our products.</w:t>
      </w:r>
    </w:p>
    <w:p>
      <w:pPr>
        <w:spacing w:after="0" w:line="202" w:lineRule="exact"/>
        <w:rPr>
          <w:sz w:val="20"/>
          <w:szCs w:val="20"/>
          <w:color w:val="auto"/>
        </w:rPr>
      </w:pPr>
    </w:p>
    <w:p>
      <w:pPr>
        <w:ind w:firstLine="509"/>
        <w:spacing w:after="0" w:line="226" w:lineRule="auto"/>
        <w:rPr>
          <w:sz w:val="20"/>
          <w:szCs w:val="20"/>
          <w:color w:val="auto"/>
        </w:rPr>
      </w:pPr>
      <w:r>
        <w:rPr>
          <w:rFonts w:ascii="Arial" w:cs="Arial" w:eastAsia="Arial" w:hAnsi="Arial"/>
          <w:sz w:val="14"/>
          <w:szCs w:val="14"/>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coconut water and other natural ingredients, in sufficient quantities.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coconuts from which our products are sourced, and the harvesting and transportation of them to our manufacturing partners, are vulnerable to adverse weather conditions and natural</w:t>
      </w:r>
    </w:p>
    <w:p>
      <w:pPr>
        <w:spacing w:after="0" w:line="11" w:lineRule="exact"/>
        <w:rPr>
          <w:sz w:val="20"/>
          <w:szCs w:val="20"/>
          <w:color w:val="auto"/>
        </w:rPr>
      </w:pPr>
    </w:p>
    <w:p>
      <w:pPr>
        <w:jc w:val="both"/>
        <w:spacing w:after="0" w:line="220" w:lineRule="auto"/>
        <w:rPr>
          <w:sz w:val="20"/>
          <w:szCs w:val="20"/>
          <w:color w:val="auto"/>
        </w:rPr>
      </w:pPr>
      <w:r>
        <w:rPr>
          <w:rFonts w:ascii="Arial" w:cs="Arial" w:eastAsia="Arial" w:hAnsi="Arial"/>
          <w:sz w:val="14"/>
          <w:szCs w:val="14"/>
          <w:color w:val="auto"/>
        </w:rPr>
        <w:t>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current manufacturing partners operate in the Philippines, Sri Lanka, Malaysia, Thailand, Brazil and Vietnam and source coconuts from owned trees and networks of many independent small farmers. Thus, the supply of coconuts and other ingredients may be particularly affected by any adverse events in these countries or regions. In recent periods, our available supply of flavored coconut water</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products has been impacted by a shortage of pineapple puree and other natural flavor ingredients and in response, we have made changes to our manufacturing process to address these shortages. Any disruption in the ability of our manufacturing partners to source coconuts or other raw materials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w:t>
      </w:r>
    </w:p>
    <w:p>
      <w:pPr>
        <w:spacing w:after="0"/>
        <w:rPr>
          <w:sz w:val="20"/>
          <w:szCs w:val="20"/>
          <w:color w:val="auto"/>
        </w:rPr>
      </w:pPr>
      <w:r>
        <w:rPr>
          <w:rFonts w:ascii="Arial" w:cs="Arial" w:eastAsia="Arial" w:hAnsi="Arial"/>
          <w:sz w:val="14"/>
          <w:szCs w:val="14"/>
          <w:color w:val="auto"/>
        </w:rPr>
        <w:t>all.</w:t>
      </w:r>
    </w:p>
    <w:p>
      <w:pPr>
        <w:spacing w:after="0" w:line="156" w:lineRule="exact"/>
        <w:rPr>
          <w:sz w:val="20"/>
          <w:szCs w:val="20"/>
          <w:color w:val="auto"/>
        </w:rPr>
      </w:pPr>
    </w:p>
    <w:p>
      <w:pPr>
        <w:ind w:right="260" w:firstLine="509"/>
        <w:spacing w:after="0" w:line="259" w:lineRule="auto"/>
        <w:rPr>
          <w:sz w:val="20"/>
          <w:szCs w:val="20"/>
          <w:color w:val="auto"/>
        </w:rPr>
      </w:pPr>
      <w:r>
        <w:rPr>
          <w:rFonts w:ascii="Arial" w:cs="Arial" w:eastAsia="Arial" w:hAnsi="Arial"/>
          <w:sz w:val="12"/>
          <w:szCs w:val="12"/>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manufacturing partners and their ability to source coconut materials and other raw materials may also be affected by any changes among farmers in our sourcing countries as to what</w:t>
      </w:r>
    </w:p>
    <w:p>
      <w:pPr>
        <w:spacing w:after="0" w:line="11" w:lineRule="exact"/>
        <w:rPr>
          <w:sz w:val="20"/>
          <w:szCs w:val="20"/>
          <w:color w:val="auto"/>
        </w:rPr>
      </w:pPr>
    </w:p>
    <w:p>
      <w:pPr>
        <w:jc w:val="both"/>
        <w:ind w:right="220"/>
        <w:spacing w:after="0" w:line="246" w:lineRule="auto"/>
        <w:rPr>
          <w:sz w:val="20"/>
          <w:szCs w:val="20"/>
          <w:color w:val="auto"/>
        </w:rPr>
      </w:pPr>
      <w:r>
        <w:rPr>
          <w:rFonts w:ascii="Arial" w:cs="Arial" w:eastAsia="Arial" w:hAnsi="Arial"/>
          <w:sz w:val="12"/>
          <w:szCs w:val="12"/>
          <w:color w:val="auto"/>
        </w:rPr>
        <w:t>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w:t>
      </w:r>
    </w:p>
    <w:p>
      <w:pPr>
        <w:spacing w:after="0"/>
        <w:rPr>
          <w:sz w:val="20"/>
          <w:szCs w:val="20"/>
          <w:color w:val="auto"/>
        </w:rPr>
      </w:pPr>
      <w:r>
        <w:rPr>
          <w:rFonts w:ascii="Arial" w:cs="Arial" w:eastAsia="Arial" w:hAnsi="Arial"/>
          <w:sz w:val="14"/>
          <w:szCs w:val="14"/>
          <w:color w:val="auto"/>
        </w:rPr>
        <w:t>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our existing suppliers for materials used to package our products, the costs of which may be volatile and may rise significantly.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addition to purchasing coconut materials and other ingredients, we negotiate the terms and specifications for the purchase of significant quantities of packaging materials and pallets by our</w:t>
      </w:r>
    </w:p>
    <w:p>
      <w:pPr>
        <w:spacing w:after="0" w:line="23" w:lineRule="exact"/>
        <w:rPr>
          <w:sz w:val="20"/>
          <w:szCs w:val="20"/>
          <w:color w:val="auto"/>
        </w:rPr>
      </w:pPr>
    </w:p>
    <w:p>
      <w:pPr>
        <w:jc w:val="both"/>
        <w:ind w:right="60"/>
        <w:spacing w:after="0" w:line="220" w:lineRule="auto"/>
        <w:rPr>
          <w:sz w:val="20"/>
          <w:szCs w:val="20"/>
          <w:color w:val="auto"/>
        </w:rPr>
      </w:pPr>
      <w:r>
        <w:rPr>
          <w:rFonts w:ascii="Arial" w:cs="Arial" w:eastAsia="Arial" w:hAnsi="Arial"/>
          <w:sz w:val="14"/>
          <w:szCs w:val="14"/>
          <w:color w:val="auto"/>
        </w:rPr>
        <w:t>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 be unable to do so in the short term, or at all, at prices or quality levels that are acceptable to us. Further, any such alternative supplier arrangements may lead to increased costs or delays.</w:t>
      </w:r>
    </w:p>
    <w:p>
      <w:pPr>
        <w:spacing w:after="0" w:line="139" w:lineRule="exact"/>
        <w:rPr>
          <w:sz w:val="20"/>
          <w:szCs w:val="20"/>
          <w:color w:val="auto"/>
        </w:rPr>
      </w:pPr>
    </w:p>
    <w:p>
      <w:pPr>
        <w:ind w:right="140" w:firstLine="509"/>
        <w:spacing w:after="0" w:line="252" w:lineRule="auto"/>
        <w:rPr>
          <w:sz w:val="20"/>
          <w:szCs w:val="20"/>
          <w:color w:val="auto"/>
        </w:rPr>
      </w:pPr>
      <w:r>
        <w:rPr>
          <w:rFonts w:ascii="Arial" w:cs="Arial" w:eastAsia="Arial" w:hAnsi="Arial"/>
          <w:sz w:val="12"/>
          <w:szCs w:val="12"/>
          <w:color w:val="auto"/>
        </w:rPr>
        <w:t>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such increases in costs will adversely affect our business, financial condition, results of operations and cash flows.</w:t>
      </w:r>
    </w:p>
    <w:p>
      <w:pPr>
        <w:spacing w:after="0" w:line="156"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2"/>
          <w:szCs w:val="12"/>
          <w:color w:val="auto"/>
        </w:rPr>
        <w:t>Further, changes in business conditions, pandemics, governmental regulations and other factors beyond our control or that we do not presently anticipate could affect our manufacturing and co-packing partners’ ability to receive components from our existing or future suppliers of such materials or the availability of such components generally. The unavailability of any components for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our suppliers could result in production delays and idle manufacturing facilities which may increase our cost of operations and render us unable to fulfill customer orders in a timely manner.</w:t>
      </w:r>
    </w:p>
    <w:p>
      <w:pPr>
        <w:spacing w:after="0" w:line="167"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b w:val="1"/>
          <w:bCs w:val="1"/>
          <w:i w:val="1"/>
          <w:iCs w:val="1"/>
          <w:color w:val="auto"/>
        </w:rPr>
        <w:t>We are dependent on distributor and retail customers for most of our sales, and our failure to maintain or further develop our sales channels could harm our business, financial condition, results of operations and cash flows.</w:t>
      </w:r>
    </w:p>
    <w:p>
      <w:pPr>
        <w:spacing w:after="0" w:line="161"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2"/>
          <w:szCs w:val="12"/>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a subsidiary of Keurig Dr Pepper Inc. (NYSE: KDP), and the largest retail-direct customer, Costco, of our products accounted for approximately 24% and 30%, respectively, of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our total net sales as of December 31, 2022. No other retailer direct or distributor represented more than 10% of our total net sales as of December 31, 2022.</w:t>
      </w:r>
    </w:p>
    <w:p>
      <w:pPr>
        <w:spacing w:after="0" w:line="135" w:lineRule="exact"/>
        <w:rPr>
          <w:sz w:val="20"/>
          <w:szCs w:val="20"/>
          <w:color w:val="auto"/>
        </w:rPr>
      </w:pPr>
    </w:p>
    <w:p>
      <w:pPr>
        <w:ind w:right="100" w:firstLine="509"/>
        <w:spacing w:after="0" w:line="252" w:lineRule="auto"/>
        <w:rPr>
          <w:sz w:val="20"/>
          <w:szCs w:val="20"/>
          <w:color w:val="auto"/>
        </w:rPr>
      </w:pPr>
      <w:r>
        <w:rPr>
          <w:rFonts w:ascii="Arial" w:cs="Arial" w:eastAsia="Arial" w:hAnsi="Arial"/>
          <w:sz w:val="12"/>
          <w:szCs w:val="12"/>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In addition, any store closings or changes in retail</w:t>
      </w:r>
    </w:p>
    <w:p>
      <w:pPr>
        <w:spacing w:after="0" w:line="2" w:lineRule="exact"/>
        <w:rPr>
          <w:sz w:val="20"/>
          <w:szCs w:val="20"/>
          <w:color w:val="auto"/>
        </w:rPr>
      </w:pPr>
    </w:p>
    <w:p>
      <w:pPr>
        <w:ind w:right="140"/>
        <w:spacing w:after="0" w:line="220" w:lineRule="auto"/>
        <w:rPr>
          <w:sz w:val="20"/>
          <w:szCs w:val="20"/>
          <w:color w:val="auto"/>
        </w:rPr>
      </w:pPr>
      <w:r>
        <w:rPr>
          <w:rFonts w:ascii="Arial" w:cs="Arial" w:eastAsia="Arial" w:hAnsi="Arial"/>
          <w:sz w:val="14"/>
          <w:szCs w:val="14"/>
          <w:color w:val="auto"/>
        </w:rPr>
        <w:t>strategy by our retail customers, particularly our largest retail customer, could reduce the number of stores or regions carrying our products, or stores may purchase a smaller amount of our products and/or may reduce the retail floor space designated for our products. If any negative change in our relationship with our largest distributor and retail customer or other customers occurs, any other disputes with key customers arose, if we were to lose placement and support of any of our key customers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120" w:lineRule="exact"/>
        <w:rPr>
          <w:sz w:val="20"/>
          <w:szCs w:val="20"/>
          <w:color w:val="auto"/>
        </w:rPr>
      </w:pPr>
    </w:p>
    <w:p>
      <w:pPr>
        <w:ind w:right="140" w:firstLine="509"/>
        <w:spacing w:after="0" w:line="252" w:lineRule="auto"/>
        <w:rPr>
          <w:sz w:val="20"/>
          <w:szCs w:val="20"/>
          <w:color w:val="auto"/>
        </w:rPr>
      </w:pPr>
      <w:r>
        <w:rPr>
          <w:rFonts w:ascii="Arial" w:cs="Arial" w:eastAsia="Arial" w:hAnsi="Arial"/>
          <w:sz w:val="12"/>
          <w:szCs w:val="12"/>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deteriorates, we cannot guarantee that we will be able to find suitable replacement partners on favorable terms, or at all. Distributor contracts also may require that we make payments to</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terminate or upon non-renewal, and there is no guarantee that the parties will agree on payment terms, or that we will be able to recoup such fees from any replacement distributors.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w:t>
      </w:r>
    </w:p>
    <w:p>
      <w:pPr>
        <w:spacing w:after="0"/>
        <w:rPr>
          <w:sz w:val="20"/>
          <w:szCs w:val="20"/>
          <w:color w:val="auto"/>
        </w:rPr>
      </w:pPr>
      <w:r>
        <w:rPr>
          <w:rFonts w:ascii="Arial" w:cs="Arial" w:eastAsia="Arial" w:hAnsi="Arial"/>
          <w:sz w:val="14"/>
          <w:szCs w:val="14"/>
          <w:color w:val="auto"/>
        </w:rPr>
        <w:t>impact our relationship with the distributors or impose additional costs on us.</w:t>
      </w:r>
    </w:p>
    <w:p>
      <w:pPr>
        <w:spacing w:after="0" w:line="135"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w:t>
      </w:r>
    </w:p>
    <w:p>
      <w:pPr>
        <w:spacing w:after="0" w:line="1" w:lineRule="exact"/>
        <w:rPr>
          <w:sz w:val="20"/>
          <w:szCs w:val="20"/>
          <w:color w:val="auto"/>
        </w:rPr>
      </w:pPr>
    </w:p>
    <w:p>
      <w:pPr>
        <w:jc w:val="both"/>
        <w:ind w:right="80"/>
        <w:spacing w:after="0" w:line="246" w:lineRule="auto"/>
        <w:rPr>
          <w:sz w:val="20"/>
          <w:szCs w:val="20"/>
          <w:color w:val="auto"/>
        </w:rPr>
      </w:pPr>
      <w:r>
        <w:rPr>
          <w:rFonts w:ascii="Arial" w:cs="Arial" w:eastAsia="Arial" w:hAnsi="Arial"/>
          <w:sz w:val="12"/>
          <w:szCs w:val="12"/>
          <w:color w:val="auto"/>
        </w:rPr>
        <w:t>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w:t>
      </w:r>
    </w:p>
    <w:p>
      <w:pPr>
        <w:ind w:right="380"/>
        <w:spacing w:after="0" w:line="228" w:lineRule="auto"/>
        <w:rPr>
          <w:sz w:val="20"/>
          <w:szCs w:val="20"/>
          <w:color w:val="auto"/>
        </w:rPr>
      </w:pPr>
      <w:r>
        <w:rPr>
          <w:rFonts w:ascii="Arial" w:cs="Arial" w:eastAsia="Arial" w:hAnsi="Arial"/>
          <w:sz w:val="14"/>
          <w:szCs w:val="14"/>
          <w:color w:val="auto"/>
        </w:rPr>
        <w:t>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rely on our retailer partners’ continuing demand for our products whether supplied directly or supported through distributors. In addition, certain of our retail partners, particularly those</w:t>
      </w:r>
    </w:p>
    <w:p>
      <w:pPr>
        <w:spacing w:after="0" w:line="1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located in the United States, may from time to time change their promotional approaches. Such changes could negatively impact our business.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w:t>
      </w:r>
    </w:p>
    <w:p>
      <w:pPr>
        <w:spacing w:after="0"/>
        <w:rPr>
          <w:sz w:val="20"/>
          <w:szCs w:val="20"/>
          <w:color w:val="auto"/>
        </w:rPr>
      </w:pPr>
      <w:r>
        <w:rPr>
          <w:rFonts w:ascii="Arial" w:cs="Arial" w:eastAsia="Arial" w:hAnsi="Arial"/>
          <w:sz w:val="14"/>
          <w:szCs w:val="14"/>
          <w:color w:val="auto"/>
        </w:rPr>
        <w:t>our competitors’ products, our sales could decrease and our business, financial conditions, results of operations and cash flows may be materially adversely affected.</w:t>
      </w:r>
    </w:p>
    <w:p>
      <w:pPr>
        <w:spacing w:after="0" w:line="156"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pay the amounts due to us timely or at all, which could have a material adverse effect on</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w:t>
      </w:r>
    </w:p>
    <w:p>
      <w:pPr>
        <w:ind w:right="20"/>
        <w:spacing w:after="0" w:line="246" w:lineRule="auto"/>
        <w:rPr>
          <w:sz w:val="20"/>
          <w:szCs w:val="20"/>
          <w:color w:val="auto"/>
        </w:rPr>
      </w:pPr>
      <w:r>
        <w:rPr>
          <w:rFonts w:ascii="Arial" w:cs="Arial" w:eastAsia="Arial" w:hAnsi="Arial"/>
          <w:sz w:val="12"/>
          <w:szCs w:val="12"/>
          <w:color w:val="auto"/>
        </w:rPr>
        <w:t>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w:t>
      </w:r>
    </w:p>
    <w:p>
      <w:pPr>
        <w:jc w:val="both"/>
        <w:ind w:right="180"/>
        <w:spacing w:after="0" w:line="220" w:lineRule="auto"/>
        <w:rPr>
          <w:sz w:val="20"/>
          <w:szCs w:val="20"/>
          <w:color w:val="auto"/>
        </w:rPr>
      </w:pPr>
      <w:r>
        <w:rPr>
          <w:rFonts w:ascii="Arial" w:cs="Arial" w:eastAsia="Arial" w:hAnsi="Arial"/>
          <w:sz w:val="14"/>
          <w:szCs w:val="14"/>
          <w:color w:val="auto"/>
        </w:rPr>
        <w:t>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224"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i w:val="1"/>
          <w:iCs w:val="1"/>
          <w:color w:val="auto"/>
        </w:rPr>
        <w:t>Our brands and reputation may be diminished due to real or perceived quality or food safety issues with our products, which could have an adverse effect on our business, reputation, financial condition and results of operations.</w:t>
      </w:r>
    </w:p>
    <w:p>
      <w:pPr>
        <w:spacing w:after="0" w:line="44"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 For example, although we</w:t>
      </w:r>
    </w:p>
    <w:p>
      <w:pPr>
        <w:spacing w:after="0"/>
        <w:rPr>
          <w:sz w:val="20"/>
          <w:szCs w:val="20"/>
          <w:color w:val="auto"/>
        </w:rPr>
      </w:pPr>
      <w:r>
        <w:rPr>
          <w:rFonts w:ascii="Arial" w:cs="Arial" w:eastAsia="Arial" w:hAnsi="Arial"/>
          <w:sz w:val="14"/>
          <w:szCs w:val="14"/>
          <w:color w:val="auto"/>
        </w:rPr>
        <w:t>strive to keep our products free of pathogenic organisms, they may not be easily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61"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detected and cross-contamination can occur. There is no assurance that this health risk will always be preempted by such quality control processes, or that the root cause may occur after the product leaves our control. In addition, coconut water is naturally occurring and varies in taste by growing area and season. While we attempt to achieve a reasonably consistent taste across all our supply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network with each product, there is no guarantee that we will be able to do so, which may result in customer dissatisfaction or complaints about lack of consistency across our product batches.</w:t>
      </w:r>
    </w:p>
    <w:p>
      <w:pPr>
        <w:spacing w:after="0" w:line="14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Additionally, damage, contamination or quality impairments may occur after our products leave our control. Damage to packaging materials may occur during product transport and storage resulting in product spoilage or contamination, which may be impossible to detect until opened and tasted by the consumer. Further, we have no control over our products once purchased by</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consumers. Accordingly, consumers may store our products improperly or for long periods of time or open and reseal them, which may adversely affect the quality and safety of our products. While we have procedures in place to handle consumer questions and complaints, our responses may not be satisfactory to consumers, retailers or distributors, which could harm our reputation and could result in retailers or distributors holding our product from sale. If consumers, retailers or distributors do not perceive our products to be safe or of high quality as a result of such actions or events</w:t>
      </w:r>
    </w:p>
    <w:p>
      <w:pPr>
        <w:ind w:right="520"/>
        <w:spacing w:after="0" w:line="228" w:lineRule="auto"/>
        <w:rPr>
          <w:sz w:val="20"/>
          <w:szCs w:val="20"/>
          <w:color w:val="auto"/>
        </w:rPr>
      </w:pPr>
      <w:r>
        <w:rPr>
          <w:rFonts w:ascii="Arial" w:cs="Arial" w:eastAsia="Arial" w:hAnsi="Arial"/>
          <w:sz w:val="14"/>
          <w:szCs w:val="14"/>
          <w:color w:val="auto"/>
        </w:rPr>
        <w:t>outside our control or if they believe that we did not respond to a complaint in a satisfactory manner, then the value of our brands would be diminished, and our reputation, business, financial condition, results of operations and cash flows would be adversely affected.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 in the food and beverage retail industry is strong and presents an ongoing threat to the success of our business.</w:t>
      </w:r>
    </w:p>
    <w:p>
      <w:pPr>
        <w:spacing w:after="0" w:line="7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2"/>
          <w:szCs w:val="12"/>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juices, energy drinks, ready to drink teas and coffees and other non-100% coconut water based beverages, and many of these products are marketed by companies with substantially greater financial resources than ours.</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w:t>
      </w:r>
    </w:p>
    <w:p>
      <w:pPr>
        <w:spacing w:after="0"/>
        <w:rPr>
          <w:sz w:val="20"/>
          <w:szCs w:val="20"/>
          <w:color w:val="auto"/>
        </w:rPr>
      </w:pPr>
      <w:r>
        <w:rPr>
          <w:rFonts w:ascii="Arial" w:cs="Arial" w:eastAsia="Arial" w:hAnsi="Arial"/>
          <w:sz w:val="14"/>
          <w:szCs w:val="14"/>
          <w:color w:val="auto"/>
        </w:rPr>
        <w:t>commerce customer relationships, marketing investment and effectiveness, pricing competitiveness and product packaging.</w:t>
      </w:r>
    </w:p>
    <w:p>
      <w:pPr>
        <w:spacing w:after="0" w:line="241" w:lineRule="exact"/>
        <w:rPr>
          <w:sz w:val="20"/>
          <w:szCs w:val="20"/>
          <w:color w:val="auto"/>
        </w:rPr>
      </w:pPr>
    </w:p>
    <w:p>
      <w:pPr>
        <w:ind w:right="40" w:firstLine="509"/>
        <w:spacing w:after="0" w:line="259" w:lineRule="auto"/>
        <w:rPr>
          <w:sz w:val="20"/>
          <w:szCs w:val="20"/>
          <w:color w:val="auto"/>
        </w:rPr>
      </w:pPr>
      <w:r>
        <w:rPr>
          <w:rFonts w:ascii="Arial" w:cs="Arial" w:eastAsia="Arial" w:hAnsi="Arial"/>
          <w:sz w:val="12"/>
          <w:szCs w:val="12"/>
          <w:color w:val="auto"/>
        </w:rPr>
        <w:t>We continuously compete for retail customers (including grocery stores, supermarkets, club, convenience and health stores, gyms and others), foodservice customers (including coffee shops, cafes, restaurants and fast food) and e-commerce customers (both direct-to-consumer and through third-party platforms). Consumers tend to focus on price as one of the key drivers behind their</w:t>
      </w:r>
    </w:p>
    <w:p>
      <w:pPr>
        <w:spacing w:after="0" w:line="1" w:lineRule="exact"/>
        <w:rPr>
          <w:sz w:val="20"/>
          <w:szCs w:val="20"/>
          <w:color w:val="auto"/>
        </w:rPr>
      </w:pPr>
    </w:p>
    <w:p>
      <w:pPr>
        <w:ind w:right="40"/>
        <w:spacing w:after="0" w:line="220" w:lineRule="auto"/>
        <w:rPr>
          <w:sz w:val="20"/>
          <w:szCs w:val="20"/>
          <w:color w:val="auto"/>
        </w:rPr>
      </w:pPr>
      <w:r>
        <w:rPr>
          <w:rFonts w:ascii="Arial" w:cs="Arial" w:eastAsia="Arial" w:hAnsi="Arial"/>
          <w:sz w:val="14"/>
          <w:szCs w:val="14"/>
          <w:color w:val="auto"/>
        </w:rPr>
        <w:t>purchase of food and beverages, and consumers will only pay a premium price for a product that they believe is of premium quality and value. In order for us to not only maintain our market position as a premium quality brand, but also to continue to grow and acquire more consumers, we must continue to provide high-quality products at acceptable price premiums and invest in communication about our brands' benefits to justify such pricing.</w:t>
      </w:r>
    </w:p>
    <w:p>
      <w:pPr>
        <w:spacing w:after="0" w:line="161" w:lineRule="exact"/>
        <w:rPr>
          <w:sz w:val="20"/>
          <w:szCs w:val="20"/>
          <w:color w:val="auto"/>
        </w:rPr>
      </w:pPr>
    </w:p>
    <w:p>
      <w:pPr>
        <w:ind w:right="60" w:firstLine="509"/>
        <w:spacing w:after="0" w:line="252" w:lineRule="auto"/>
        <w:rPr>
          <w:sz w:val="20"/>
          <w:szCs w:val="20"/>
          <w:color w:val="auto"/>
        </w:rPr>
      </w:pPr>
      <w:r>
        <w:rPr>
          <w:rFonts w:ascii="Arial" w:cs="Arial" w:eastAsia="Arial" w:hAnsi="Arial"/>
          <w:sz w:val="12"/>
          <w:szCs w:val="12"/>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coconut water but</w:t>
      </w:r>
    </w:p>
    <w:p>
      <w:pPr>
        <w:spacing w:after="0" w:line="2" w:lineRule="exact"/>
        <w:rPr>
          <w:sz w:val="20"/>
          <w:szCs w:val="20"/>
          <w:color w:val="auto"/>
        </w:rPr>
      </w:pPr>
    </w:p>
    <w:p>
      <w:pPr>
        <w:ind w:right="500"/>
        <w:spacing w:after="0" w:line="228" w:lineRule="auto"/>
        <w:rPr>
          <w:sz w:val="20"/>
          <w:szCs w:val="20"/>
          <w:color w:val="auto"/>
        </w:rPr>
      </w:pPr>
      <w:r>
        <w:rPr>
          <w:rFonts w:ascii="Arial" w:cs="Arial" w:eastAsia="Arial" w:hAnsi="Arial"/>
          <w:sz w:val="14"/>
          <w:szCs w:val="14"/>
          <w:color w:val="auto"/>
        </w:rPr>
        <w:t>rather to use their retail relationships and category insights to reduce retailer excitement for the category, impacting our visibility and shelf space. We invest in category insights to offset these potential viewpoints and excite retailers and distributors for the future of our categories, but there is no guarantee that our efforts will be successful.</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Retailers also market competitive products under their own private labels, which are generally sold at lower prices and compete with our products. Retailers source these products from a</w:t>
      </w:r>
    </w:p>
    <w:p>
      <w:pPr>
        <w:spacing w:after="0" w:line="1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the business will be profitable. If the quality of competing private label or branded products were to be compromised, that could affect the consumer perceptions of coconut water more generally which could impact our business. Additionally, some of our distributor</w:t>
      </w:r>
    </w:p>
    <w:p>
      <w:pPr>
        <w:ind w:right="80"/>
        <w:spacing w:after="0" w:line="228" w:lineRule="auto"/>
        <w:rPr>
          <w:sz w:val="20"/>
          <w:szCs w:val="20"/>
          <w:color w:val="auto"/>
        </w:rPr>
      </w:pPr>
      <w:r>
        <w:rPr>
          <w:rFonts w:ascii="Arial" w:cs="Arial" w:eastAsia="Arial" w:hAnsi="Arial"/>
          <w:sz w:val="14"/>
          <w:szCs w:val="14"/>
          <w:color w:val="auto"/>
        </w:rPr>
        <w:t>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128"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2"/>
          <w:szCs w:val="12"/>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w:t>
      </w:r>
    </w:p>
    <w:p>
      <w:pPr>
        <w:spacing w:after="0"/>
        <w:rPr>
          <w:sz w:val="20"/>
          <w:szCs w:val="20"/>
          <w:color w:val="auto"/>
        </w:rPr>
      </w:pPr>
      <w:r>
        <w:rPr>
          <w:rFonts w:ascii="Arial" w:cs="Arial" w:eastAsia="Arial" w:hAnsi="Arial"/>
          <w:sz w:val="14"/>
          <w:szCs w:val="14"/>
          <w:color w:val="auto"/>
        </w:rPr>
        <w:t>more quickly than we can to new or emerging technologies and changes in consumer preferences or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habits. These competitors may engage in more extensive research and development efforts, undertake more far-reaching marketing campaigns and adopt more aggressive pricing policies (including predatory pricing policies and the provision of substantial discounts), which may allow them to build larger customer bases or generate net sales from those customer bases more effectively than we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can.</w:t>
      </w:r>
    </w:p>
    <w:p>
      <w:pPr>
        <w:spacing w:after="0" w:line="167"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4"/>
          <w:szCs w:val="14"/>
          <w:color w:val="auto"/>
        </w:rPr>
        <w:t>We expect competition in the natural, organic and functional food and beverage industry to continue to increase. We believe that our ability to compete successfully in this market depends upon many factors both within and beyond our control. If we fail to compete successfully in this market, our business, financial condition, results of operations and cash flows would be materially and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develop and maintain our brands and company image, our business could suffer.</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We have developed strong and trusted brands, including our leading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brand, that we believe have contributed significantly to the success of our business, and we believe our</w:t>
      </w:r>
    </w:p>
    <w:p>
      <w:pPr>
        <w:spacing w:after="0" w:line="11"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 xml:space="preserve">continued success depends on our ability to maintain and grow the value of the </w:t>
      </w:r>
      <w:r>
        <w:rPr>
          <w:rFonts w:ascii="Arial" w:cs="Arial" w:eastAsia="Arial" w:hAnsi="Arial"/>
          <w:sz w:val="12"/>
          <w:szCs w:val="12"/>
          <w:i w:val="1"/>
          <w:iCs w:val="1"/>
          <w:color w:val="auto"/>
        </w:rPr>
        <w:t>Vita Coco</w:t>
      </w:r>
      <w:r>
        <w:rPr>
          <w:rFonts w:ascii="Arial" w:cs="Arial" w:eastAsia="Arial" w:hAnsi="Arial"/>
          <w:sz w:val="12"/>
          <w:szCs w:val="12"/>
          <w:color w:val="auto"/>
        </w:rPr>
        <w:t xml:space="preserve">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w:t>
      </w:r>
    </w:p>
    <w:p>
      <w:pPr>
        <w:ind w:right="40"/>
        <w:spacing w:after="0" w:line="220" w:lineRule="auto"/>
        <w:rPr>
          <w:sz w:val="20"/>
          <w:szCs w:val="20"/>
          <w:color w:val="auto"/>
        </w:rPr>
      </w:pPr>
      <w:r>
        <w:rPr>
          <w:rFonts w:ascii="Arial" w:cs="Arial" w:eastAsia="Arial" w:hAnsi="Arial"/>
          <w:sz w:val="14"/>
          <w:szCs w:val="14"/>
          <w:color w:val="auto"/>
        </w:rPr>
        <w:t>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139" w:lineRule="exact"/>
        <w:rPr>
          <w:sz w:val="20"/>
          <w:szCs w:val="20"/>
          <w:color w:val="auto"/>
        </w:rPr>
      </w:pPr>
    </w:p>
    <w:p>
      <w:pPr>
        <w:ind w:right="180" w:firstLine="509"/>
        <w:spacing w:after="0" w:line="236" w:lineRule="auto"/>
        <w:rPr>
          <w:sz w:val="20"/>
          <w:szCs w:val="20"/>
          <w:color w:val="auto"/>
        </w:rPr>
      </w:pPr>
      <w:r>
        <w:rPr>
          <w:rFonts w:ascii="Arial" w:cs="Arial" w:eastAsia="Arial" w:hAnsi="Arial"/>
          <w:sz w:val="14"/>
          <w:szCs w:val="14"/>
          <w:color w:val="auto"/>
        </w:rPr>
        <w:t>The growing use of social and digital media by us, our consumers and third parties increases the speed and extent that information or misinformation and opinions can be shared. Negative publicity about us, our brands, our products or our industry on social or digital media could seriously damage our brands and reputation.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company image and brands are very important to our vision and growth strategies, particularly as a public benefit corporation, a certified B corporation, and with the goal of operating</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is based on perceptions of subjective qualities, and any incident that erodes the loyalty of our consumers,</w:t>
      </w:r>
    </w:p>
    <w:p>
      <w:pPr>
        <w:ind w:right="400"/>
        <w:spacing w:after="0" w:line="228" w:lineRule="auto"/>
        <w:rPr>
          <w:sz w:val="20"/>
          <w:szCs w:val="20"/>
          <w:color w:val="auto"/>
        </w:rPr>
      </w:pPr>
      <w:r>
        <w:rPr>
          <w:rFonts w:ascii="Arial" w:cs="Arial" w:eastAsia="Arial" w:hAnsi="Arial"/>
          <w:sz w:val="14"/>
          <w:szCs w:val="14"/>
          <w:color w:val="auto"/>
        </w:rPr>
        <w:t>customers, suppliers or manufacturers, including adverse publicity or a governmental investigation or litigation, could significantly reduce the value of our brands and significantly damage our business, which would have a material adverse effect on our business, financial condition, results of operations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introduce new products or successfully improve existing products may adversely affect our ability to continue to grow and may cause us to lose market share and sales.</w:t>
      </w:r>
    </w:p>
    <w:p>
      <w:pPr>
        <w:spacing w:after="0" w:line="8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2"/>
          <w:szCs w:val="12"/>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and introducing and marketing new products. Failure to develop and market new products that appeal to consumers may lead to a decrease in our growth, sales and profitability. There is no guarantee that each innovation we launch will reach our goals and</w:t>
      </w:r>
    </w:p>
    <w:p>
      <w:pPr>
        <w:ind w:right="180"/>
        <w:spacing w:after="0" w:line="228" w:lineRule="auto"/>
        <w:rPr>
          <w:sz w:val="20"/>
          <w:szCs w:val="20"/>
          <w:color w:val="auto"/>
        </w:rPr>
      </w:pPr>
      <w:r>
        <w:rPr>
          <w:rFonts w:ascii="Arial" w:cs="Arial" w:eastAsia="Arial" w:hAnsi="Arial"/>
          <w:sz w:val="14"/>
          <w:szCs w:val="14"/>
          <w:color w:val="auto"/>
        </w:rPr>
        <w:t>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Additionally, the development and introduction of new products requires research, development and marketing expenditures, which we may be unable to recoup if the new products do not</w:t>
      </w:r>
    </w:p>
    <w:p>
      <w:pPr>
        <w:spacing w:after="0" w:line="11" w:lineRule="exact"/>
        <w:rPr>
          <w:sz w:val="20"/>
          <w:szCs w:val="20"/>
          <w:color w:val="auto"/>
        </w:rPr>
      </w:pPr>
    </w:p>
    <w:p>
      <w:pPr>
        <w:ind w:right="60"/>
        <w:spacing w:after="0" w:line="244" w:lineRule="auto"/>
        <w:rPr>
          <w:sz w:val="20"/>
          <w:szCs w:val="20"/>
          <w:color w:val="auto"/>
        </w:rPr>
      </w:pPr>
      <w:r>
        <w:rPr>
          <w:rFonts w:ascii="Arial" w:cs="Arial" w:eastAsia="Arial" w:hAnsi="Arial"/>
          <w:sz w:val="12"/>
          <w:szCs w:val="12"/>
          <w:color w:val="auto"/>
        </w:rPr>
        <w:t>gain widespread market acceptance. 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 and negatively impact our sales and brand reputation. If we 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unsuccessful in meeting our objectives with respect to new or improved products, our business, financial condition, results of operations and cash flow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Consumer preferences for our products are difficult to predict and may change, and, if we are unable to respond quickly to new trends, our business may be adversely affected.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business is primarily focused on the development, manufacturing, marketing and distribution of coconut water branded and private label products and other “better-for-you” beverages.</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Consumer demand for our products and interest in our offerings could change based on a number of possible factors, including changes in dietary habits, refreshment and nutritional habits, concerns regarding the health effects of ingredients, the usage of single use packaging, the impact of our supply chain on our sourcing communities, shifts in preference for various product attributes or consumer confidence, trends within consumer age groups and perceived value for our products relative to alternatives. Consumer trends that we believe favor sales of our products could change based</w:t>
      </w:r>
    </w:p>
    <w:p>
      <w:pPr>
        <w:ind w:right="180"/>
        <w:spacing w:after="0" w:line="292" w:lineRule="auto"/>
        <w:rPr>
          <w:sz w:val="20"/>
          <w:szCs w:val="20"/>
          <w:color w:val="auto"/>
        </w:rPr>
      </w:pPr>
      <w:r>
        <w:rPr>
          <w:rFonts w:ascii="Arial" w:cs="Arial" w:eastAsia="Arial" w:hAnsi="Arial"/>
          <w:sz w:val="12"/>
          <w:szCs w:val="12"/>
          <w:color w:val="auto"/>
        </w:rPr>
        <w:t>on a number of possible factors. While we continually strive to improve our products through thoughtful, innovative research and development approaches to meet consumer needs, there can be no assurance that our efforts will be successful. If consumer demand for our products decreased, our business, financial condition, results of operations and cash flows may be adversely affected.</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addition, sales of consumer products are subject to evolving consumer preferences that we may not be able to accurately predict or respond to, and we may not be successful in identifying</w:t>
      </w:r>
    </w:p>
    <w:p>
      <w:pPr>
        <w:spacing w:after="0" w:line="23"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trends in consumer preferences and developing products that respond to such trends in a timely manner. A significant shift in consumer demand away from our products or a decrease in household penetration could reduce our sales or our market share and the prestige of our brands, which would harm our business, financial condition, results of operations and cash flows.</w:t>
      </w:r>
    </w:p>
    <w:p>
      <w:pPr>
        <w:spacing w:after="0" w:line="142"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b w:val="1"/>
          <w:bCs w:val="1"/>
          <w:i w:val="1"/>
          <w:iCs w:val="1"/>
          <w:color w:val="auto"/>
        </w:rPr>
        <w:t>Pandemics, epidemics or disease outbreaks, such as the COVID-19 pandemic, may disrupt our business, including, among other things, consumption and trade patterns, our supply chain and production processes, each of which could materially affect our operations, liquidity, financial condition and results of operations.</w:t>
      </w:r>
    </w:p>
    <w:p>
      <w:pPr>
        <w:spacing w:after="0" w:line="37" w:lineRule="exact"/>
        <w:rPr>
          <w:sz w:val="20"/>
          <w:szCs w:val="20"/>
          <w:color w:val="auto"/>
        </w:rPr>
      </w:pPr>
    </w:p>
    <w:p>
      <w:pPr>
        <w:ind w:right="180" w:firstLine="509"/>
        <w:spacing w:after="0" w:line="239" w:lineRule="auto"/>
        <w:rPr>
          <w:sz w:val="20"/>
          <w:szCs w:val="20"/>
          <w:color w:val="auto"/>
        </w:rPr>
      </w:pPr>
      <w:r>
        <w:rPr>
          <w:rFonts w:ascii="Arial" w:cs="Arial" w:eastAsia="Arial" w:hAnsi="Arial"/>
          <w:sz w:val="13"/>
          <w:szCs w:val="13"/>
          <w:color w:val="auto"/>
        </w:rPr>
        <w:t>The actual or perceived effects of a disease outbreak, epidemic, pandemic or similar widespread public health concern, such as the COVID-19 pandemic, could negatively affect our business, liquidity, financial condition and results of operations. The ongoing impact of the COVID-19 pandemic continues to create significant volatility, uncertainty and economic disruption. The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pandemic led governments and other authorities around the world to implement significant measures intended to control the spread of the virus, including shelter-in-place orders, social distancing measures, business closures or restrictions on operations, quarantines, travel bans and restrictions and multi-step policies with the goal of re-opening these markets. Although most of these restrictions have been lifted or eased, a resurgence of the pandemic or new variants in some markets could slow, halt or reverse progress to contain impacts. If COVID-19 infection rates resurge and the pandemic</w:t>
      </w:r>
    </w:p>
    <w:p>
      <w:pPr>
        <w:spacing w:after="0" w:line="246" w:lineRule="auto"/>
        <w:rPr>
          <w:sz w:val="20"/>
          <w:szCs w:val="20"/>
          <w:color w:val="auto"/>
        </w:rPr>
      </w:pPr>
      <w:r>
        <w:rPr>
          <w:rFonts w:ascii="Arial" w:cs="Arial" w:eastAsia="Arial" w:hAnsi="Arial"/>
          <w:sz w:val="12"/>
          <w:szCs w:val="12"/>
          <w:color w:val="auto"/>
        </w:rPr>
        <w:t>intensifies again and expands geographically, its negative impacts on our business, our supply chain, our operating expenses, our gross margin and our sales could be more prolonged and may become more severe. Any new restrictions, such as requiring employees to work remotely, imposing travel restrictions, reducing operating hours, imposing operating restrictions and temporarily closing businesses could have an adverse impact on global economic conditions and impact consumer confidence and spending which might have a material adverse impact on some of our customers and</w:t>
      </w:r>
    </w:p>
    <w:p>
      <w:pPr>
        <w:spacing w:after="0"/>
        <w:rPr>
          <w:sz w:val="20"/>
          <w:szCs w:val="20"/>
          <w:color w:val="auto"/>
        </w:rPr>
      </w:pPr>
      <w:r>
        <w:rPr>
          <w:rFonts w:ascii="Arial" w:cs="Arial" w:eastAsia="Arial" w:hAnsi="Arial"/>
          <w:sz w:val="14"/>
          <w:szCs w:val="14"/>
          <w:color w:val="auto"/>
        </w:rPr>
        <w:t>could impact the demand for our products and ultimately our financial condition.</w:t>
      </w:r>
    </w:p>
    <w:p>
      <w:pPr>
        <w:spacing w:after="0" w:line="167" w:lineRule="exact"/>
        <w:rPr>
          <w:sz w:val="20"/>
          <w:szCs w:val="20"/>
          <w:color w:val="auto"/>
        </w:rPr>
      </w:pPr>
    </w:p>
    <w:p>
      <w:pPr>
        <w:ind w:right="40" w:firstLine="509"/>
        <w:spacing w:after="0" w:line="272" w:lineRule="auto"/>
        <w:rPr>
          <w:sz w:val="20"/>
          <w:szCs w:val="20"/>
          <w:color w:val="auto"/>
        </w:rPr>
      </w:pPr>
      <w:r>
        <w:rPr>
          <w:rFonts w:ascii="Arial" w:cs="Arial" w:eastAsia="Arial" w:hAnsi="Arial"/>
          <w:sz w:val="13"/>
          <w:szCs w:val="13"/>
          <w:color w:val="auto"/>
        </w:rPr>
        <w:t>Furthermore, sustained market-wide turmoil and business disruption arising from the COVID-19 pandemic have negatively impacted, and continue to negatively impact, our supply chain and our business operations, and may impact our business, financial condition, results of operations and cash flows in ways that are difficult to predict. Although we see the easing of many of these elevated expenses in 2023, over the past couple of years, we saw significantly increased costs for ocean transportation, domestic logistics and warehouse storage. Given our supply chain is dependent on ocean freight for shipping coconut water from the source countries to the end use markets, we are particularly exposed to ocean freight cost changes, and availability of containers. As inventory has increased as ocean freight availability concerns have eased, we have been subject to higher warehouse costs.</w:t>
      </w:r>
    </w:p>
    <w:p>
      <w:pPr>
        <w:spacing w:after="0" w:line="129"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2"/>
          <w:szCs w:val="12"/>
          <w:color w:val="auto"/>
        </w:rPr>
        <w:t>It is also unclear how the COVID-19 pandemic may affect our industry in the long term, to the extent any consumer behavioral changes represent a fundamental change to the lifestyle of our consumers and their shopping patterns, and whether the increase in consumer demand we have experienced will continue. We believe we may have benefited from changes in shopping behavior due to our presence in club, mass merchandise, grocery retailer businesses and e-commerce marketplaces, but experienced negative impacts due to reductions in traffic for drug, convenience and gas and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small independent retailers. It is difficult to predict consumer behavior and retail traffic levels going forward and how that might impact our business.</w:t>
      </w:r>
    </w:p>
    <w:p>
      <w:pPr>
        <w:spacing w:after="0" w:line="15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We could suffer product inventory losses or markdowns and lost revenue in the event of the loss or shutdown of a major manufacturing partner, a local raw materials supplier of a manufacturing partner, or a co-packing partner, due to COVID-19 or other pandemic conditions in their respective locales. Any interruptions to logistics could impact their ability to operate and ship</w:t>
      </w:r>
    </w:p>
    <w:p>
      <w:pPr>
        <w:spacing w:after="0" w:line="1" w:lineRule="exact"/>
        <w:rPr>
          <w:sz w:val="20"/>
          <w:szCs w:val="20"/>
          <w:color w:val="auto"/>
        </w:rPr>
      </w:pPr>
    </w:p>
    <w:p>
      <w:pPr>
        <w:ind w:right="240"/>
        <w:spacing w:after="0" w:line="244" w:lineRule="auto"/>
        <w:rPr>
          <w:sz w:val="20"/>
          <w:szCs w:val="20"/>
          <w:color w:val="auto"/>
        </w:rPr>
      </w:pPr>
      <w:r>
        <w:rPr>
          <w:rFonts w:ascii="Arial" w:cs="Arial" w:eastAsia="Arial" w:hAnsi="Arial"/>
          <w:sz w:val="12"/>
          <w:szCs w:val="12"/>
          <w:color w:val="auto"/>
        </w:rPr>
        <w:t>us product. The potential impact of COVID-19 or other pandemic on any of our production or logistics providers could include, but is not limited to, problems with their respective businesses, finances, labor matters (including illness or absenteeism in workforce or closure due to positive COVID-19 testing), ability to import and secure ingredients and packaging, product quality issues, costs, production, insurance and reputation. Any of the foregoing could negatively affect the price and availability of our products and impact our supply chain. If these disruptions continue for an extended period of time or there are one or more resurgences of COVID-19 or the emergence of another pandemic, our ability to meet the demand for our products may be materially impacted.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Additionally, part of our long-term growth strategy may include exploring expanding into additional geographies. The timing and success of our international expansion with</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respect to customers, manufacturers and/or production facilities has been and may continue to be negatively impacted by COVID-19, which could impede our entry and growth in these geographies.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extent of COVID-19 or other pandemic's effect on our operational and financial performance will depend on future developments, including the duration, spread and intensity of the</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pandemic (including any resurgences), the duration and extent of inflationary cost increases driven by shipping and logistics costs among other factors, and any long-term changes to consumer behavior, all of which are uncertain and difficult to predict considering the rapidly evolving situation across the globe. Furthermore, the uncertainty created by COVID-19 significantly increases the difficulty in forecasting operating results and of strategic planning. As a result, it is not currently possible to ascertain the overall impact of COVID-19 and its consequences on our business. However,</w:t>
      </w:r>
    </w:p>
    <w:p>
      <w:pPr>
        <w:spacing w:after="0"/>
        <w:rPr>
          <w:sz w:val="20"/>
          <w:szCs w:val="20"/>
          <w:color w:val="auto"/>
        </w:rPr>
      </w:pPr>
      <w:r>
        <w:rPr>
          <w:rFonts w:ascii="Arial" w:cs="Arial" w:eastAsia="Arial" w:hAnsi="Arial"/>
          <w:sz w:val="14"/>
          <w:szCs w:val="14"/>
          <w:color w:val="auto"/>
        </w:rPr>
        <w:t>the pandemic has had, and may continue to have, a material impact on our business, financial condition, results of operations and cash flows.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of COVID-19 may also heighten other risks discussed in this “Risk Factors” section.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manage our future growth effectively, our business could be materially adversely affected.</w:t>
      </w:r>
    </w:p>
    <w:p>
      <w:pPr>
        <w:spacing w:after="0" w:line="179" w:lineRule="exact"/>
        <w:rPr>
          <w:sz w:val="20"/>
          <w:szCs w:val="20"/>
          <w:color w:val="auto"/>
        </w:rPr>
      </w:pPr>
    </w:p>
    <w:p>
      <w:pPr>
        <w:ind w:right="260" w:firstLine="509"/>
        <w:spacing w:after="0" w:line="252" w:lineRule="auto"/>
        <w:rPr>
          <w:sz w:val="20"/>
          <w:szCs w:val="20"/>
          <w:color w:val="auto"/>
        </w:rPr>
      </w:pPr>
      <w:r>
        <w:rPr>
          <w:rFonts w:ascii="Arial" w:cs="Arial" w:eastAsia="Arial" w:hAnsi="Arial"/>
          <w:sz w:val="12"/>
          <w:szCs w:val="12"/>
          <w:color w:val="auto"/>
        </w:rPr>
        <w:t>We have grown as a company since inception and we anticipate further growth, although there are no guarantees of growth in any year. Any growth places significant demands on our management, financial, operational, technological and other resources and on our manufacturing and co-packing partners. The anticipated growth and expansion of our business and our product offerings will place significant demands on our management and operations teams and may require significant additional resources and expertise, which may not be available in a cost-effective or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timely manner, or at all. Further, we may be subject to reputational risks should our rapid growth jeopardize our relationships with our retail customers, distributors, consumers or suppliers.</w:t>
      </w:r>
    </w:p>
    <w:p>
      <w:pPr>
        <w:spacing w:after="0" w:line="167"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Our revenue growth rates may slow over time due to a number of reasons, including increasing competition, market saturation, slowing demand for our offerings, increasing regulatory costs and challenges, and failure to capitalize on growth opportunities. If we fail to meet increased consumer demand as a result of our growth, our competitors may be able to meet such demand with their</w:t>
      </w:r>
    </w:p>
    <w:p>
      <w:pPr>
        <w:spacing w:after="0" w:line="1" w:lineRule="exact"/>
        <w:rPr>
          <w:sz w:val="20"/>
          <w:szCs w:val="20"/>
          <w:color w:val="auto"/>
        </w:rPr>
      </w:pPr>
    </w:p>
    <w:p>
      <w:pPr>
        <w:jc w:val="both"/>
        <w:ind w:right="120"/>
        <w:spacing w:after="0" w:line="246" w:lineRule="auto"/>
        <w:rPr>
          <w:sz w:val="20"/>
          <w:szCs w:val="20"/>
          <w:color w:val="auto"/>
        </w:rPr>
      </w:pPr>
      <w:r>
        <w:rPr>
          <w:rFonts w:ascii="Arial" w:cs="Arial" w:eastAsia="Arial" w:hAnsi="Arial"/>
          <w:sz w:val="12"/>
          <w:szCs w:val="12"/>
          <w:color w:val="auto"/>
        </w:rPr>
        <w:t>own products, which would diminish our growth opportunities and strengthen our competitors. If we plan for demand that does not happen, we may have to credit customers for unsaleable product and destroy surplus inventory and associated ingredients and packaging materials, all of which will damage relationships with manufacturing and co-packers partners. Further, if we expand capacity at our manufacturing partners in anticipation of growth which ultimately does not occur, it may create excess capacity and supply in the industry, leading to downward pricing pressure, increased</w:t>
      </w:r>
    </w:p>
    <w:p>
      <w:pPr>
        <w:ind w:right="140"/>
        <w:spacing w:after="0" w:line="220" w:lineRule="auto"/>
        <w:rPr>
          <w:sz w:val="20"/>
          <w:szCs w:val="20"/>
          <w:color w:val="auto"/>
        </w:rPr>
      </w:pPr>
      <w:r>
        <w:rPr>
          <w:rFonts w:ascii="Arial" w:cs="Arial" w:eastAsia="Arial" w:hAnsi="Arial"/>
          <w:sz w:val="14"/>
          <w:szCs w:val="14"/>
          <w:color w:val="auto"/>
        </w:rPr>
        <w:t>competition for private label business, and negative impacts on our business, financial conditions, results of operations and cash flows. If we do not effectively predict and manage our growth, we may not be able to execute on our business plan, respond to competitive pressures, take advantage of market opportunities, satisfy customer requirements or maintain high-quality product offerings, any of which could harm our business,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independent certification for a number of our products.</w:t>
      </w:r>
    </w:p>
    <w:p>
      <w:pPr>
        <w:spacing w:after="0" w:line="168"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w:t>
      </w:r>
    </w:p>
    <w:p>
      <w:pPr>
        <w:spacing w:after="0" w:line="1" w:lineRule="exact"/>
        <w:rPr>
          <w:sz w:val="20"/>
          <w:szCs w:val="20"/>
          <w:color w:val="auto"/>
        </w:rPr>
      </w:pPr>
    </w:p>
    <w:p>
      <w:pPr>
        <w:ind w:right="440"/>
        <w:spacing w:after="0" w:line="228" w:lineRule="auto"/>
        <w:rPr>
          <w:sz w:val="20"/>
          <w:szCs w:val="20"/>
          <w:color w:val="auto"/>
        </w:rPr>
      </w:pPr>
      <w:r>
        <w:rPr>
          <w:rFonts w:ascii="Arial" w:cs="Arial" w:eastAsia="Arial" w:hAnsi="Arial"/>
          <w:sz w:val="14"/>
          <w:szCs w:val="14"/>
          <w:color w:val="auto"/>
        </w:rPr>
        <w:t>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make acquisitions and successfully integrate newly acquired products or businesses.</w:t>
      </w:r>
    </w:p>
    <w:p>
      <w:pPr>
        <w:spacing w:after="0" w:line="72" w:lineRule="exact"/>
        <w:rPr>
          <w:sz w:val="20"/>
          <w:szCs w:val="20"/>
          <w:color w:val="auto"/>
        </w:rPr>
      </w:pPr>
    </w:p>
    <w:p>
      <w:pPr>
        <w:ind w:right="200" w:firstLine="509"/>
        <w:spacing w:after="0" w:line="252" w:lineRule="auto"/>
        <w:rPr>
          <w:sz w:val="20"/>
          <w:szCs w:val="20"/>
          <w:color w:val="auto"/>
        </w:rPr>
      </w:pPr>
      <w:r>
        <w:rPr>
          <w:rFonts w:ascii="Arial" w:cs="Arial" w:eastAsia="Arial" w:hAnsi="Arial"/>
          <w:sz w:val="12"/>
          <w:szCs w:val="12"/>
          <w:color w:val="auto"/>
        </w:rPr>
        <w:t>We have in the past pursued and may in the future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w:t>
      </w:r>
    </w:p>
    <w:p>
      <w:pPr>
        <w:spacing w:after="0" w:line="2" w:lineRule="exact"/>
        <w:rPr>
          <w:sz w:val="20"/>
          <w:szCs w:val="20"/>
          <w:color w:val="auto"/>
        </w:rPr>
      </w:pPr>
    </w:p>
    <w:p>
      <w:pPr>
        <w:ind w:right="400"/>
        <w:spacing w:after="0" w:line="237" w:lineRule="auto"/>
        <w:rPr>
          <w:sz w:val="20"/>
          <w:szCs w:val="20"/>
          <w:color w:val="auto"/>
        </w:rPr>
      </w:pPr>
      <w:r>
        <w:rPr>
          <w:rFonts w:ascii="Arial" w:cs="Arial" w:eastAsia="Arial" w:hAnsi="Arial"/>
          <w:sz w:val="13"/>
          <w:szCs w:val="13"/>
          <w:color w:val="auto"/>
        </w:rPr>
        <w:t>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w:t>
      </w:r>
    </w:p>
    <w:p>
      <w:pPr>
        <w:spacing w:after="0" w:line="139" w:lineRule="exact"/>
        <w:rPr>
          <w:sz w:val="20"/>
          <w:szCs w:val="20"/>
          <w:color w:val="auto"/>
        </w:rPr>
      </w:pPr>
    </w:p>
    <w:p>
      <w:pPr>
        <w:ind w:right="120" w:firstLine="509"/>
        <w:spacing w:after="0" w:line="249" w:lineRule="auto"/>
        <w:rPr>
          <w:sz w:val="20"/>
          <w:szCs w:val="20"/>
          <w:color w:val="auto"/>
        </w:rPr>
      </w:pPr>
      <w:r>
        <w:rPr>
          <w:rFonts w:ascii="Arial" w:cs="Arial" w:eastAsia="Arial" w:hAnsi="Arial"/>
          <w:sz w:val="12"/>
          <w:szCs w:val="12"/>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w:t>
      </w:r>
    </w:p>
    <w:p>
      <w:pPr>
        <w:spacing w:after="0" w:line="2" w:lineRule="exact"/>
        <w:rPr>
          <w:sz w:val="20"/>
          <w:szCs w:val="20"/>
          <w:color w:val="auto"/>
        </w:rPr>
      </w:pPr>
    </w:p>
    <w:p>
      <w:pPr>
        <w:ind w:right="380"/>
        <w:spacing w:after="0" w:line="228" w:lineRule="auto"/>
        <w:rPr>
          <w:sz w:val="20"/>
          <w:szCs w:val="20"/>
          <w:color w:val="auto"/>
        </w:rPr>
      </w:pPr>
      <w:r>
        <w:rPr>
          <w:rFonts w:ascii="Arial" w:cs="Arial" w:eastAsia="Arial" w:hAnsi="Arial"/>
          <w:sz w:val="14"/>
          <w:szCs w:val="14"/>
          <w:color w:val="auto"/>
        </w:rPr>
        <w:t>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Further, the future acquisition of a product or business may cause us to deviate from our historically fixed-asset lite business model if we were to acquire production capabilities and facilities in connection therewith, and as a result could increase our costs of operation.</w:t>
      </w:r>
    </w:p>
    <w:p>
      <w:pPr>
        <w:spacing w:after="0" w:line="140" w:lineRule="exact"/>
        <w:rPr>
          <w:sz w:val="20"/>
          <w:szCs w:val="20"/>
          <w:color w:val="auto"/>
        </w:rPr>
      </w:pPr>
    </w:p>
    <w:p>
      <w:pPr>
        <w:ind w:right="60" w:firstLine="509"/>
        <w:spacing w:after="0" w:line="226" w:lineRule="auto"/>
        <w:rPr>
          <w:sz w:val="20"/>
          <w:szCs w:val="20"/>
          <w:color w:val="auto"/>
        </w:rPr>
      </w:pPr>
      <w:r>
        <w:rPr>
          <w:rFonts w:ascii="Arial" w:cs="Arial" w:eastAsia="Arial" w:hAnsi="Arial"/>
          <w:sz w:val="14"/>
          <w:szCs w:val="14"/>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Additionally, an additional risk inherent in any acquisition is that we fail to realize a positive return on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difficulties as we expand our operations into countries in which we have no prior operating history.</w:t>
      </w:r>
    </w:p>
    <w:p>
      <w:pPr>
        <w:spacing w:after="0" w:line="62" w:lineRule="exact"/>
        <w:rPr>
          <w:sz w:val="20"/>
          <w:szCs w:val="20"/>
          <w:color w:val="auto"/>
        </w:rPr>
      </w:pPr>
    </w:p>
    <w:p>
      <w:pPr>
        <w:ind w:right="380" w:firstLine="509"/>
        <w:spacing w:after="0" w:line="259" w:lineRule="auto"/>
        <w:rPr>
          <w:sz w:val="20"/>
          <w:szCs w:val="20"/>
          <w:color w:val="auto"/>
        </w:rPr>
      </w:pPr>
      <w:r>
        <w:rPr>
          <w:rFonts w:ascii="Arial" w:cs="Arial" w:eastAsia="Arial" w:hAnsi="Arial"/>
          <w:sz w:val="12"/>
          <w:szCs w:val="12"/>
          <w:color w:val="auto"/>
        </w:rPr>
        <w:t>We may explore expanding our global footprint in order to enter into new markets through partnerships with importers and distributors, or direct sales to retailers among other potential strategies. This will involve expanding into countries for which we do not have current knowledge and expertise and may involve expanding into less developed countries, which may have less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political, social or economic stability and less developed infrastructure and legal systems. In addition, it may be difficult for us to understand and accurately predict taste preferences and purchasing habits of consumers in these new geographic markets. Further, our planned go-to-market strategies may not be the optimal approach in certain markets and our choice of partners may not be optimal, which may require us to consider, develop and implement alternative entry and marketing strategies or to pull out of those markets. This could be more costly to implement or use more resources than</w:t>
      </w:r>
    </w:p>
    <w:p>
      <w:pPr>
        <w:ind w:right="400"/>
        <w:spacing w:after="0" w:line="246" w:lineRule="auto"/>
        <w:rPr>
          <w:sz w:val="20"/>
          <w:szCs w:val="20"/>
          <w:color w:val="auto"/>
        </w:rPr>
      </w:pPr>
      <w:r>
        <w:rPr>
          <w:rFonts w:ascii="Arial" w:cs="Arial" w:eastAsia="Arial" w:hAnsi="Arial"/>
          <w:sz w:val="12"/>
          <w:szCs w:val="12"/>
          <w:color w:val="auto"/>
        </w:rPr>
        <w:t>we anticipated, which could have an adverse effect on our results of operations. It is costly to establish, develop and maintain international operations and develop and promote our brands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including exposure to new foreign</w:t>
      </w:r>
    </w:p>
    <w:p>
      <w:pPr>
        <w:ind w:right="280"/>
        <w:spacing w:after="0" w:line="228" w:lineRule="auto"/>
        <w:rPr>
          <w:sz w:val="20"/>
          <w:szCs w:val="20"/>
          <w:color w:val="auto"/>
        </w:rPr>
      </w:pPr>
      <w:r>
        <w:rPr>
          <w:rFonts w:ascii="Arial" w:cs="Arial" w:eastAsia="Arial" w:hAnsi="Arial"/>
          <w:sz w:val="14"/>
          <w:szCs w:val="14"/>
          <w:color w:val="auto"/>
        </w:rPr>
        <w:t>exchange risks, that increase our expenses and/or delay our ability to become profitable in such countries, which may have a material adverse effect on our business, financial condition,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or legal or market measures to address climate change, may negatively affect our business and operations.</w:t>
      </w:r>
    </w:p>
    <w:p>
      <w:pPr>
        <w:spacing w:after="0" w:line="72" w:lineRule="exact"/>
        <w:rPr>
          <w:sz w:val="20"/>
          <w:szCs w:val="20"/>
          <w:color w:val="auto"/>
        </w:rPr>
      </w:pPr>
    </w:p>
    <w:p>
      <w:pPr>
        <w:ind w:right="20" w:firstLine="509"/>
        <w:spacing w:after="0" w:line="252" w:lineRule="auto"/>
        <w:rPr>
          <w:sz w:val="20"/>
          <w:szCs w:val="20"/>
          <w:color w:val="auto"/>
        </w:rPr>
      </w:pPr>
      <w:r>
        <w:rPr>
          <w:rFonts w:ascii="Arial" w:cs="Arial" w:eastAsia="Arial" w:hAnsi="Arial"/>
          <w:sz w:val="12"/>
          <w:szCs w:val="12"/>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cream and other raw materials that are necessary for our current or any future products. Such climate changes may also require us to find manufacturing partners in new geographic</w:t>
      </w:r>
    </w:p>
    <w:p>
      <w:pPr>
        <w:spacing w:after="0" w:line="2" w:lineRule="exact"/>
        <w:rPr>
          <w:sz w:val="20"/>
          <w:szCs w:val="20"/>
          <w:color w:val="auto"/>
        </w:rPr>
      </w:pPr>
    </w:p>
    <w:p>
      <w:pPr>
        <w:ind w:right="60"/>
        <w:spacing w:after="0" w:line="220" w:lineRule="auto"/>
        <w:rPr>
          <w:sz w:val="20"/>
          <w:szCs w:val="20"/>
          <w:color w:val="auto"/>
        </w:rPr>
      </w:pPr>
      <w:r>
        <w:rPr>
          <w:rFonts w:ascii="Arial" w:cs="Arial" w:eastAsia="Arial" w:hAnsi="Arial"/>
          <w:sz w:val="14"/>
          <w:szCs w:val="14"/>
          <w:color w:val="auto"/>
        </w:rPr>
        <w:t>areas if the location 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w:t>
      </w:r>
    </w:p>
    <w:p>
      <w:pPr>
        <w:spacing w:after="0" w:line="139"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retain our senior management and key personnel may adversely affect our operations or our ability to grow successfully.</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2"/>
          <w:szCs w:val="12"/>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w:t>
      </w:r>
    </w:p>
    <w:p>
      <w:pPr>
        <w:spacing w:after="0"/>
        <w:rPr>
          <w:sz w:val="20"/>
          <w:szCs w:val="20"/>
          <w:color w:val="auto"/>
        </w:rPr>
      </w:pPr>
      <w:r>
        <w:rPr>
          <w:rFonts w:ascii="Arial" w:cs="Arial" w:eastAsia="Arial" w:hAnsi="Arial"/>
          <w:sz w:val="14"/>
          <w:szCs w:val="14"/>
          <w:color w:val="auto"/>
        </w:rPr>
        <w:t>common stock to decline. We do not currently carry key-person life insurance for our co-founder or senior executives.</w:t>
      </w:r>
    </w:p>
    <w:p>
      <w:pPr>
        <w:spacing w:after="0" w:line="167"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Our business is significantly dependent on our ability and the ability of our third party partners to meet our respective labor needs, and we or they may be subject to work stoppages at facilities, which could negatively impact the profitability of our business.</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success of our business depends significantly on our ability and the ability of our third party partners, including manufacturers and co-packers, to attract, hire and retain quality</w:t>
      </w:r>
    </w:p>
    <w:p>
      <w:pPr>
        <w:spacing w:after="0" w:line="11" w:lineRule="exact"/>
        <w:rPr>
          <w:sz w:val="20"/>
          <w:szCs w:val="20"/>
          <w:color w:val="auto"/>
        </w:rPr>
      </w:pPr>
    </w:p>
    <w:p>
      <w:pPr>
        <w:ind w:right="360"/>
        <w:spacing w:after="0" w:line="220" w:lineRule="auto"/>
        <w:rPr>
          <w:sz w:val="20"/>
          <w:szCs w:val="20"/>
          <w:color w:val="auto"/>
        </w:rPr>
      </w:pPr>
      <w:r>
        <w:rPr>
          <w:rFonts w:ascii="Arial" w:cs="Arial" w:eastAsia="Arial" w:hAnsi="Arial"/>
          <w:sz w:val="14"/>
          <w:szCs w:val="14"/>
          <w:color w:val="auto"/>
        </w:rPr>
        <w:t>employees, including employees at manufacturing and distribution facilities, many of whom are skilled. We and/or our third party partners may be unable to meet our respective labor needs and control costs due to external factors such as the availability of a sufficient number of qualified persons in the work force of the markets in which we and/or our third party partners operate, unemployment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61"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levels, demand for certain labor expertise, prevailing wage rates, wage inflation, recession,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increase the federal minimum wage in the United States, as well as the minimum wage in a number of individual states. Should we or our third party partners fail to increase wages competitively in response to increasing wage rates, the quality of the workforce could decline. Any labor shortage or increase in the cost of labor among our employee population or that of our third party partners could have an adverse effect on our operating costs, financial condition and results of operations. If we are unable to hire and retain skilled employees, our business could be materially adversely</w:t>
      </w:r>
    </w:p>
    <w:p>
      <w:pPr>
        <w:spacing w:after="0"/>
        <w:rPr>
          <w:sz w:val="20"/>
          <w:szCs w:val="20"/>
          <w:color w:val="auto"/>
        </w:rPr>
      </w:pPr>
      <w:r>
        <w:rPr>
          <w:rFonts w:ascii="Arial" w:cs="Arial" w:eastAsia="Arial" w:hAnsi="Arial"/>
          <w:sz w:val="14"/>
          <w:szCs w:val="14"/>
          <w:color w:val="auto"/>
        </w:rPr>
        <w:t>affected.</w:t>
      </w:r>
    </w:p>
    <w:p>
      <w:pPr>
        <w:spacing w:after="0" w:line="15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If our employees or the employees of our manufacturing and co-packing partners, warehousing and fulfillment service providers or shipping partners were to engage in a strike, work stoppage or other slowdown in the future, we could experience a significant disruption of our operations, which could interfere with our ability to deliver products on a timely basis and could have</w:t>
      </w:r>
    </w:p>
    <w:p>
      <w:pPr>
        <w:spacing w:after="0" w:line="1" w:lineRule="exact"/>
        <w:rPr>
          <w:sz w:val="20"/>
          <w:szCs w:val="20"/>
          <w:color w:val="auto"/>
        </w:rPr>
      </w:pPr>
    </w:p>
    <w:p>
      <w:pPr>
        <w:ind w:right="240"/>
        <w:spacing w:after="0" w:line="228" w:lineRule="auto"/>
        <w:rPr>
          <w:sz w:val="20"/>
          <w:szCs w:val="20"/>
          <w:color w:val="auto"/>
        </w:rPr>
      </w:pPr>
      <w:r>
        <w:rPr>
          <w:rFonts w:ascii="Arial" w:cs="Arial" w:eastAsia="Arial" w:hAnsi="Arial"/>
          <w:sz w:val="14"/>
          <w:szCs w:val="14"/>
          <w:color w:val="auto"/>
        </w:rPr>
        <w:t>other negative effects, such as decreased productivity and increased labor costs. Any interruption in the delivery of our products could reduce demand for our products and could have a material adverse effect on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Additionally, our success depends on our ability to attract, train and retain a sufficient number of employees who understand and appreciate our culture and can represent our brand</w:t>
      </w:r>
    </w:p>
    <w:p>
      <w:pPr>
        <w:spacing w:after="0" w:line="11" w:lineRule="exact"/>
        <w:rPr>
          <w:sz w:val="20"/>
          <w:szCs w:val="20"/>
          <w:color w:val="auto"/>
        </w:rPr>
      </w:pPr>
    </w:p>
    <w:p>
      <w:pPr>
        <w:ind w:right="40"/>
        <w:spacing w:after="0" w:line="220" w:lineRule="auto"/>
        <w:rPr>
          <w:sz w:val="20"/>
          <w:szCs w:val="20"/>
          <w:color w:val="auto"/>
        </w:rPr>
      </w:pPr>
      <w:r>
        <w:rPr>
          <w:rFonts w:ascii="Arial" w:cs="Arial" w:eastAsia="Arial" w:hAnsi="Arial"/>
          <w:sz w:val="14"/>
          <w:szCs w:val="14"/>
          <w:color w:val="auto"/>
        </w:rPr>
        <w:t>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expectations, our business and brand image may be impaired.</w:t>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reputation and our consumers’ willingness to purchase our products depend in part on the compliance of our suppliers, manufacturers, distributors, and retailer partners, as well as the</w:t>
      </w:r>
    </w:p>
    <w:p>
      <w:pPr>
        <w:spacing w:after="0" w:line="23"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w:t>
      </w:r>
    </w:p>
    <w:p>
      <w:pPr>
        <w:ind w:right="60"/>
        <w:spacing w:after="0" w:line="237" w:lineRule="auto"/>
        <w:rPr>
          <w:sz w:val="20"/>
          <w:szCs w:val="20"/>
          <w:color w:val="auto"/>
        </w:rPr>
      </w:pPr>
      <w:r>
        <w:rPr>
          <w:rFonts w:ascii="Arial" w:cs="Arial" w:eastAsia="Arial" w:hAnsi="Arial"/>
          <w:sz w:val="13"/>
          <w:szCs w:val="13"/>
          <w:color w:val="auto"/>
        </w:rPr>
        <w:t>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international nature of our business subjects us to additional risks.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subject to a number of risks related to doing business internationally, any of which could significantly harm our business. These risks include:</w:t>
      </w:r>
    </w:p>
    <w:p>
      <w:pPr>
        <w:spacing w:after="0" w:line="62"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restrictions on the transfer of funds to and from foreign countries, including potentially negative tax consequences;</w:t>
      </w:r>
    </w:p>
    <w:p>
      <w:pPr>
        <w:spacing w:after="0" w:line="72" w:lineRule="exact"/>
        <w:rPr>
          <w:rFonts w:ascii="Arial" w:cs="Arial" w:eastAsia="Arial" w:hAnsi="Arial"/>
          <w:sz w:val="14"/>
          <w:szCs w:val="14"/>
          <w:color w:val="auto"/>
        </w:rPr>
      </w:pPr>
    </w:p>
    <w:p>
      <w:pPr>
        <w:ind w:left="520" w:right="10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unfavorable changes in tariffs, quotas, trade barriers or other export or import restrictions, including navigating the changing relationships between countries such as the United States and China and between the United Kingdom and the European Union;</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unfavorable foreign exchange controls and variation in currency exchange rates;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increased exposure to general international market and economic conditions;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political, economic, environmental, health-related or social uncertainty and volatility;</w:t>
      </w:r>
    </w:p>
    <w:p>
      <w:pPr>
        <w:spacing w:after="0" w:line="61" w:lineRule="exact"/>
        <w:rPr>
          <w:rFonts w:ascii="Arial" w:cs="Arial" w:eastAsia="Arial" w:hAnsi="Arial"/>
          <w:sz w:val="14"/>
          <w:szCs w:val="14"/>
          <w:color w:val="auto"/>
        </w:rPr>
      </w:pPr>
    </w:p>
    <w:p>
      <w:pPr>
        <w:ind w:left="520" w:right="40" w:hanging="260"/>
        <w:spacing w:after="0" w:line="23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or FCPA, and the U.K. Bribery Act) and data privacy laws and regulations (including the EU’s General Data Protection Regulation);</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of differing labor and employment laws and standards;</w:t>
      </w:r>
    </w:p>
    <w:p>
      <w:pPr>
        <w:spacing w:after="0" w:line="61" w:lineRule="exact"/>
        <w:rPr>
          <w:rFonts w:ascii="Arial" w:cs="Arial" w:eastAsia="Arial" w:hAnsi="Arial"/>
          <w:sz w:val="14"/>
          <w:szCs w:val="14"/>
          <w:color w:val="auto"/>
        </w:rPr>
      </w:pPr>
    </w:p>
    <w:p>
      <w:pPr>
        <w:ind w:left="520" w:right="300" w:hanging="260"/>
        <w:spacing w:after="0" w:line="249"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significant differences in regulations across international markets, including new regulations that could impact requirements applicable to our products and the regulatory impacts on a globally integrated supply chain;</w:t>
      </w:r>
    </w:p>
    <w:p>
      <w:pPr>
        <w:spacing w:after="0" w:line="37" w:lineRule="exact"/>
        <w:rPr>
          <w:rFonts w:ascii="Arial" w:cs="Arial" w:eastAsia="Arial" w:hAnsi="Arial"/>
          <w:sz w:val="14"/>
          <w:szCs w:val="14"/>
          <w:color w:val="auto"/>
        </w:rPr>
      </w:pPr>
    </w:p>
    <w:p>
      <w:pPr>
        <w:ind w:left="520" w:right="54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5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difficulty and costs of designing and implementing an effective control environment across diverse regions and employee bases;</w:t>
      </w:r>
    </w:p>
    <w:p>
      <w:pPr>
        <w:spacing w:after="0" w:line="61" w:lineRule="exact"/>
        <w:rPr>
          <w:rFonts w:ascii="Arial" w:cs="Arial" w:eastAsia="Arial" w:hAnsi="Arial"/>
          <w:sz w:val="14"/>
          <w:szCs w:val="14"/>
          <w:color w:val="auto"/>
        </w:rPr>
      </w:pPr>
    </w:p>
    <w:p>
      <w:pPr>
        <w:ind w:left="520" w:right="14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complexities of monitoring and managing compliance with a broad array of international laws related to data privacy and data protection, as well as cross-border transfers of personal data;</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18" w:right="4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61"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and costs of maintaining effective data security;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global cost and pricing pressures;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complex supply chain and shipping logistical challenges;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unfavorable and/or changing foreign tax treaties and policies.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exposure to foreign currency exchange rate fluctuations.</w:t>
      </w:r>
    </w:p>
    <w:p>
      <w:pPr>
        <w:spacing w:after="0" w:line="179" w:lineRule="exact"/>
        <w:rPr>
          <w:sz w:val="20"/>
          <w:szCs w:val="20"/>
          <w:color w:val="auto"/>
        </w:rPr>
      </w:pPr>
    </w:p>
    <w:p>
      <w:pPr>
        <w:ind w:right="80" w:firstLine="509"/>
        <w:spacing w:after="0" w:line="252" w:lineRule="auto"/>
        <w:rPr>
          <w:sz w:val="20"/>
          <w:szCs w:val="20"/>
          <w:color w:val="auto"/>
        </w:rPr>
      </w:pPr>
      <w:r>
        <w:rPr>
          <w:rFonts w:ascii="Arial" w:cs="Arial" w:eastAsia="Arial" w:hAnsi="Arial"/>
          <w:sz w:val="12"/>
          <w:szCs w:val="12"/>
          <w:color w:val="auto"/>
        </w:rPr>
        <w:t>While most of our transactions are in U.S. dollars and we anticipate reporting our financial performance in U.S. dollars, we currently have revenues denominated in other foreign currencies, and also procure some of our coconut water in local currencies. In the future, we may have a higher volume of transactions denominated in these or additional foreign currencies. Accordingly, changes in the value of foreign currencies relative to the U.S. dollar can affect our product cost, revenue and operating results, and as our international operations expand, our exposure to the effects</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14"/>
          <w:szCs w:val="14"/>
          <w:color w:val="auto"/>
        </w:rPr>
        <w:t>of fluctuations in currency exchange rates will grow.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common stock could be lowered.</w:t>
      </w:r>
    </w:p>
    <w:p>
      <w:pPr>
        <w:spacing w:after="0" w:line="161" w:lineRule="exact"/>
        <w:rPr>
          <w:sz w:val="20"/>
          <w:szCs w:val="20"/>
          <w:color w:val="auto"/>
        </w:rPr>
      </w:pPr>
    </w:p>
    <w:p>
      <w:pPr>
        <w:ind w:right="40" w:firstLine="509"/>
        <w:spacing w:after="0" w:line="252" w:lineRule="auto"/>
        <w:rPr>
          <w:sz w:val="20"/>
          <w:szCs w:val="20"/>
          <w:color w:val="auto"/>
        </w:rPr>
      </w:pPr>
      <w:r>
        <w:rPr>
          <w:rFonts w:ascii="Arial" w:cs="Arial" w:eastAsia="Arial" w:hAnsi="Arial"/>
          <w:sz w:val="12"/>
          <w:szCs w:val="12"/>
          <w:color w:val="auto"/>
        </w:rPr>
        <w:t>From time to time, we engage in exchange rate hedging activities, including the use of derivative instruments such as foreign currency forward and option contracts, in an effort to mitigate the impact of exchange rate fluctuations. However, we cannot guarantee that any hedging technique we implement will be effective, as any such technique may not offset, or may only offset a portion of, the adverse financial effects of unfavorable movements in foreign exchange rates over the limited time the hedges are in place. If our hedging activities are not effective, changes in currency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exchange rate may have a more significant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sustainability and corporate social responsibility.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business faces increasing scrutiny related to environmental, social and governance issues, including sustainable development, product packaging, renewable resources, environmental</w:t>
      </w:r>
    </w:p>
    <w:p>
      <w:pPr>
        <w:spacing w:after="0" w:line="23" w:lineRule="exact"/>
        <w:rPr>
          <w:sz w:val="20"/>
          <w:szCs w:val="20"/>
          <w:color w:val="auto"/>
        </w:rPr>
      </w:pPr>
    </w:p>
    <w:p>
      <w:pPr>
        <w:jc w:val="both"/>
        <w:ind w:right="40"/>
        <w:spacing w:after="0" w:line="246" w:lineRule="auto"/>
        <w:rPr>
          <w:sz w:val="20"/>
          <w:szCs w:val="20"/>
          <w:color w:val="auto"/>
        </w:rPr>
      </w:pPr>
      <w:r>
        <w:rPr>
          <w:rFonts w:ascii="Arial" w:cs="Arial" w:eastAsia="Arial" w:hAnsi="Arial"/>
          <w:sz w:val="12"/>
          <w:szCs w:val="12"/>
          <w:color w:val="auto"/>
        </w:rPr>
        <w:t>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Our efforts to ensure we meet these standards rely on our leadership, contracts, internal and third-party audits and on continued monitoring of potential risks and solutions. If we fail to meet applicable standards</w:t>
      </w:r>
    </w:p>
    <w:p>
      <w:pPr>
        <w:ind w:right="520"/>
        <w:spacing w:after="0" w:line="228" w:lineRule="auto"/>
        <w:rPr>
          <w:sz w:val="20"/>
          <w:szCs w:val="20"/>
          <w:color w:val="auto"/>
        </w:rPr>
      </w:pPr>
      <w:r>
        <w:rPr>
          <w:rFonts w:ascii="Arial" w:cs="Arial" w:eastAsia="Arial" w:hAnsi="Arial"/>
          <w:sz w:val="14"/>
          <w:szCs w:val="14"/>
          <w:color w:val="auto"/>
        </w:rPr>
        <w:t>or expectations with respect to these issues across any of our products and in any of our operations and activities or those of our third party partners, such as manufacturers and co-packer, our reputation and brand image could be damaged, and our business, financial condition, results of operations and cash flows could be adversely impacted.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Further, we have developed a strong corporate reputation over the years for our focus on responsible sourcing and support of our supplier communities. We seek to conduct our business in an</w:t>
      </w:r>
    </w:p>
    <w:p>
      <w:pPr>
        <w:spacing w:after="0" w:line="23"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environmental and social and governance goals, this could have</w:t>
      </w:r>
    </w:p>
    <w:p>
      <w:pPr>
        <w:jc w:val="both"/>
        <w:ind w:right="20"/>
        <w:spacing w:after="0" w:line="220" w:lineRule="auto"/>
        <w:rPr>
          <w:sz w:val="20"/>
          <w:szCs w:val="20"/>
          <w:color w:val="auto"/>
        </w:rPr>
      </w:pPr>
      <w:r>
        <w:rPr>
          <w:rFonts w:ascii="Arial" w:cs="Arial" w:eastAsia="Arial" w:hAnsi="Arial"/>
          <w:sz w:val="14"/>
          <w:szCs w:val="14"/>
          <w:color w:val="auto"/>
        </w:rPr>
        <w:t>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goodwill or amortizable intangible assets become impaired, we may be required to record a significant charge to earnings.</w:t>
      </w:r>
    </w:p>
    <w:p>
      <w:pPr>
        <w:spacing w:after="0" w:line="16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We review our goodwill and amortizable intangible assets for impairment annually or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w:t>
      </w:r>
    </w:p>
    <w:p>
      <w:pPr>
        <w:spacing w:after="0" w:line="1"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assets are impaired, we may be required to record a significant charge to earnings in our financial statements that could have a material adverse effect on our business,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Legal and Regulatory Environment</w:t>
      </w:r>
    </w:p>
    <w:p>
      <w:pPr>
        <w:spacing w:after="0" w:line="172"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14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2"/>
          <w:szCs w:val="12"/>
          <w:color w:val="auto"/>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result in the discontinuance of sales of these products or cessation of our relationships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jc w:val="both"/>
        <w:ind w:right="180"/>
        <w:spacing w:after="0" w:line="259" w:lineRule="auto"/>
        <w:rPr>
          <w:sz w:val="20"/>
          <w:szCs w:val="20"/>
          <w:color w:val="auto"/>
        </w:rPr>
      </w:pPr>
      <w:r>
        <w:rPr>
          <w:rFonts w:ascii="Arial" w:cs="Arial" w:eastAsia="Arial" w:hAnsi="Arial"/>
          <w:sz w:val="12"/>
          <w:szCs w:val="12"/>
          <w:color w:val="auto"/>
        </w:rPr>
        <w:t>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w:t>
      </w:r>
    </w:p>
    <w:p>
      <w:pPr>
        <w:spacing w:after="0" w:line="1" w:lineRule="exact"/>
        <w:rPr>
          <w:sz w:val="20"/>
          <w:szCs w:val="20"/>
          <w:color w:val="auto"/>
        </w:rPr>
      </w:pPr>
    </w:p>
    <w:p>
      <w:pPr>
        <w:ind w:right="260"/>
        <w:spacing w:after="0" w:line="228" w:lineRule="auto"/>
        <w:rPr>
          <w:sz w:val="20"/>
          <w:szCs w:val="20"/>
          <w:color w:val="auto"/>
        </w:rPr>
      </w:pPr>
      <w:r>
        <w:rPr>
          <w:rFonts w:ascii="Arial" w:cs="Arial" w:eastAsia="Arial" w:hAnsi="Arial"/>
          <w:sz w:val="14"/>
          <w:szCs w:val="14"/>
          <w:color w:val="auto"/>
        </w:rPr>
        <w:t>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occurrence of food-borne illnesses or other food safety incidents could also adversely affect the price and availability of affected ingredients and raw materials, resulting in higher costs,</w:t>
      </w:r>
    </w:p>
    <w:p>
      <w:pPr>
        <w:spacing w:after="0" w:line="23"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United States Food and Drug Administration, or the FDA, regulations and comparable foreign laws and regulations, as well as other regulations and laws in the other jurisdictions in which we operate. Product recalls could result in significant</w:t>
      </w:r>
    </w:p>
    <w:p>
      <w:pPr>
        <w:ind w:right="120"/>
        <w:spacing w:after="0" w:line="246" w:lineRule="auto"/>
        <w:rPr>
          <w:sz w:val="20"/>
          <w:szCs w:val="20"/>
          <w:color w:val="auto"/>
        </w:rPr>
      </w:pPr>
      <w:r>
        <w:rPr>
          <w:rFonts w:ascii="Arial" w:cs="Arial" w:eastAsia="Arial" w:hAnsi="Arial"/>
          <w:sz w:val="12"/>
          <w:szCs w:val="12"/>
          <w:color w:val="auto"/>
        </w:rPr>
        <w:t>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w:t>
      </w:r>
    </w:p>
    <w:p>
      <w:pPr>
        <w:spacing w:after="0" w:line="227" w:lineRule="auto"/>
        <w:rPr>
          <w:sz w:val="20"/>
          <w:szCs w:val="20"/>
          <w:color w:val="auto"/>
        </w:rPr>
      </w:pPr>
      <w:r>
        <w:rPr>
          <w:rFonts w:ascii="Arial" w:cs="Arial" w:eastAsia="Arial" w:hAnsi="Arial"/>
          <w:sz w:val="13"/>
          <w:szCs w:val="13"/>
          <w:color w:val="auto"/>
        </w:rPr>
        <w:t>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 and retailer communication in a way that mitigates concerns, might create adverse effects on our</w:t>
      </w:r>
    </w:p>
    <w:p>
      <w:pPr>
        <w:spacing w:after="0"/>
        <w:rPr>
          <w:sz w:val="20"/>
          <w:szCs w:val="20"/>
          <w:color w:val="auto"/>
        </w:rPr>
      </w:pPr>
      <w:r>
        <w:rPr>
          <w:rFonts w:ascii="Arial" w:cs="Arial" w:eastAsia="Arial" w:hAnsi="Arial"/>
          <w:sz w:val="14"/>
          <w:szCs w:val="14"/>
          <w:color w:val="auto"/>
        </w:rPr>
        <w:t>business and reputation, including large recall and disposal costs and significant loss of revenue.</w:t>
      </w:r>
    </w:p>
    <w:p>
      <w:pPr>
        <w:spacing w:after="0" w:line="135" w:lineRule="exact"/>
        <w:rPr>
          <w:sz w:val="20"/>
          <w:szCs w:val="20"/>
          <w:color w:val="auto"/>
        </w:rPr>
      </w:pPr>
    </w:p>
    <w:p>
      <w:pPr>
        <w:ind w:right="40" w:firstLine="509"/>
        <w:spacing w:after="0" w:line="259" w:lineRule="auto"/>
        <w:rPr>
          <w:sz w:val="20"/>
          <w:szCs w:val="20"/>
          <w:color w:val="auto"/>
        </w:rPr>
      </w:pPr>
      <w:r>
        <w:rPr>
          <w:rFonts w:ascii="Arial" w:cs="Arial" w:eastAsia="Arial" w:hAnsi="Arial"/>
          <w:sz w:val="12"/>
          <w:szCs w:val="12"/>
          <w:color w:val="auto"/>
        </w:rPr>
        <w:t>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 contaminants and pathological organisms into consumer products as well as</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w:t>
      </w:r>
    </w:p>
    <w:p>
      <w:pPr>
        <w:ind w:right="80"/>
        <w:spacing w:after="0" w:line="228" w:lineRule="auto"/>
        <w:rPr>
          <w:sz w:val="20"/>
          <w:szCs w:val="20"/>
          <w:color w:val="auto"/>
        </w:rPr>
      </w:pPr>
      <w:r>
        <w:rPr>
          <w:rFonts w:ascii="Arial" w:cs="Arial" w:eastAsia="Arial" w:hAnsi="Arial"/>
          <w:sz w:val="14"/>
          <w:szCs w:val="14"/>
          <w:color w:val="auto"/>
        </w:rPr>
        <w:t>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13" w:lineRule="exact"/>
        <w:rPr>
          <w:sz w:val="20"/>
          <w:szCs w:val="20"/>
          <w:color w:val="auto"/>
        </w:rPr>
      </w:pPr>
    </w:p>
    <w:p>
      <w:pPr>
        <w:ind w:right="120"/>
        <w:spacing w:after="0" w:line="287" w:lineRule="auto"/>
        <w:rPr>
          <w:sz w:val="20"/>
          <w:szCs w:val="20"/>
          <w:color w:val="auto"/>
        </w:rPr>
      </w:pPr>
      <w:r>
        <w:rPr>
          <w:rFonts w:ascii="Arial" w:cs="Arial" w:eastAsia="Arial" w:hAnsi="Arial"/>
          <w:sz w:val="13"/>
          <w:szCs w:val="13"/>
          <w:b w:val="1"/>
          <w:bCs w:val="1"/>
          <w:i w:val="1"/>
          <w:iCs w:val="1"/>
          <w:color w:val="auto"/>
        </w:rPr>
        <w:t>Our products and operations are subject to government regulation and oversight both in the United States and abroad, and our failure to comply with applicable requirements, or to respond to changes in regulations applicable to our business could adversely affect our business, financial condition, results of operations and cash flows.</w:t>
      </w:r>
    </w:p>
    <w:p>
      <w:pPr>
        <w:spacing w:after="0" w:line="9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2"/>
          <w:szCs w:val="12"/>
          <w:color w:val="auto"/>
        </w:rPr>
        <w:t>The manufacture,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sale, quality and safety of our products, as well as the health and safety of employees and the protection of the environment.</w:t>
      </w:r>
    </w:p>
    <w:p>
      <w:pPr>
        <w:spacing w:after="0" w:line="135"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Our products and operations and those of our manufacturing and co-packing partners are subject to oversight by multiple U.S. and international regulatory agencies including the USDA, the FDA, the FTC, the Environmental Protection Agency (EPA), the European Commission and the U.K.’s Food Standards Agency, Health and Safety Executive, Environment Agency, Environmental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Health Officers and Trading Standards Officers and the Singapore Food Agency, among others. These agencies regulate, among other things, with respect to our products and operations:</w:t>
      </w:r>
    </w:p>
    <w:p>
      <w:pPr>
        <w:spacing w:after="0" w:line="61"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design, development and manufacturing;</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testing, labeling, content and language of instructions for use and storage;</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product safety;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marketing, sales and distribution;</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record keeping procedures;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advertising and promotion;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recalls and corrective actions;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product import and export.</w:t>
      </w:r>
    </w:p>
    <w:p>
      <w:pPr>
        <w:spacing w:after="0" w:line="147" w:lineRule="exact"/>
        <w:rPr>
          <w:sz w:val="20"/>
          <w:szCs w:val="20"/>
          <w:color w:val="auto"/>
        </w:rPr>
      </w:pPr>
    </w:p>
    <w:p>
      <w:pPr>
        <w:ind w:right="80" w:firstLine="509"/>
        <w:spacing w:after="0" w:line="249" w:lineRule="auto"/>
        <w:rPr>
          <w:sz w:val="20"/>
          <w:szCs w:val="20"/>
          <w:color w:val="auto"/>
        </w:rPr>
      </w:pPr>
      <w:r>
        <w:rPr>
          <w:rFonts w:ascii="Arial" w:cs="Arial" w:eastAsia="Arial" w:hAnsi="Arial"/>
          <w:sz w:val="14"/>
          <w:szCs w:val="14"/>
          <w:color w:val="auto"/>
        </w:rPr>
        <w:t>In the United States, for example, we are subject to the requirements of the Federal Food, Drug and Cosmetic Act and regulations promulgated thereunder by the FDA. This comprehensive regulatory program governs, among other things,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spacing w:after="0" w:line="259" w:lineRule="auto"/>
        <w:rPr>
          <w:sz w:val="20"/>
          <w:szCs w:val="20"/>
          <w:color w:val="auto"/>
        </w:rPr>
      </w:pPr>
      <w:r>
        <w:rPr>
          <w:rFonts w:ascii="Arial" w:cs="Arial" w:eastAsia="Arial" w:hAnsi="Arial"/>
          <w:sz w:val="12"/>
          <w:szCs w:val="12"/>
          <w:color w:val="auto"/>
        </w:rPr>
        <w:t>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or cGMP, and supplier</w:t>
      </w:r>
    </w:p>
    <w:p>
      <w:pPr>
        <w:spacing w:after="0" w:line="1" w:lineRule="exact"/>
        <w:rPr>
          <w:sz w:val="20"/>
          <w:szCs w:val="20"/>
          <w:color w:val="auto"/>
        </w:rPr>
      </w:pPr>
    </w:p>
    <w:p>
      <w:pPr>
        <w:jc w:val="both"/>
        <w:ind w:right="140"/>
        <w:spacing w:after="0" w:line="246" w:lineRule="auto"/>
        <w:rPr>
          <w:sz w:val="20"/>
          <w:szCs w:val="20"/>
          <w:color w:val="auto"/>
        </w:rPr>
      </w:pPr>
      <w:r>
        <w:rPr>
          <w:rFonts w:ascii="Arial" w:cs="Arial" w:eastAsia="Arial" w:hAnsi="Arial"/>
          <w:sz w:val="12"/>
          <w:szCs w:val="12"/>
          <w:color w:val="auto"/>
        </w:rPr>
        <w:t>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w:t>
      </w:r>
    </w:p>
    <w:p>
      <w:pPr>
        <w:ind w:right="320"/>
        <w:spacing w:after="0" w:line="220" w:lineRule="auto"/>
        <w:rPr>
          <w:sz w:val="20"/>
          <w:szCs w:val="20"/>
          <w:color w:val="auto"/>
        </w:rPr>
      </w:pPr>
      <w:r>
        <w:rPr>
          <w:rFonts w:ascii="Arial" w:cs="Arial" w:eastAsia="Arial" w:hAnsi="Arial"/>
          <w:sz w:val="14"/>
          <w:szCs w:val="14"/>
          <w:color w:val="auto"/>
        </w:rPr>
        <w:t>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w:t>
      </w:r>
    </w:p>
    <w:p>
      <w:pPr>
        <w:spacing w:after="0" w:line="161" w:lineRule="exact"/>
        <w:rPr>
          <w:sz w:val="20"/>
          <w:szCs w:val="20"/>
          <w:color w:val="auto"/>
        </w:rPr>
      </w:pPr>
    </w:p>
    <w:p>
      <w:pPr>
        <w:ind w:right="100" w:firstLine="509"/>
        <w:spacing w:after="0" w:line="233" w:lineRule="auto"/>
        <w:rPr>
          <w:sz w:val="20"/>
          <w:szCs w:val="20"/>
          <w:color w:val="auto"/>
        </w:rPr>
      </w:pPr>
      <w:r>
        <w:rPr>
          <w:rFonts w:ascii="Arial" w:cs="Arial" w:eastAsia="Arial" w:hAnsi="Arial"/>
          <w:sz w:val="13"/>
          <w:szCs w:val="13"/>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costs or loss of revenue, resulting in a material effect on our business, financial condition, results of operations and cash flows.The regulations to which we are subject are complex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160"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Certain of our products are advertised with claims as to their origin, ingredients or health, wellness, environmental or other potential benefits, including, by way of example, the use of the</w:t>
      </w:r>
    </w:p>
    <w:p>
      <w:pPr>
        <w:spacing w:after="0" w:line="11"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245" w:lineRule="exact"/>
        <w:rPr>
          <w:sz w:val="20"/>
          <w:szCs w:val="20"/>
          <w:color w:val="auto"/>
        </w:rPr>
      </w:pPr>
    </w:p>
    <w:p>
      <w:pPr>
        <w:ind w:right="100" w:firstLine="509"/>
        <w:spacing w:after="0" w:line="226" w:lineRule="auto"/>
        <w:rPr>
          <w:sz w:val="20"/>
          <w:szCs w:val="20"/>
          <w:color w:val="auto"/>
        </w:rPr>
      </w:pPr>
      <w:r>
        <w:rPr>
          <w:rFonts w:ascii="Arial" w:cs="Arial" w:eastAsia="Arial" w:hAnsi="Arial"/>
          <w:sz w:val="14"/>
          <w:szCs w:val="14"/>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161" w:lineRule="exact"/>
        <w:rPr>
          <w:sz w:val="20"/>
          <w:szCs w:val="20"/>
          <w:color w:val="auto"/>
        </w:rPr>
      </w:pPr>
    </w:p>
    <w:p>
      <w:pPr>
        <w:ind w:right="40" w:firstLine="509"/>
        <w:spacing w:after="0" w:line="252" w:lineRule="auto"/>
        <w:rPr>
          <w:sz w:val="20"/>
          <w:szCs w:val="20"/>
          <w:color w:val="auto"/>
        </w:rPr>
      </w:pPr>
      <w:r>
        <w:rPr>
          <w:rFonts w:ascii="Arial" w:cs="Arial" w:eastAsia="Arial" w:hAnsi="Arial"/>
          <w:sz w:val="12"/>
          <w:szCs w:val="12"/>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w:t>
      </w:r>
    </w:p>
    <w:p>
      <w:pPr>
        <w:spacing w:after="0" w:line="2" w:lineRule="exact"/>
        <w:rPr>
          <w:sz w:val="20"/>
          <w:szCs w:val="20"/>
          <w:color w:val="auto"/>
        </w:rPr>
      </w:pPr>
    </w:p>
    <w:p>
      <w:pPr>
        <w:jc w:val="both"/>
        <w:ind w:right="320"/>
        <w:spacing w:after="0" w:line="265" w:lineRule="auto"/>
        <w:rPr>
          <w:sz w:val="20"/>
          <w:szCs w:val="20"/>
          <w:color w:val="auto"/>
        </w:rPr>
      </w:pPr>
      <w:r>
        <w:rPr>
          <w:rFonts w:ascii="Arial" w:cs="Arial" w:eastAsia="Arial" w:hAnsi="Arial"/>
          <w:sz w:val="12"/>
          <w:szCs w:val="12"/>
          <w:color w:val="auto"/>
        </w:rPr>
        <w:t>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125" w:lineRule="exact"/>
        <w:rPr>
          <w:sz w:val="20"/>
          <w:szCs w:val="20"/>
          <w:color w:val="auto"/>
        </w:rPr>
      </w:pPr>
    </w:p>
    <w:p>
      <w:pPr>
        <w:ind w:right="120" w:firstLine="509"/>
        <w:spacing w:after="0" w:line="252" w:lineRule="auto"/>
        <w:rPr>
          <w:sz w:val="20"/>
          <w:szCs w:val="20"/>
          <w:color w:val="auto"/>
        </w:rPr>
      </w:pPr>
      <w:r>
        <w:rPr>
          <w:rFonts w:ascii="Arial" w:cs="Arial" w:eastAsia="Arial" w:hAnsi="Arial"/>
          <w:sz w:val="12"/>
          <w:szCs w:val="12"/>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w:t>
      </w:r>
    </w:p>
    <w:p>
      <w:pPr>
        <w:spacing w:after="0" w:line="2" w:lineRule="exact"/>
        <w:rPr>
          <w:sz w:val="20"/>
          <w:szCs w:val="20"/>
          <w:color w:val="auto"/>
        </w:rPr>
      </w:pPr>
    </w:p>
    <w:p>
      <w:pPr>
        <w:ind w:right="440"/>
        <w:spacing w:after="0" w:line="237" w:lineRule="auto"/>
        <w:rPr>
          <w:sz w:val="20"/>
          <w:szCs w:val="20"/>
          <w:color w:val="auto"/>
        </w:rPr>
      </w:pPr>
      <w:r>
        <w:rPr>
          <w:rFonts w:ascii="Arial" w:cs="Arial" w:eastAsia="Arial" w:hAnsi="Arial"/>
          <w:sz w:val="13"/>
          <w:szCs w:val="13"/>
          <w:color w:val="auto"/>
        </w:rPr>
        <w:t>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regulatory environment in which we operate could also change significantly and adversely in the future. New or changing regulations could impact the way consumers view our</w:t>
      </w:r>
    </w:p>
    <w:p>
      <w:pPr>
        <w:ind w:right="160"/>
        <w:spacing w:after="0" w:line="292" w:lineRule="auto"/>
        <w:rPr>
          <w:sz w:val="20"/>
          <w:szCs w:val="20"/>
          <w:color w:val="auto"/>
        </w:rPr>
      </w:pPr>
      <w:r>
        <w:rPr>
          <w:rFonts w:ascii="Arial" w:cs="Arial" w:eastAsia="Arial" w:hAnsi="Arial"/>
          <w:sz w:val="12"/>
          <w:szCs w:val="12"/>
          <w:color w:val="auto"/>
        </w:rPr>
        <w:t>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2"/>
          <w:szCs w:val="12"/>
          <w:color w:val="auto"/>
        </w:rPr>
        <w:t>Any loss of confidence on the part of consumers in the truthfulness of our labeling, advertising or ingredient claims would be difficult and costly to overcome and may significantly reduce our brand value. In addition, packaging has to be suitable to distributor and retail handling and scanning, and any failures of the packaging to meet these expectations could cause recall or product</w:t>
      </w:r>
    </w:p>
    <w:p>
      <w:pPr>
        <w:spacing w:after="0" w:line="1" w:lineRule="exact"/>
        <w:rPr>
          <w:sz w:val="20"/>
          <w:szCs w:val="20"/>
          <w:color w:val="auto"/>
        </w:rPr>
      </w:pPr>
    </w:p>
    <w:p>
      <w:pPr>
        <w:ind w:right="440"/>
        <w:spacing w:after="0" w:line="228" w:lineRule="auto"/>
        <w:rPr>
          <w:sz w:val="20"/>
          <w:szCs w:val="20"/>
          <w:color w:val="auto"/>
        </w:rPr>
      </w:pPr>
      <w:r>
        <w:rPr>
          <w:rFonts w:ascii="Arial" w:cs="Arial" w:eastAsia="Arial" w:hAnsi="Arial"/>
          <w:sz w:val="14"/>
          <w:szCs w:val="14"/>
          <w:color w:val="auto"/>
        </w:rPr>
        <w:t>destruction. Any of these events could adversely affect our brands, increase our costs, and decrease our sales, which could have an adverse effect on our business, financial condition,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federal, state and international laws and regulations relating to data privacy, data protection, advertising and consumer protection, or the expansion of current or the</w:t>
      </w:r>
    </w:p>
    <w:p>
      <w:pPr>
        <w:spacing w:after="0" w:line="2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b w:val="1"/>
          <w:bCs w:val="1"/>
          <w:i w:val="1"/>
          <w:iCs w:val="1"/>
          <w:color w:val="auto"/>
        </w:rPr>
        <w:t>enactment of new laws or regulations relating to data privacy, data protection, advertising and consumer protection, could adversely affect our business, financial condition, results of operations and cash flows.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may collect, maintain, and otherwise process personally identifiable information and other data relating to our customers and employees. Additionally, we sell products directly to</w:t>
      </w:r>
    </w:p>
    <w:p>
      <w:pPr>
        <w:spacing w:after="0" w:line="11" w:lineRule="exact"/>
        <w:rPr>
          <w:sz w:val="20"/>
          <w:szCs w:val="20"/>
          <w:color w:val="auto"/>
        </w:rPr>
      </w:pPr>
    </w:p>
    <w:p>
      <w:pPr>
        <w:ind w:right="180"/>
        <w:spacing w:after="0" w:line="220" w:lineRule="auto"/>
        <w:rPr>
          <w:sz w:val="20"/>
          <w:szCs w:val="20"/>
          <w:color w:val="auto"/>
        </w:rPr>
      </w:pPr>
      <w:r>
        <w:rPr>
          <w:rFonts w:ascii="Arial" w:cs="Arial" w:eastAsia="Arial" w:hAnsi="Arial"/>
          <w:sz w:val="14"/>
          <w:szCs w:val="14"/>
          <w:color w:val="auto"/>
        </w:rPr>
        <w:t>consumers from our website and rely on a variety of marketing techniques, including email and social media marketing, and we are subject to various laws and regulations that govern such selling, marketing and advertising practices. We are subject to numerous state, federal and international laws, rules and regulations that govern the collection, use and protection of personally identifiable information.</w:t>
      </w:r>
    </w:p>
    <w:p>
      <w:pPr>
        <w:spacing w:after="0" w:line="246" w:lineRule="exact"/>
        <w:rPr>
          <w:sz w:val="20"/>
          <w:szCs w:val="20"/>
          <w:color w:val="auto"/>
        </w:rPr>
      </w:pPr>
    </w:p>
    <w:p>
      <w:pPr>
        <w:ind w:right="40" w:firstLine="509"/>
        <w:spacing w:after="0" w:line="252" w:lineRule="auto"/>
        <w:rPr>
          <w:sz w:val="20"/>
          <w:szCs w:val="20"/>
          <w:color w:val="auto"/>
        </w:rPr>
      </w:pPr>
      <w:r>
        <w:rPr>
          <w:rFonts w:ascii="Arial" w:cs="Arial" w:eastAsia="Arial" w:hAnsi="Arial"/>
          <w:sz w:val="12"/>
          <w:szCs w:val="12"/>
          <w:color w:val="auto"/>
        </w:rPr>
        <w:t>In the United States, federal and state laws impose limits on, or requirements regarding the collection, distribution, use, security and storage of personally identifiable information of individuals and there has also been increased regulation of data privacy and security particularly at the state level. For example, in November 2020, California voters passed the California Privacy Rights Act which takes effect in 2023 and significantly expands the California Consumer Privacy Act. We expect that there will continue to be new proposed laws, regulations, and industry standards</w:t>
      </w:r>
    </w:p>
    <w:p>
      <w:pPr>
        <w:spacing w:after="0" w:line="2"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concerning data privacy, data protection, and information security in the United States and other jurisdictions at all levels of legislature, governance, and applicability. We cannot yet fully determine the impact that these or future laws, rules, and regulations may have on our business or operations.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Foreign data privacy laws are also rapidly changing and have become more stringent in recent years. In European Economic Area and the United Kingdom, the European Union’s General</w:t>
      </w:r>
    </w:p>
    <w:p>
      <w:pPr>
        <w:spacing w:after="0" w:line="11"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Data Protection Regulation, the United Kingdom’s General Data Protection Regulation, and the UK Data Protection Act 2018, collectively referred to as the GDPR, impose strict obligations on the ability to collect, analyze, transfer and otherwise process personal data. This includes requirements with respect to accountability, transparency, obtaining individual consent, international data transfers, security and confidentiality and personal data breach notifications, which may restrict our processing activities. Separate, restrictive obligations relating to electronic marketing and the use</w:t>
      </w:r>
    </w:p>
    <w:p>
      <w:pPr>
        <w:jc w:val="both"/>
        <w:ind w:right="60"/>
        <w:spacing w:after="0" w:line="246" w:lineRule="auto"/>
        <w:rPr>
          <w:sz w:val="20"/>
          <w:szCs w:val="20"/>
          <w:color w:val="auto"/>
        </w:rPr>
      </w:pPr>
      <w:r>
        <w:rPr>
          <w:rFonts w:ascii="Arial" w:cs="Arial" w:eastAsia="Arial" w:hAnsi="Arial"/>
          <w:sz w:val="12"/>
          <w:szCs w:val="12"/>
          <w:color w:val="auto"/>
        </w:rPr>
        <w:t>of cookies may limit our ability to advertise. The interpretation and application of many existing or recently enacted data privacy and data protection laws and regulations in the European Union, the United Kingdom, the United States and elsewhere are increasingly complex, uncertain and fluid, and it is possible that such laws, regulations and standards may be interpreted or applied in a manner that is inconsistent with our existing practices. For example, recent developments in Europe have created complexity and uncertainty regarding transfers of personal data from the EEA and the UK to</w:t>
      </w:r>
    </w:p>
    <w:p>
      <w:pPr>
        <w:spacing w:after="0"/>
        <w:rPr>
          <w:sz w:val="20"/>
          <w:szCs w:val="20"/>
          <w:color w:val="auto"/>
        </w:rPr>
      </w:pPr>
      <w:r>
        <w:rPr>
          <w:rFonts w:ascii="Arial" w:cs="Arial" w:eastAsia="Arial" w:hAnsi="Arial"/>
          <w:sz w:val="14"/>
          <w:szCs w:val="14"/>
          <w:color w:val="auto"/>
        </w:rPr>
        <w:t>the United States.</w:t>
      </w:r>
    </w:p>
    <w:p>
      <w:pPr>
        <w:spacing w:after="0" w:line="13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2"/>
          <w:szCs w:val="12"/>
          <w:color w:val="auto"/>
        </w:rPr>
        <w:t>Further, 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2"/>
          <w:szCs w:val="12"/>
          <w:color w:val="auto"/>
        </w:rPr>
        <w:t>SPAM Act, establishes specific requirements for commercial email messages in the United States. Governmental authorities, including in the European Union and the United Kingdom,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w:t>
      </w:r>
    </w:p>
    <w:p>
      <w:pPr>
        <w:ind w:right="120"/>
        <w:spacing w:after="0" w:line="228" w:lineRule="auto"/>
        <w:rPr>
          <w:sz w:val="20"/>
          <w:szCs w:val="20"/>
          <w:color w:val="auto"/>
        </w:rPr>
      </w:pPr>
      <w:r>
        <w:rPr>
          <w:rFonts w:ascii="Arial" w:cs="Arial" w:eastAsia="Arial" w:hAnsi="Arial"/>
          <w:sz w:val="14"/>
          <w:szCs w:val="14"/>
          <w:color w:val="auto"/>
        </w:rPr>
        <w:t>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Consumer resistance to the collection and sharing of the data used to deliver targeted advertising, increased visibility of consent or “do not track” mechanisms as a result of industry</w:t>
      </w:r>
    </w:p>
    <w:p>
      <w:pPr>
        <w:ind w:right="220"/>
        <w:spacing w:after="0" w:line="251" w:lineRule="auto"/>
        <w:rPr>
          <w:sz w:val="20"/>
          <w:szCs w:val="20"/>
          <w:color w:val="auto"/>
        </w:rPr>
      </w:pPr>
      <w:r>
        <w:rPr>
          <w:rFonts w:ascii="Arial" w:cs="Arial" w:eastAsia="Arial" w:hAnsi="Arial"/>
          <w:sz w:val="13"/>
          <w:szCs w:val="13"/>
          <w:color w:val="auto"/>
        </w:rPr>
        <w:t>regulatory or legal developments, the adoption by consumers of browser settings or “ad-blocking” software, and the development and deployment of new technologies could materially impact our ability or our media buyers’ ability to collect data or to efficiently and effectively deliver relevant promotions or media, which could materially impair the results of our operations.</w:t>
      </w:r>
    </w:p>
    <w:p>
      <w:pPr>
        <w:spacing w:after="0" w:line="142" w:lineRule="exact"/>
        <w:rPr>
          <w:sz w:val="20"/>
          <w:szCs w:val="20"/>
          <w:color w:val="auto"/>
        </w:rPr>
      </w:pPr>
    </w:p>
    <w:p>
      <w:pPr>
        <w:ind w:right="80" w:firstLine="509"/>
        <w:spacing w:after="0" w:line="259" w:lineRule="auto"/>
        <w:rPr>
          <w:sz w:val="20"/>
          <w:szCs w:val="20"/>
          <w:color w:val="auto"/>
        </w:rPr>
      </w:pPr>
      <w:r>
        <w:rPr>
          <w:rFonts w:ascii="Arial" w:cs="Arial" w:eastAsia="Arial" w:hAnsi="Arial"/>
          <w:sz w:val="12"/>
          <w:szCs w:val="12"/>
          <w:color w:val="auto"/>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4"/>
          <w:szCs w:val="14"/>
          <w:color w:val="auto"/>
        </w:rPr>
        <w:t>party cookies and other methods of online tracking becoming significantly less effective. Loss in our ability to make effective use of services that employ such technologies could increase our costs of operations and limit our ability to acquire new consumers on cost-effective terms, which, in turn, could have an adverse effect on our business, financial condition, results of operations and cash flows.</w:t>
      </w:r>
    </w:p>
    <w:p>
      <w:pPr>
        <w:spacing w:after="0" w:line="161" w:lineRule="exact"/>
        <w:rPr>
          <w:sz w:val="20"/>
          <w:szCs w:val="20"/>
          <w:color w:val="auto"/>
        </w:rPr>
      </w:pPr>
    </w:p>
    <w:p>
      <w:pPr>
        <w:ind w:right="220" w:firstLine="509"/>
        <w:spacing w:after="0" w:line="236" w:lineRule="auto"/>
        <w:rPr>
          <w:sz w:val="20"/>
          <w:szCs w:val="20"/>
          <w:color w:val="auto"/>
        </w:rPr>
      </w:pPr>
      <w:r>
        <w:rPr>
          <w:rFonts w:ascii="Arial" w:cs="Arial" w:eastAsia="Arial" w:hAnsi="Arial"/>
          <w:sz w:val="14"/>
          <w:szCs w:val="14"/>
          <w:color w:val="auto"/>
        </w:rPr>
        <w:t>We may also be bound by contractual requirements applicable to our collection, use, processing, and disclosure of various types of data, including personally identifiable information, and may be bound by self-regulatory or other industry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standards relating to these matters. Our collection and use of consumer data is also subject to our privacy policies, including online privacy policies. The proliferation of data privacy laws in variation creates increased risk of non-compliance and increased costs of maintaining compliance. Additionally, while we strive to comply with our posted policies and all applicable laws, regulations, other</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legal obligations and certain industry standards, laws, rules, and regulations concerning data privacy, data protection, and data security evolve frequently and may be inconsistent from one jurisdiction to another or may be interpreted to conflict with our practices or in a manner that is inconsistent from one jurisdiction to another.</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adoption of further data privacy and security laws may increase the cost and complexity of implementing any new offerings in other jurisdictions. Any failure, or perceived failure, by us</w:t>
      </w:r>
    </w:p>
    <w:p>
      <w:pPr>
        <w:spacing w:after="0" w:line="11"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to comply with our posted privacy policies or with any international, federal or state data privacy or consumer protection-related laws, regulations, industry self-regulatory principles, industry standards or codes of conduct, regulatory guidance, orders to which we may be subject or other legal or contractual obligations relating to data privacy or consumer protection could adversely affect our reputation, brands and business, and may result in regulatory investigations, claims, proceedings or actions against us by governmental entities, customers, suppliers or others, class actions, or</w:t>
      </w:r>
    </w:p>
    <w:p>
      <w:pPr>
        <w:ind w:right="100"/>
        <w:spacing w:after="0" w:line="220" w:lineRule="auto"/>
        <w:rPr>
          <w:sz w:val="20"/>
          <w:szCs w:val="20"/>
          <w:color w:val="auto"/>
        </w:rPr>
      </w:pPr>
      <w:r>
        <w:rPr>
          <w:rFonts w:ascii="Arial" w:cs="Arial" w:eastAsia="Arial" w:hAnsi="Arial"/>
          <w:sz w:val="14"/>
          <w:szCs w:val="14"/>
          <w:color w:val="auto"/>
        </w:rPr>
        <w:t>other liabilities or may require us to change our operations and/or cease using certain data sets. Any such claims, proceedings or actions could hurt our reputation, brands and business, force us to incur significant expenses in defense of such proceedings or actions, distract our management, increase our costs of doing business, result in a loss of customers and third-party partners and result in the imposition of significant damages liabilities or monetary penalties.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state and foreign anti-corruption, sanctions and trade laws create the potential for significant liabilities and penalties and reputational harm.</w:t>
      </w:r>
    </w:p>
    <w:p>
      <w:pPr>
        <w:spacing w:after="0" w:line="16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2"/>
          <w:szCs w:val="12"/>
          <w:color w:val="auto"/>
        </w:rPr>
        <w:t>As of December 31, 2022, we derived 13%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w:t>
      </w:r>
    </w:p>
    <w:p>
      <w:pPr>
        <w:spacing w:after="0" w:line="1" w:lineRule="exact"/>
        <w:rPr>
          <w:sz w:val="20"/>
          <w:szCs w:val="20"/>
          <w:color w:val="auto"/>
        </w:rPr>
      </w:pPr>
    </w:p>
    <w:p>
      <w:pPr>
        <w:jc w:val="both"/>
        <w:ind w:right="360"/>
        <w:spacing w:after="0" w:line="246" w:lineRule="auto"/>
        <w:rPr>
          <w:sz w:val="20"/>
          <w:szCs w:val="20"/>
          <w:color w:val="auto"/>
        </w:rPr>
      </w:pPr>
      <w:r>
        <w:rPr>
          <w:rFonts w:ascii="Arial" w:cs="Arial" w:eastAsia="Arial" w:hAnsi="Arial"/>
          <w:sz w:val="12"/>
          <w:szCs w:val="12"/>
          <w:color w:val="auto"/>
        </w:rPr>
        <w:t>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United States to keep books and</w:t>
      </w:r>
    </w:p>
    <w:p>
      <w:pPr>
        <w:ind w:right="60"/>
        <w:spacing w:after="0" w:line="246" w:lineRule="auto"/>
        <w:rPr>
          <w:sz w:val="20"/>
          <w:szCs w:val="20"/>
          <w:color w:val="auto"/>
        </w:rPr>
      </w:pPr>
      <w:r>
        <w:rPr>
          <w:rFonts w:ascii="Arial" w:cs="Arial" w:eastAsia="Arial" w:hAnsi="Arial"/>
          <w:sz w:val="12"/>
          <w:szCs w:val="12"/>
          <w:color w:val="auto"/>
        </w:rPr>
        <w:t>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w:t>
      </w:r>
    </w:p>
    <w:p>
      <w:pPr>
        <w:spacing w:after="0"/>
        <w:rPr>
          <w:sz w:val="20"/>
          <w:szCs w:val="20"/>
          <w:color w:val="auto"/>
        </w:rPr>
      </w:pPr>
      <w:r>
        <w:rPr>
          <w:rFonts w:ascii="Arial" w:cs="Arial" w:eastAsia="Arial" w:hAnsi="Arial"/>
          <w:sz w:val="14"/>
          <w:szCs w:val="14"/>
          <w:color w:val="auto"/>
        </w:rPr>
        <w:t>laws and regulations relate to a number of aspects of our business, including but not limited to the activities of our suppliers, distributors and other partners.</w:t>
      </w:r>
    </w:p>
    <w:p>
      <w:pPr>
        <w:spacing w:after="0" w:line="156" w:lineRule="exact"/>
        <w:rPr>
          <w:sz w:val="20"/>
          <w:szCs w:val="20"/>
          <w:color w:val="auto"/>
        </w:rPr>
      </w:pPr>
    </w:p>
    <w:p>
      <w:pPr>
        <w:ind w:firstLine="509"/>
        <w:spacing w:after="0" w:line="259" w:lineRule="auto"/>
        <w:rPr>
          <w:sz w:val="20"/>
          <w:szCs w:val="20"/>
          <w:color w:val="auto"/>
        </w:rPr>
      </w:pPr>
      <w:r>
        <w:rPr>
          <w:rFonts w:ascii="Arial" w:cs="Arial" w:eastAsia="Arial" w:hAnsi="Arial"/>
          <w:sz w:val="12"/>
          <w:szCs w:val="12"/>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2"/>
          <w:szCs w:val="12"/>
          <w:color w:val="auto"/>
        </w:rPr>
        <w:t>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w:t>
      </w:r>
    </w:p>
    <w:p>
      <w:pPr>
        <w:jc w:val="both"/>
        <w:ind w:right="340"/>
        <w:spacing w:after="0" w:line="246" w:lineRule="auto"/>
        <w:rPr>
          <w:sz w:val="20"/>
          <w:szCs w:val="20"/>
          <w:color w:val="auto"/>
        </w:rPr>
      </w:pPr>
      <w:r>
        <w:rPr>
          <w:rFonts w:ascii="Arial" w:cs="Arial" w:eastAsia="Arial" w:hAnsi="Arial"/>
          <w:sz w:val="12"/>
          <w:szCs w:val="12"/>
          <w:color w:val="auto"/>
        </w:rPr>
        <w:t>violations or other acts of bribery, or violations of applicable sanctions or other export control laws committed by companies we acquire.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w:t>
      </w:r>
    </w:p>
    <w:p>
      <w:pPr>
        <w:spacing w:after="0"/>
        <w:rPr>
          <w:sz w:val="20"/>
          <w:szCs w:val="20"/>
          <w:color w:val="auto"/>
        </w:rPr>
      </w:pPr>
      <w:r>
        <w:rPr>
          <w:rFonts w:ascii="Arial" w:cs="Arial" w:eastAsia="Arial" w:hAnsi="Arial"/>
          <w:sz w:val="13"/>
          <w:szCs w:val="13"/>
          <w:color w:val="auto"/>
        </w:rPr>
        <w:t>general loss of investor confidence, any one of which could adversely affect our business prospects, financial condition, results of operations or the market value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or legal proceedings could expose us to significant liabilities and have a negative impact on our reputation or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From time to time, we may be party to various claims and litigation proceedings. We evaluate these claims and litigation proceedings to assess the likelihood of unfavorable outcomes and to</w:t>
      </w:r>
    </w:p>
    <w:p>
      <w:pPr>
        <w:spacing w:after="0" w:line="23" w:lineRule="exact"/>
        <w:rPr>
          <w:sz w:val="20"/>
          <w:szCs w:val="20"/>
          <w:color w:val="auto"/>
        </w:rPr>
      </w:pPr>
    </w:p>
    <w:p>
      <w:pPr>
        <w:ind w:right="20"/>
        <w:spacing w:after="0" w:line="216" w:lineRule="auto"/>
        <w:rPr>
          <w:sz w:val="20"/>
          <w:szCs w:val="20"/>
          <w:color w:val="auto"/>
        </w:rPr>
      </w:pPr>
      <w:r>
        <w:rPr>
          <w:rFonts w:ascii="Arial" w:cs="Arial" w:eastAsia="Arial" w:hAnsi="Arial"/>
          <w:sz w:val="14"/>
          <w:szCs w:val="14"/>
          <w:color w:val="auto"/>
        </w:rPr>
        <w:t>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140" w:lineRule="exact"/>
        <w:rPr>
          <w:sz w:val="20"/>
          <w:szCs w:val="20"/>
          <w:color w:val="auto"/>
        </w:rPr>
      </w:pPr>
    </w:p>
    <w:p>
      <w:pPr>
        <w:ind w:right="260" w:firstLine="509"/>
        <w:spacing w:after="0" w:line="270" w:lineRule="auto"/>
        <w:rPr>
          <w:sz w:val="20"/>
          <w:szCs w:val="20"/>
          <w:color w:val="auto"/>
        </w:rPr>
      </w:pPr>
      <w:r>
        <w:rPr>
          <w:rFonts w:ascii="Arial" w:cs="Arial" w:eastAsia="Arial" w:hAnsi="Arial"/>
          <w:sz w:val="13"/>
          <w:szCs w:val="13"/>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39" w:lineRule="auto"/>
        <w:rPr>
          <w:sz w:val="20"/>
          <w:szCs w:val="20"/>
          <w:color w:val="auto"/>
        </w:rPr>
      </w:pPr>
      <w:r>
        <w:rPr>
          <w:rFonts w:ascii="Arial" w:cs="Arial" w:eastAsia="Arial" w:hAnsi="Arial"/>
          <w:sz w:val="13"/>
          <w:szCs w:val="13"/>
          <w:color w:val="auto"/>
        </w:rPr>
        <w:t>damages, penalties or injunctive relief against us, which could have a material adverse effect on our financial position, cash flows or results of operations. Any claims or litigation, even if fully indemnified or insured, could damage our reputation and potentially prevent us from selling or manufacturing our products, which would make it more difficult to compete effectively or to obtain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adequate insurance in the future.</w:t>
      </w:r>
    </w:p>
    <w:p>
      <w:pPr>
        <w:spacing w:after="0" w:line="13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2"/>
          <w:szCs w:val="12"/>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timing and, if the insurers prevail, the amount of our recovery.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regulatory changes that affect our products, including new taxes, could reduce demand for products or increase our costs.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Taxes imposed on the sale of certain of our products by federal, state and local governments in the United States, or other countries in which we operate could cause consumers to shift away</w:t>
      </w:r>
    </w:p>
    <w:p>
      <w:pPr>
        <w:spacing w:after="0" w:line="23"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from purchasing our beverages. Several municipalities in the United States have implemented or are considering implementing taxes on the sale of certain “sugared” beverages, including non-diet soft drinks, fruit drinks, teas and flavored waters to help fund various initiatives, or have imposed container deposits, or other charges for use of certain packaging. There has also been a trend among some public health advocates to recommend additional governmental regulations concerning the marketing and labeling/packaging of the beverage industry. Additional or revised regulatory</w:t>
      </w:r>
    </w:p>
    <w:p>
      <w:pPr>
        <w:spacing w:after="0"/>
        <w:rPr>
          <w:sz w:val="20"/>
          <w:szCs w:val="20"/>
          <w:color w:val="auto"/>
        </w:rPr>
      </w:pPr>
      <w:r>
        <w:rPr>
          <w:rFonts w:ascii="Arial" w:cs="Arial" w:eastAsia="Arial" w:hAnsi="Arial"/>
          <w:sz w:val="14"/>
          <w:szCs w:val="14"/>
          <w:color w:val="auto"/>
        </w:rPr>
        <w:t>requirements, whether labeling, packaging, tax, tariffs or otherwise, could have a material adverse effect on our financial condition, consumer demand and results of operations.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Related to Our Information Technology and Intellectual Property</w:t>
      </w:r>
    </w:p>
    <w:p>
      <w:pPr>
        <w:spacing w:after="0" w:line="151" w:lineRule="exact"/>
        <w:rPr>
          <w:sz w:val="20"/>
          <w:szCs w:val="20"/>
          <w:color w:val="auto"/>
        </w:rPr>
      </w:pPr>
    </w:p>
    <w:p>
      <w:pPr>
        <w:ind w:right="240"/>
        <w:spacing w:after="0" w:line="322" w:lineRule="auto"/>
        <w:rPr>
          <w:sz w:val="20"/>
          <w:szCs w:val="20"/>
          <w:color w:val="auto"/>
        </w:rPr>
      </w:pPr>
      <w:r>
        <w:rPr>
          <w:rFonts w:ascii="Arial" w:cs="Arial" w:eastAsia="Arial" w:hAnsi="Arial"/>
          <w:sz w:val="12"/>
          <w:szCs w:val="12"/>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 business, financial condition, results of operations and cash flows.</w:t>
      </w:r>
    </w:p>
    <w:p>
      <w:pPr>
        <w:spacing w:after="0" w:line="1" w:lineRule="exact"/>
        <w:rPr>
          <w:sz w:val="20"/>
          <w:szCs w:val="20"/>
          <w:color w:val="auto"/>
        </w:rPr>
      </w:pPr>
    </w:p>
    <w:p>
      <w:pPr>
        <w:ind w:right="340" w:firstLine="509"/>
        <w:spacing w:after="0" w:line="259" w:lineRule="auto"/>
        <w:rPr>
          <w:sz w:val="20"/>
          <w:szCs w:val="20"/>
          <w:color w:val="auto"/>
        </w:rPr>
      </w:pPr>
      <w:r>
        <w:rPr>
          <w:rFonts w:ascii="Arial" w:cs="Arial" w:eastAsia="Arial" w:hAnsi="Arial"/>
          <w:sz w:val="12"/>
          <w:szCs w:val="12"/>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w:t>
      </w:r>
    </w:p>
    <w:p>
      <w:pPr>
        <w:spacing w:after="0" w:line="1" w:lineRule="exact"/>
        <w:rPr>
          <w:sz w:val="20"/>
          <w:szCs w:val="20"/>
          <w:color w:val="auto"/>
        </w:rPr>
      </w:pPr>
    </w:p>
    <w:p>
      <w:pPr>
        <w:ind w:right="260"/>
        <w:spacing w:after="0" w:line="220" w:lineRule="auto"/>
        <w:rPr>
          <w:sz w:val="20"/>
          <w:szCs w:val="20"/>
          <w:color w:val="auto"/>
        </w:rPr>
      </w:pPr>
      <w:r>
        <w:rPr>
          <w:rFonts w:ascii="Arial" w:cs="Arial" w:eastAsia="Arial" w:hAnsi="Arial"/>
          <w:sz w:val="14"/>
          <w:szCs w:val="14"/>
          <w:color w:val="auto"/>
        </w:rPr>
        <w:t>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139" w:lineRule="exact"/>
        <w:rPr>
          <w:sz w:val="20"/>
          <w:szCs w:val="20"/>
          <w:color w:val="auto"/>
        </w:rPr>
      </w:pPr>
    </w:p>
    <w:p>
      <w:pPr>
        <w:ind w:right="260" w:firstLine="509"/>
        <w:spacing w:after="0" w:line="252" w:lineRule="auto"/>
        <w:rPr>
          <w:sz w:val="20"/>
          <w:szCs w:val="20"/>
          <w:color w:val="auto"/>
        </w:rPr>
      </w:pPr>
      <w:r>
        <w:rPr>
          <w:rFonts w:ascii="Arial" w:cs="Arial" w:eastAsia="Arial" w:hAnsi="Arial"/>
          <w:sz w:val="12"/>
          <w:szCs w:val="12"/>
          <w:color w:val="auto"/>
        </w:rPr>
        <w:t>As discussed above under, “If we encounter problems with our supply chain and continued inflation, our costs may increase and our or our customers’ ability to deliver our products to market could be adversely affected,” our systems and those of our third party vendors and business partners may be subject to damage or interruption from power outages or damages, telecommunications problems, data corruption, software errors, network failures, acts of war, including the developing conflict between Russia and Ukraine, or terrorist attacks, fire, flood, global</w:t>
      </w:r>
    </w:p>
    <w:p>
      <w:pPr>
        <w:spacing w:after="0" w:line="2" w:lineRule="exact"/>
        <w:rPr>
          <w:sz w:val="20"/>
          <w:szCs w:val="20"/>
          <w:color w:val="auto"/>
        </w:rPr>
      </w:pPr>
    </w:p>
    <w:p>
      <w:pPr>
        <w:jc w:val="both"/>
        <w:ind w:right="100"/>
        <w:spacing w:after="0" w:line="246" w:lineRule="auto"/>
        <w:rPr>
          <w:sz w:val="20"/>
          <w:szCs w:val="20"/>
          <w:color w:val="auto"/>
        </w:rPr>
      </w:pPr>
      <w:r>
        <w:rPr>
          <w:rFonts w:ascii="Arial" w:cs="Arial" w:eastAsia="Arial" w:hAnsi="Arial"/>
          <w:sz w:val="12"/>
          <w:szCs w:val="12"/>
          <w:color w:val="auto"/>
        </w:rPr>
        <w:t>pandemics and natural disasters; our existing safety systems, data backup, access protection, user management and information technology emergency planning may not be sufficient to prevent data loss or long-term network outages. In addition, we and our third party vendors and business partners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w:t>
      </w:r>
    </w:p>
    <w:p>
      <w:pPr>
        <w:ind w:right="440"/>
        <w:spacing w:after="0" w:line="228" w:lineRule="auto"/>
        <w:rPr>
          <w:sz w:val="20"/>
          <w:szCs w:val="20"/>
          <w:color w:val="auto"/>
        </w:rPr>
      </w:pPr>
      <w:r>
        <w:rPr>
          <w:rFonts w:ascii="Arial" w:cs="Arial" w:eastAsia="Arial" w:hAnsi="Arial"/>
          <w:sz w:val="14"/>
          <w:szCs w:val="14"/>
          <w:color w:val="auto"/>
        </w:rPr>
        <w:t>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Further, our systems and those of our third-party vendors and business partners may be vulnerable to, and have experienced attempted security incidents, attacks by hackers (including</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commit financial fraud, publish, delete, use inappropriately or modify our private and sensitive third-party information, including credit card information and other personally identifiable information. In addition, employees may intentionally or inadvertently cause data or security</w:t>
      </w:r>
    </w:p>
    <w:p>
      <w:pPr>
        <w:ind w:right="100"/>
        <w:spacing w:after="0" w:line="237" w:lineRule="auto"/>
        <w:rPr>
          <w:sz w:val="20"/>
          <w:szCs w:val="20"/>
          <w:color w:val="auto"/>
        </w:rPr>
      </w:pPr>
      <w:r>
        <w:rPr>
          <w:rFonts w:ascii="Arial" w:cs="Arial" w:eastAsia="Arial" w:hAnsi="Arial"/>
          <w:sz w:val="13"/>
          <w:szCs w:val="13"/>
          <w:color w:val="auto"/>
        </w:rPr>
        <w:t>incidents that result in unauthorized payments,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Security incidents compromising the confidentiality, integrity, and availability of our sensitive information and our systems and those of our third party vendors and business partners could</w:t>
      </w:r>
    </w:p>
    <w:p>
      <w:pPr>
        <w:spacing w:after="0" w:line="11" w:lineRule="exact"/>
        <w:rPr>
          <w:sz w:val="20"/>
          <w:szCs w:val="20"/>
          <w:color w:val="auto"/>
        </w:rPr>
      </w:pPr>
    </w:p>
    <w:p>
      <w:pPr>
        <w:jc w:val="both"/>
        <w:ind w:right="240"/>
        <w:spacing w:after="0" w:line="220" w:lineRule="auto"/>
        <w:rPr>
          <w:sz w:val="20"/>
          <w:szCs w:val="20"/>
          <w:color w:val="auto"/>
        </w:rPr>
      </w:pPr>
      <w:r>
        <w:rPr>
          <w:rFonts w:ascii="Arial" w:cs="Arial" w:eastAsia="Arial" w:hAnsi="Arial"/>
          <w:sz w:val="14"/>
          <w:szCs w:val="14"/>
          <w:color w:val="auto"/>
        </w:rPr>
        <w:t>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and security vulnerabilities in the software or systems on which we, or our third party vendors or business partners, rely. Cybercrime and hacking techniques are constantly evolving. We and/or our third-party vendors and/or</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business partners may be unable to anticipate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w:t>
      </w:r>
    </w:p>
    <w:p>
      <w:pPr>
        <w:spacing w:after="0" w:line="1" w:lineRule="exact"/>
        <w:rPr>
          <w:sz w:val="20"/>
          <w:szCs w:val="20"/>
          <w:color w:val="auto"/>
        </w:rPr>
      </w:pPr>
    </w:p>
    <w:p>
      <w:pPr>
        <w:jc w:val="both"/>
        <w:ind w:right="220"/>
        <w:spacing w:after="0" w:line="246" w:lineRule="auto"/>
        <w:rPr>
          <w:sz w:val="20"/>
          <w:szCs w:val="20"/>
          <w:color w:val="auto"/>
        </w:rPr>
      </w:pPr>
      <w:r>
        <w:rPr>
          <w:rFonts w:ascii="Arial" w:cs="Arial" w:eastAsia="Arial" w:hAnsi="Arial"/>
          <w:sz w:val="12"/>
          <w:szCs w:val="12"/>
          <w:color w:val="auto"/>
        </w:rPr>
        <w:t>such incidents may occur in the future, and could result in unauthorized, unlawful, or inappropriate access to, inability to access, disclosure of, or loss of the sensitive, proprietary and confidential information (including personally identifiable information) that we handle. As we rely on a number of our third party vendors and business partners, we are exposed to security risks outside of our direct control, and our ability to monitor these third-party vendors’ and business partners’ data security is limited. While we employ a number of security measures designed to prevent, detect, and</w:t>
      </w:r>
    </w:p>
    <w:p>
      <w:pPr>
        <w:ind w:right="100"/>
        <w:spacing w:after="0" w:line="246" w:lineRule="auto"/>
        <w:rPr>
          <w:sz w:val="20"/>
          <w:szCs w:val="20"/>
          <w:color w:val="auto"/>
        </w:rPr>
      </w:pPr>
      <w:r>
        <w:rPr>
          <w:rFonts w:ascii="Arial" w:cs="Arial" w:eastAsia="Arial" w:hAnsi="Arial"/>
          <w:sz w:val="12"/>
          <w:szCs w:val="12"/>
          <w:color w:val="auto"/>
        </w:rPr>
        <w:t>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response to the COVID-19 pandemic. Additionally, while we maintain cyber insurance that may help provide coverage for these types of incidents, we cannot assure you that our insurance will be adequate to cover costs and liabilities related to these incidents.</w:t>
      </w:r>
    </w:p>
    <w:p>
      <w:pPr>
        <w:ind w:right="100"/>
        <w:spacing w:after="0" w:line="228" w:lineRule="auto"/>
        <w:rPr>
          <w:sz w:val="20"/>
          <w:szCs w:val="20"/>
          <w:color w:val="auto"/>
        </w:rPr>
      </w:pPr>
      <w:r>
        <w:rPr>
          <w:rFonts w:ascii="Arial" w:cs="Arial" w:eastAsia="Arial" w:hAnsi="Arial"/>
          <w:sz w:val="14"/>
          <w:szCs w:val="14"/>
          <w:color w:val="auto"/>
        </w:rPr>
        <w:t>Recently, we have experienced spoofing and social engineering incidents and have taken measures such as third-party forensic consultant reviews to ensure that no compromises of our systems have occurred and to mitigate risks of future harm.</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Any such breach, attack, virus or other event could result in additional financial losses, costly investigations and litigation exceeding applicable insurance coverage or contractual rights</w:t>
      </w:r>
    </w:p>
    <w:p>
      <w:pPr>
        <w:spacing w:after="0" w:line="11"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available to us, civil or criminal penalties, operational changes or other response measures, loss of consumer confidence in our security measures, and negative publicity that could adversely affect our business, reputation, financial condition, results of operations and cash flows.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addition, if any such event resulted in access, disclosure or other loss or unauthorized use of information or data, such as customers’ and suppliers’ information, private information about</w:t>
      </w:r>
    </w:p>
    <w:p>
      <w:pPr>
        <w:spacing w:after="0" w:line="23"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employees and financial and strategic information about us and our business partners, whether actual or perceived, could result in legal claims or proceedings, regulatory investigations or actions, and other types of liability under laws that protect the privacy and security of personally identifiable information, including federal, state and foreign data protection and privacy regulations, violations of which could result in significant penalties and fines. The cost of investigating, mitigating and responding to potential security breaches and complying with applicable breach notification obligations</w:t>
      </w:r>
    </w:p>
    <w:p>
      <w:pPr>
        <w:ind w:right="120"/>
        <w:spacing w:after="0" w:line="246" w:lineRule="auto"/>
        <w:rPr>
          <w:sz w:val="20"/>
          <w:szCs w:val="20"/>
          <w:color w:val="auto"/>
        </w:rPr>
      </w:pPr>
      <w:r>
        <w:rPr>
          <w:rFonts w:ascii="Arial" w:cs="Arial" w:eastAsia="Arial" w:hAnsi="Arial"/>
          <w:sz w:val="12"/>
          <w:szCs w:val="12"/>
          <w:color w:val="auto"/>
        </w:rPr>
        <w:t>to individuals, regulators, partners and others can be significant and the risk of legal claims in the event of a security breach is increasing. For example, the CCPA creates a private right of action for certain data breaches.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w:t>
      </w:r>
    </w:p>
    <w:p>
      <w:pPr>
        <w:jc w:val="both"/>
        <w:ind w:right="60"/>
        <w:spacing w:after="0" w:line="246" w:lineRule="auto"/>
        <w:rPr>
          <w:sz w:val="20"/>
          <w:szCs w:val="20"/>
          <w:color w:val="auto"/>
        </w:rPr>
      </w:pPr>
      <w:r>
        <w:rPr>
          <w:rFonts w:ascii="Arial" w:cs="Arial" w:eastAsia="Arial" w:hAnsi="Arial"/>
          <w:sz w:val="12"/>
          <w:szCs w:val="12"/>
          <w:color w:val="auto"/>
        </w:rPr>
        <w:t>requirements, could adversely affect our reputation, business, financial condition, results of operations and cash flows. Any material disruption or slowdown of our systems or those of our third-party 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w:t>
      </w:r>
    </w:p>
    <w:p>
      <w:pPr>
        <w:ind w:right="20"/>
        <w:spacing w:after="0" w:line="228" w:lineRule="auto"/>
        <w:rPr>
          <w:sz w:val="20"/>
          <w:szCs w:val="20"/>
          <w:color w:val="auto"/>
        </w:rPr>
      </w:pPr>
      <w:r>
        <w:rPr>
          <w:rFonts w:ascii="Arial" w:cs="Arial" w:eastAsia="Arial" w:hAnsi="Arial"/>
          <w:sz w:val="14"/>
          <w:szCs w:val="14"/>
          <w:color w:val="auto"/>
        </w:rPr>
        <w:t>security breaches and other incidents of unauthorized access to our information technology systems, and data can be difficult to detect. Any delay in identifying such breaches or incidents may lead to increased harm and legal exposure of the type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adequately, which may harm the value of our brands.</w:t>
      </w:r>
    </w:p>
    <w:p>
      <w:pPr>
        <w:spacing w:after="0" w:line="72" w:lineRule="exact"/>
        <w:rPr>
          <w:sz w:val="20"/>
          <w:szCs w:val="20"/>
          <w:color w:val="auto"/>
        </w:rPr>
      </w:pPr>
    </w:p>
    <w:p>
      <w:pPr>
        <w:ind w:right="120" w:firstLine="509"/>
        <w:spacing w:after="0" w:line="252" w:lineRule="auto"/>
        <w:rPr>
          <w:sz w:val="20"/>
          <w:szCs w:val="20"/>
          <w:color w:val="auto"/>
        </w:rPr>
      </w:pPr>
      <w:r>
        <w:rPr>
          <w:rFonts w:ascii="Arial" w:cs="Arial" w:eastAsia="Arial" w:hAnsi="Arial"/>
          <w:sz w:val="12"/>
          <w:szCs w:val="12"/>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jurisdictions in which we 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w:t>
      </w:r>
    </w:p>
    <w:p>
      <w:pPr>
        <w:ind w:right="140"/>
        <w:spacing w:after="0" w:line="292" w:lineRule="auto"/>
        <w:rPr>
          <w:sz w:val="20"/>
          <w:szCs w:val="20"/>
          <w:color w:val="auto"/>
        </w:rPr>
      </w:pPr>
      <w:r>
        <w:rPr>
          <w:rFonts w:ascii="Arial" w:cs="Arial" w:eastAsia="Arial" w:hAnsi="Arial"/>
          <w:sz w:val="12"/>
          <w:szCs w:val="12"/>
          <w:color w:val="auto"/>
        </w:rPr>
        <w:t>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98" w:lineRule="exact"/>
        <w:rPr>
          <w:sz w:val="20"/>
          <w:szCs w:val="20"/>
          <w:color w:val="auto"/>
        </w:rPr>
      </w:pPr>
    </w:p>
    <w:p>
      <w:pPr>
        <w:ind w:right="100" w:firstLine="509"/>
        <w:spacing w:after="0" w:line="312" w:lineRule="auto"/>
        <w:rPr>
          <w:sz w:val="20"/>
          <w:szCs w:val="20"/>
          <w:color w:val="auto"/>
        </w:rPr>
      </w:pPr>
      <w:r>
        <w:rPr>
          <w:rFonts w:ascii="Arial" w:cs="Arial" w:eastAsia="Arial" w:hAnsi="Arial"/>
          <w:sz w:val="12"/>
          <w:szCs w:val="12"/>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97" w:lineRule="exact"/>
        <w:rPr>
          <w:sz w:val="20"/>
          <w:szCs w:val="20"/>
          <w:color w:val="auto"/>
        </w:rPr>
      </w:pPr>
    </w:p>
    <w:p>
      <w:pPr>
        <w:ind w:firstLine="509"/>
        <w:spacing w:after="0" w:line="252" w:lineRule="auto"/>
        <w:rPr>
          <w:sz w:val="20"/>
          <w:szCs w:val="20"/>
          <w:color w:val="auto"/>
        </w:rPr>
      </w:pPr>
      <w:r>
        <w:rPr>
          <w:rFonts w:ascii="Arial" w:cs="Arial" w:eastAsia="Arial" w:hAnsi="Arial"/>
          <w:sz w:val="12"/>
          <w:szCs w:val="12"/>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maintaining them as trade secrets.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509"/>
        <w:spacing w:after="0" w:line="236" w:lineRule="auto"/>
        <w:rPr>
          <w:sz w:val="20"/>
          <w:szCs w:val="20"/>
          <w:color w:val="auto"/>
        </w:rPr>
      </w:pPr>
      <w:r>
        <w:rPr>
          <w:rFonts w:ascii="Arial" w:cs="Arial" w:eastAsia="Arial" w:hAnsi="Arial"/>
          <w:sz w:val="14"/>
          <w:szCs w:val="14"/>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140" w:lineRule="exact"/>
        <w:rPr>
          <w:sz w:val="20"/>
          <w:szCs w:val="20"/>
          <w:color w:val="auto"/>
        </w:rPr>
      </w:pPr>
    </w:p>
    <w:p>
      <w:pPr>
        <w:ind w:right="80" w:firstLine="509"/>
        <w:spacing w:after="0" w:line="252" w:lineRule="auto"/>
        <w:rPr>
          <w:sz w:val="20"/>
          <w:szCs w:val="20"/>
          <w:color w:val="auto"/>
        </w:rPr>
      </w:pPr>
      <w:r>
        <w:rPr>
          <w:rFonts w:ascii="Arial" w:cs="Arial" w:eastAsia="Arial" w:hAnsi="Arial"/>
          <w:sz w:val="12"/>
          <w:szCs w:val="12"/>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our suppliers (manufacturing, co-packing, ingredient and packaging partners). As a result, we may not be able to prevent others from developing or using similar formulations.</w:t>
      </w:r>
    </w:p>
    <w:p>
      <w:pPr>
        <w:spacing w:after="0" w:line="135"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Litigation may be necessary in the future to enforce our intellectual property rights and to protect our trademarks and trade secrets. We cannot assure you that we will have adequate resources to enforce our intellectual property rights, as such litigation can be costly, time-consuming, and distracting to management. Any such litigation could result in the impairment or loss of portions of our intellectual property, as our efforts to enforce our intellectual property rights may be met with defenses, counterclaims, and countersuits attacking the ownership, scope, validity and enforceability of</w:t>
      </w:r>
    </w:p>
    <w:p>
      <w:pPr>
        <w:spacing w:after="0"/>
        <w:rPr>
          <w:sz w:val="20"/>
          <w:szCs w:val="20"/>
          <w:color w:val="auto"/>
        </w:rPr>
      </w:pPr>
      <w:r>
        <w:rPr>
          <w:rFonts w:ascii="Arial" w:cs="Arial" w:eastAsia="Arial" w:hAnsi="Arial"/>
          <w:sz w:val="14"/>
          <w:szCs w:val="14"/>
          <w:color w:val="auto"/>
        </w:rPr>
        <w:t>our intellectual property rights.</w:t>
      </w:r>
    </w:p>
    <w:p>
      <w:pPr>
        <w:spacing w:after="0" w:line="135"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We also face the risk of claims that we have infringed third parties’ intellectual property rights. If a third party asserts a claim that our offerings infringe, misappropriate or violate their rights, the litigation could be expensive and could divert management attention and resources away from our core business operations. Any claims of trademark or intellectual property infringement, even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those without merit, could:</w:t>
      </w:r>
    </w:p>
    <w:p>
      <w:pPr>
        <w:spacing w:after="0" w:line="50"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 expensive and time consuming to defend;</w:t>
      </w:r>
    </w:p>
    <w:p>
      <w:pPr>
        <w:spacing w:after="0" w:line="61" w:lineRule="exact"/>
        <w:rPr>
          <w:rFonts w:ascii="Arial" w:cs="Arial" w:eastAsia="Arial" w:hAnsi="Arial"/>
          <w:sz w:val="14"/>
          <w:szCs w:val="14"/>
          <w:color w:val="auto"/>
        </w:rPr>
      </w:pPr>
    </w:p>
    <w:p>
      <w:pPr>
        <w:ind w:left="520" w:right="120" w:hanging="260"/>
        <w:spacing w:after="0" w:line="249"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cause us to cease making, licensing or using products that incorporate the challenged intellectual property, which in turn could harm relationships with customers and distributors and might result in damages;</w:t>
      </w:r>
    </w:p>
    <w:p>
      <w:pPr>
        <w:spacing w:after="0" w:line="3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require us to redesign, reengineer, or rebrand our products or packaging, if feasible and might result in large inventory write-offs of unsaleable or unusable materials;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divert management’s attention and resources; or</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require us to enter into royalty or licensing agreements in order to obtain the right to use a third party’s intellectual property which might affect our margins and ability to compete.</w:t>
      </w:r>
    </w:p>
    <w:p>
      <w:pPr>
        <w:spacing w:after="0" w:line="158" w:lineRule="exact"/>
        <w:rPr>
          <w:sz w:val="20"/>
          <w:szCs w:val="20"/>
          <w:color w:val="auto"/>
        </w:rPr>
      </w:pPr>
    </w:p>
    <w:p>
      <w:pPr>
        <w:ind w:firstLine="509"/>
        <w:spacing w:after="0" w:line="259" w:lineRule="auto"/>
        <w:rPr>
          <w:sz w:val="20"/>
          <w:szCs w:val="20"/>
          <w:color w:val="auto"/>
        </w:rPr>
      </w:pPr>
      <w:r>
        <w:rPr>
          <w:rFonts w:ascii="Arial" w:cs="Arial" w:eastAsia="Arial" w:hAnsi="Arial"/>
          <w:sz w:val="12"/>
          <w:szCs w:val="12"/>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harm our future prospects.</w:t>
      </w:r>
    </w:p>
    <w:p>
      <w:pPr>
        <w:spacing w:after="0" w:line="152" w:lineRule="exact"/>
        <w:rPr>
          <w:sz w:val="20"/>
          <w:szCs w:val="20"/>
          <w:color w:val="auto"/>
        </w:rPr>
      </w:pPr>
    </w:p>
    <w:p>
      <w:pPr>
        <w:ind w:right="3380" w:firstLine="3386"/>
        <w:spacing w:after="0" w:line="474" w:lineRule="auto"/>
        <w:rPr>
          <w:sz w:val="20"/>
          <w:szCs w:val="20"/>
          <w:color w:val="auto"/>
        </w:rPr>
      </w:pPr>
      <w:r>
        <w:rPr>
          <w:rFonts w:ascii="Arial" w:cs="Arial" w:eastAsia="Arial" w:hAnsi="Arial"/>
          <w:sz w:val="12"/>
          <w:szCs w:val="12"/>
          <w:b w:val="1"/>
          <w:bCs w:val="1"/>
          <w:color w:val="auto"/>
        </w:rPr>
        <w:t xml:space="preserve">Risks Related to the Ability to Finance our Business and Our Indebtedness </w:t>
      </w:r>
      <w:r>
        <w:rPr>
          <w:rFonts w:ascii="Arial" w:cs="Arial" w:eastAsia="Arial" w:hAnsi="Arial"/>
          <w:sz w:val="12"/>
          <w:szCs w:val="12"/>
          <w:b w:val="1"/>
          <w:bCs w:val="1"/>
          <w:i w:val="1"/>
          <w:iCs w:val="1"/>
          <w:color w:val="auto"/>
        </w:rPr>
        <w:t>We may require additional financing to achieve our goals, which may not be available when needed or may be costly and dilutive.</w:t>
      </w:r>
    </w:p>
    <w:p>
      <w:pPr>
        <w:ind w:firstLine="509"/>
        <w:spacing w:after="0" w:line="252" w:lineRule="auto"/>
        <w:rPr>
          <w:sz w:val="20"/>
          <w:szCs w:val="20"/>
          <w:color w:val="auto"/>
        </w:rPr>
      </w:pPr>
      <w:r>
        <w:rPr>
          <w:rFonts w:ascii="Arial" w:cs="Arial" w:eastAsia="Arial" w:hAnsi="Arial"/>
          <w:sz w:val="12"/>
          <w:szCs w:val="12"/>
          <w:color w:val="auto"/>
        </w:rPr>
        <w:t>We may require additional financing to support the growth of our business, to acquire new businesses,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proposed acquisitions and cost increases related to the integration of acquired products or businesses, any material or 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w:t>
      </w:r>
    </w:p>
    <w:p>
      <w:pPr>
        <w:ind w:right="140"/>
        <w:spacing w:after="0" w:line="244" w:lineRule="auto"/>
        <w:rPr>
          <w:sz w:val="20"/>
          <w:szCs w:val="20"/>
          <w:color w:val="auto"/>
        </w:rPr>
      </w:pPr>
      <w:r>
        <w:rPr>
          <w:rFonts w:ascii="Arial" w:cs="Arial" w:eastAsia="Arial" w:hAnsi="Arial"/>
          <w:sz w:val="12"/>
          <w:szCs w:val="12"/>
          <w:color w:val="auto"/>
        </w:rPr>
        <w:t>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long-term capital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generate sufficient cash flow to satisfy our future debt service obligations, which would adversely affect our financial condition and results of operations.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509"/>
        <w:spacing w:after="0" w:line="260" w:lineRule="auto"/>
        <w:rPr>
          <w:sz w:val="20"/>
          <w:szCs w:val="20"/>
          <w:color w:val="auto"/>
        </w:rPr>
      </w:pPr>
      <w:r>
        <w:rPr>
          <w:rFonts w:ascii="Arial" w:cs="Arial" w:eastAsia="Arial" w:hAnsi="Arial"/>
          <w:sz w:val="13"/>
          <w:szCs w:val="13"/>
          <w:color w:val="auto"/>
        </w:rPr>
        <w:t>In May 2020, we entered into a five-year credit facility ("2020 Credit Facility") with Wells Fargo Bank,National Association consisting of a revolving line of credit, which currently provides for committed borrowings of $60 million. As of December 31, 2022, we have no outstanding debt under our 2020 Credit Facility.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58" w:lineRule="exact"/>
        <w:rPr>
          <w:sz w:val="20"/>
          <w:szCs w:val="20"/>
          <w:color w:val="auto"/>
        </w:rPr>
      </w:pPr>
    </w:p>
    <w:p>
      <w:pPr>
        <w:ind w:right="260"/>
        <w:spacing w:after="0" w:line="249" w:lineRule="auto"/>
        <w:rPr>
          <w:sz w:val="20"/>
          <w:szCs w:val="20"/>
          <w:color w:val="auto"/>
        </w:rPr>
      </w:pPr>
      <w:r>
        <w:rPr>
          <w:rFonts w:ascii="Arial" w:cs="Arial" w:eastAsia="Arial" w:hAnsi="Arial"/>
          <w:sz w:val="14"/>
          <w:szCs w:val="14"/>
          <w:b w:val="1"/>
          <w:bCs w:val="1"/>
          <w:i w:val="1"/>
          <w:iCs w:val="1"/>
          <w:color w:val="auto"/>
        </w:rPr>
        <w:t>The agreements governing our current and future indebtedness may contain restrictive covenants and our failure to comply with any of these covenants could put us in default, which would have an adverse effect on our business and prospects.</w:t>
      </w:r>
    </w:p>
    <w:p>
      <w:pPr>
        <w:spacing w:after="0" w:line="37" w:lineRule="exact"/>
        <w:rPr>
          <w:sz w:val="20"/>
          <w:szCs w:val="20"/>
          <w:color w:val="auto"/>
        </w:rPr>
      </w:pPr>
    </w:p>
    <w:p>
      <w:pPr>
        <w:ind w:firstLine="509"/>
        <w:spacing w:after="0" w:line="270" w:lineRule="auto"/>
        <w:rPr>
          <w:sz w:val="20"/>
          <w:szCs w:val="20"/>
          <w:color w:val="auto"/>
        </w:rPr>
      </w:pPr>
      <w:r>
        <w:rPr>
          <w:rFonts w:ascii="Arial" w:cs="Arial" w:eastAsia="Arial" w:hAnsi="Arial"/>
          <w:sz w:val="13"/>
          <w:szCs w:val="13"/>
          <w:color w:val="auto"/>
        </w:rPr>
        <w:t>Our 2020 Credit Facility imposes certain terms and restrictive covenants of these borrowings and the terms of any future indebtedness will likely impose similar restrictions. The 2020 Credit Facility contains, and agreements governing any future indebtedness may contain, a number of covenants which put some limits on our ability to, among other things:</w:t>
      </w:r>
    </w:p>
    <w:p>
      <w:pPr>
        <w:spacing w:after="0" w:line="35"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engage in mergers, acquisitions, and other business combinations;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declare dividends or redeem or repurchase capital stock if it would result in an event of default;</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incur, assume, or permit to exist additional indebtedness or guarantees;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incur liens or give guarantees; and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47"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The 2020 Credit Facility also requires us to maintain a specified total leverage ratio, fixed charge coverage ratio and asset coverage ratio and our ability to meet these financial ratios may be affected by events beyond our control, and we may not satisfy such a test. A breach of the covenants in the 2020 Credit Facility or any agreements governing future debt obligations could result in a</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4"/>
          <w:szCs w:val="14"/>
          <w:color w:val="auto"/>
        </w:rPr>
        <w:t>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are accelerated because of a default and we are unable to pay such amounts, our lenders may have the right to assume control of substantially all of the assets securing the indebtedness.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indebtedness we incur in the future may be at a variable rate, subjecting us to interest rate risk, which could cause our indebtedness service obligations to be significant.</w:t>
      </w:r>
    </w:p>
    <w:p>
      <w:pPr>
        <w:spacing w:after="0" w:line="73" w:lineRule="exact"/>
        <w:rPr>
          <w:sz w:val="20"/>
          <w:szCs w:val="20"/>
          <w:color w:val="auto"/>
        </w:rPr>
      </w:pPr>
    </w:p>
    <w:p>
      <w:pPr>
        <w:ind w:right="40" w:firstLine="509"/>
        <w:spacing w:after="0" w:line="259" w:lineRule="auto"/>
        <w:rPr>
          <w:sz w:val="20"/>
          <w:szCs w:val="20"/>
          <w:color w:val="auto"/>
        </w:rPr>
      </w:pPr>
      <w:r>
        <w:rPr>
          <w:rFonts w:ascii="Arial" w:cs="Arial" w:eastAsia="Arial" w:hAnsi="Arial"/>
          <w:sz w:val="12"/>
          <w:szCs w:val="12"/>
          <w:color w:val="auto"/>
        </w:rPr>
        <w:t>Borrowings under the 2020 Credit Facility accrue interest at variable rates and expose us to interest rate risk. Interest rates may fluctuate in the future. Although we have explored in the past various hedging strategies, we do not currently hedge our interest rate exposure under the 2020 Credit Facility. As a result, interest rates under the agreement or other variable rate debt obligations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could be higher or lower than current levels. If interest rates increase, our debt service obligations on any future variable rate indebtedness could be significant.</w:t>
      </w:r>
    </w:p>
    <w:p>
      <w:pPr>
        <w:spacing w:after="0" w:line="50" w:lineRule="exact"/>
        <w:rPr>
          <w:sz w:val="20"/>
          <w:szCs w:val="20"/>
          <w:color w:val="auto"/>
        </w:rPr>
      </w:pPr>
    </w:p>
    <w:p>
      <w:pPr>
        <w:ind w:right="300" w:firstLine="509"/>
        <w:spacing w:after="0" w:line="259" w:lineRule="auto"/>
        <w:rPr>
          <w:sz w:val="20"/>
          <w:szCs w:val="20"/>
          <w:color w:val="auto"/>
        </w:rPr>
      </w:pPr>
      <w:r>
        <w:rPr>
          <w:rFonts w:ascii="Arial" w:cs="Arial" w:eastAsia="Arial" w:hAnsi="Arial"/>
          <w:sz w:val="12"/>
          <w:szCs w:val="12"/>
          <w:color w:val="auto"/>
        </w:rPr>
        <w:t>In 2022, the Company amended the 2020 Credit Facility to transition the interest rate reference from LIBOR to the Secured Overnight Financing Rate ("SOFR"). Such benchmarks may perform differently than in the past, or may disappear entirely, or have other consequences that cannot be predicted. Any such consequence could have a material adverse effect on our existing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facilities or our future debt linked to such a “benchmark” and our ability to service debt that bears interest at floating rates of interest.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the Ownership of Our Common Stock</w:t>
      </w:r>
    </w:p>
    <w:p>
      <w:pPr>
        <w:spacing w:after="0" w:line="161"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b w:val="1"/>
          <w:bCs w:val="1"/>
          <w:i w:val="1"/>
          <w:iCs w:val="1"/>
          <w:color w:val="auto"/>
        </w:rPr>
        <w:t>Concentration of ownership of our ordinary shares among our existing executive officers, directors and principal shareholders may prevent new investors from influencing significant corporate decisions.</w:t>
      </w:r>
    </w:p>
    <w:p>
      <w:pPr>
        <w:spacing w:after="0" w:line="37"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Based upon our shares of common stock outstanding as of December 31, 2022, our executive officers, directors and shareholders who own more than 5% of our outstanding share capital, in the aggregate, beneficially own over 50% of our outstanding shares of common stock. These shareholders, acting together, are able to significantly influence all matters requiring shareholder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approval, including the election and removal of directors and approval of any merger, consolidation or sale of all or substantially all of our assets.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40" w:firstLine="509"/>
        <w:spacing w:after="0" w:line="236" w:lineRule="auto"/>
        <w:rPr>
          <w:sz w:val="20"/>
          <w:szCs w:val="20"/>
          <w:color w:val="auto"/>
        </w:rPr>
      </w:pPr>
      <w:r>
        <w:rPr>
          <w:rFonts w:ascii="Arial" w:cs="Arial" w:eastAsia="Arial" w:hAnsi="Arial"/>
          <w:sz w:val="14"/>
          <w:szCs w:val="14"/>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140" w:lineRule="exact"/>
        <w:rPr>
          <w:sz w:val="20"/>
          <w:szCs w:val="20"/>
          <w:color w:val="auto"/>
        </w:rPr>
      </w:pPr>
    </w:p>
    <w:p>
      <w:pPr>
        <w:ind w:right="80" w:firstLine="509"/>
        <w:spacing w:after="0" w:line="226" w:lineRule="auto"/>
        <w:rPr>
          <w:sz w:val="20"/>
          <w:szCs w:val="20"/>
          <w:color w:val="auto"/>
        </w:rPr>
      </w:pPr>
      <w:r>
        <w:rPr>
          <w:rFonts w:ascii="Arial" w:cs="Arial" w:eastAsia="Arial" w:hAnsi="Arial"/>
          <w:sz w:val="14"/>
          <w:szCs w:val="14"/>
          <w:color w:val="auto"/>
        </w:rPr>
        <w:t>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directly or indirectly, of a substantial amount of our common stock in the public markets by our existing security holders may cause the price of our common stock to decline.</w:t>
      </w:r>
    </w:p>
    <w:p>
      <w:pPr>
        <w:spacing w:after="0" w:line="7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2"/>
          <w:szCs w:val="12"/>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 Many of our existing security holders have substantial unrecognized gains on the value of the equity they hold</w:t>
      </w:r>
    </w:p>
    <w:p>
      <w:pPr>
        <w:spacing w:after="0" w:line="1" w:lineRule="exact"/>
        <w:rPr>
          <w:sz w:val="20"/>
          <w:szCs w:val="20"/>
          <w:color w:val="auto"/>
        </w:rPr>
      </w:pPr>
    </w:p>
    <w:p>
      <w:pPr>
        <w:ind w:right="280"/>
        <w:spacing w:after="0" w:line="228" w:lineRule="auto"/>
        <w:rPr>
          <w:sz w:val="20"/>
          <w:szCs w:val="20"/>
          <w:color w:val="auto"/>
        </w:rPr>
      </w:pPr>
      <w:r>
        <w:rPr>
          <w:rFonts w:ascii="Arial" w:cs="Arial" w:eastAsia="Arial" w:hAnsi="Arial"/>
          <w:sz w:val="14"/>
          <w:szCs w:val="14"/>
          <w:color w:val="auto"/>
        </w:rPr>
        <w:t>and may take steps to sell their shares or otherwise secure or limit their risk exposure to the value of their unrecognized gains on those shares. We are unable to predict the timing or effect of such sales on the market price of our common stock.</w:t>
      </w:r>
    </w:p>
    <w:p>
      <w:pPr>
        <w:spacing w:after="0" w:line="128"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37" w:lineRule="exact"/>
        <w:rPr>
          <w:sz w:val="20"/>
          <w:szCs w:val="20"/>
          <w:color w:val="auto"/>
        </w:rPr>
      </w:pPr>
    </w:p>
    <w:p>
      <w:pPr>
        <w:ind w:firstLine="509"/>
        <w:spacing w:after="0" w:line="259"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JOBS Act, and we have elected to take advantage of certain exemptions and relief from various reporting requirements that are applicable to other public companies that are not “emerging growth companies.” These provisions include, but are not limited to: requiring only two years</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2"/>
          <w:szCs w:val="12"/>
          <w:color w:val="auto"/>
        </w:rPr>
        <w:t>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w:t>
      </w:r>
    </w:p>
    <w:p>
      <w:pPr>
        <w:ind w:right="120"/>
        <w:spacing w:after="0" w:line="228" w:lineRule="auto"/>
        <w:rPr>
          <w:sz w:val="20"/>
          <w:szCs w:val="20"/>
          <w:color w:val="auto"/>
        </w:rPr>
      </w:pPr>
      <w:r>
        <w:rPr>
          <w:rFonts w:ascii="Arial" w:cs="Arial" w:eastAsia="Arial" w:hAnsi="Arial"/>
          <w:sz w:val="14"/>
          <w:szCs w:val="14"/>
          <w:color w:val="auto"/>
        </w:rPr>
        <w:t>executive compensation in our periodic reports and proxy statements; and not being required to hold nonbinding advisory votes on executive compensation or on any golden parachute payments not previously approved.</w:t>
      </w:r>
    </w:p>
    <w:p>
      <w:pPr>
        <w:spacing w:after="0" w:line="128" w:lineRule="exact"/>
        <w:rPr>
          <w:sz w:val="20"/>
          <w:szCs w:val="20"/>
          <w:color w:val="auto"/>
        </w:rPr>
      </w:pPr>
    </w:p>
    <w:p>
      <w:pPr>
        <w:ind w:right="40" w:firstLine="509"/>
        <w:spacing w:after="0" w:line="287" w:lineRule="auto"/>
        <w:rPr>
          <w:sz w:val="20"/>
          <w:szCs w:val="20"/>
          <w:color w:val="auto"/>
        </w:rPr>
      </w:pPr>
      <w:r>
        <w:rPr>
          <w:rFonts w:ascii="Arial" w:cs="Arial" w:eastAsia="Arial" w:hAnsi="Arial"/>
          <w:sz w:val="13"/>
          <w:szCs w:val="13"/>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99"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We may remain an “emerging growth company” until as late as December 31, 2026, the fiscal year-end following the fifth anniversary of the completion of our IPO, though we may cease to be an “emerging growth company” earlier under certain circumstances, including if (1) we have more than $1.07 billion in annual net revenues in any fiscal year, (2) we become a “large accelerated</w:t>
      </w:r>
    </w:p>
    <w:p>
      <w:pPr>
        <w:spacing w:after="0" w:line="1"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filer,” with at least $700 million of equity securities held by non-affiliates as of the end of the second quarter of that fiscal year or (3) we issue more than $1.0 billion of non-convertible debt over a three-year period.</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exact implications of the JOBS Act are still subject to interpretations and guidance by the SEC and other regulatory agencies, and we cannot assure you that we will be able to take</w:t>
      </w:r>
    </w:p>
    <w:p>
      <w:pPr>
        <w:spacing w:after="0" w:line="11"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21" w:lineRule="exact"/>
        <w:rPr>
          <w:sz w:val="20"/>
          <w:szCs w:val="20"/>
          <w:color w:val="auto"/>
        </w:rPr>
      </w:pPr>
    </w:p>
    <w:p>
      <w:pPr>
        <w:ind w:right="340"/>
        <w:spacing w:after="0" w:line="249"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3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2"/>
          <w:szCs w:val="12"/>
          <w:color w:val="auto"/>
        </w:rPr>
        <w:t>We currently intend to retain any future earnings to finance the operation and expansion of our business and we do not expect to declare or pay any dividends in the foreseeable future. Moreover, the terms of our existing arrangements of indebtedness restrict our ability to pay dividends under certain circumstances, and any additional debt we may incur in the future may include</w:t>
      </w:r>
    </w:p>
    <w:p>
      <w:pPr>
        <w:spacing w:after="0" w:line="1"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128"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55" w:lineRule="exact"/>
        <w:rPr>
          <w:sz w:val="20"/>
          <w:szCs w:val="20"/>
          <w:color w:val="auto"/>
        </w:rPr>
      </w:pPr>
    </w:p>
    <w:p>
      <w:pPr>
        <w:ind w:right="40" w:firstLine="509"/>
        <w:spacing w:after="0" w:line="252" w:lineRule="auto"/>
        <w:rPr>
          <w:sz w:val="20"/>
          <w:szCs w:val="20"/>
          <w:color w:val="auto"/>
        </w:rPr>
      </w:pPr>
      <w:r>
        <w:rPr>
          <w:rFonts w:ascii="Arial" w:cs="Arial" w:eastAsia="Arial" w:hAnsi="Arial"/>
          <w:sz w:val="12"/>
          <w:szCs w:val="12"/>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prevent any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6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others, these provisions include that:</w:t>
      </w:r>
    </w:p>
    <w:p>
      <w:pPr>
        <w:spacing w:after="0" w:line="50"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forum for certain litigation against us is restricted to Delaware or the federal courts, as applicable;</w:t>
      </w:r>
    </w:p>
    <w:p>
      <w:pPr>
        <w:spacing w:after="0" w:line="61" w:lineRule="exact"/>
        <w:rPr>
          <w:rFonts w:ascii="Arial" w:cs="Arial" w:eastAsia="Arial" w:hAnsi="Arial"/>
          <w:sz w:val="14"/>
          <w:szCs w:val="14"/>
          <w:color w:val="auto"/>
        </w:rPr>
      </w:pPr>
    </w:p>
    <w:p>
      <w:pPr>
        <w:ind w:left="520" w:right="380" w:hanging="260"/>
        <w:spacing w:after="0" w:line="249"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37" w:lineRule="exact"/>
        <w:rPr>
          <w:rFonts w:ascii="Arial" w:cs="Arial" w:eastAsia="Arial" w:hAnsi="Arial"/>
          <w:sz w:val="14"/>
          <w:szCs w:val="14"/>
          <w:color w:val="auto"/>
        </w:rPr>
      </w:pPr>
    </w:p>
    <w:p>
      <w:pPr>
        <w:ind w:left="520" w:right="16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5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1" w:lineRule="exact"/>
        <w:rPr>
          <w:rFonts w:ascii="Arial" w:cs="Arial" w:eastAsia="Arial" w:hAnsi="Arial"/>
          <w:sz w:val="14"/>
          <w:szCs w:val="14"/>
          <w:color w:val="auto"/>
        </w:rPr>
      </w:pPr>
    </w:p>
    <w:p>
      <w:pPr>
        <w:ind w:left="520" w:right="2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the board of directors, a chief executive officer, or the board of directors, which may delay the ability of our stockholders to force consideration of a proposal or to take action, including the removal of directors;</w:t>
      </w:r>
    </w:p>
    <w:p>
      <w:pPr>
        <w:spacing w:after="0" w:line="5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amended and restated certificate of incorporation prohibits cumulative voting in the election of directors, which limits the ability of minority stockholders to elect director candidates;</w:t>
      </w:r>
    </w:p>
    <w:p>
      <w:pPr>
        <w:spacing w:after="0" w:line="73"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may alter our bylaws without obtaining stockholder approval;</w:t>
      </w:r>
    </w:p>
    <w:p>
      <w:pPr>
        <w:spacing w:after="0" w:line="61" w:lineRule="exact"/>
        <w:rPr>
          <w:rFonts w:ascii="Arial" w:cs="Arial" w:eastAsia="Arial" w:hAnsi="Arial"/>
          <w:sz w:val="14"/>
          <w:szCs w:val="14"/>
          <w:color w:val="auto"/>
        </w:rPr>
      </w:pPr>
    </w:p>
    <w:p>
      <w:pPr>
        <w:ind w:left="520" w:right="280" w:hanging="260"/>
        <w:spacing w:after="0" w:line="249"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37" w:lineRule="exact"/>
        <w:rPr>
          <w:rFonts w:ascii="Arial" w:cs="Arial" w:eastAsia="Arial" w:hAnsi="Arial"/>
          <w:sz w:val="14"/>
          <w:szCs w:val="14"/>
          <w:color w:val="auto"/>
        </w:rPr>
      </w:pPr>
    </w:p>
    <w:p>
      <w:pPr>
        <w:jc w:val="both"/>
        <w:ind w:left="520" w:right="160" w:hanging="260"/>
        <w:spacing w:after="0" w:line="23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44" w:lineRule="exact"/>
        <w:rPr>
          <w:rFonts w:ascii="Arial" w:cs="Arial" w:eastAsia="Arial" w:hAnsi="Arial"/>
          <w:sz w:val="14"/>
          <w:szCs w:val="14"/>
          <w:color w:val="auto"/>
        </w:rPr>
      </w:pPr>
    </w:p>
    <w:p>
      <w:pPr>
        <w:ind w:left="520" w:right="2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331" w:lineRule="exact"/>
        <w:rPr>
          <w:sz w:val="20"/>
          <w:szCs w:val="20"/>
          <w:color w:val="auto"/>
        </w:rPr>
      </w:pPr>
    </w:p>
    <w:p>
      <w:pPr>
        <w:ind w:right="40" w:firstLine="509"/>
        <w:spacing w:after="0" w:line="252" w:lineRule="auto"/>
        <w:rPr>
          <w:sz w:val="20"/>
          <w:szCs w:val="20"/>
          <w:color w:val="auto"/>
        </w:rPr>
      </w:pPr>
      <w:r>
        <w:rPr>
          <w:rFonts w:ascii="Arial" w:cs="Arial" w:eastAsia="Arial" w:hAnsi="Arial"/>
          <w:sz w:val="12"/>
          <w:szCs w:val="12"/>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w:t>
      </w:r>
    </w:p>
    <w:p>
      <w:pPr>
        <w:spacing w:after="0" w:line="2"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amended and restated certificate of incorporation provides that the Court of Chancery of the State of Delaware is the sole and exclusive forum for certain stockholder litigation matters and</w:t>
      </w:r>
    </w:p>
    <w:p>
      <w:pPr>
        <w:spacing w:after="0" w:line="23" w:lineRule="exact"/>
        <w:rPr>
          <w:sz w:val="20"/>
          <w:szCs w:val="20"/>
          <w:color w:val="auto"/>
        </w:rPr>
      </w:pPr>
    </w:p>
    <w:p>
      <w:pPr>
        <w:ind w:right="360"/>
        <w:spacing w:after="0" w:line="228" w:lineRule="auto"/>
        <w:rPr>
          <w:sz w:val="20"/>
          <w:szCs w:val="20"/>
          <w:color w:val="auto"/>
        </w:rPr>
      </w:pPr>
      <w:r>
        <w:rPr>
          <w:rFonts w:ascii="Arial" w:cs="Arial" w:eastAsia="Arial" w:hAnsi="Arial"/>
          <w:sz w:val="14"/>
          <w:szCs w:val="14"/>
          <w:b w:val="1"/>
          <w:bCs w:val="1"/>
          <w:i w:val="1"/>
          <w:iCs w:val="1"/>
          <w:color w:val="auto"/>
        </w:rPr>
        <w:t>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amended and restated certificate of incorporation provides that, subject to limited exceptions, (1) any derivative action or proceeding brought on behalf of the Company, (2) any action</w:t>
      </w:r>
    </w:p>
    <w:p>
      <w:pPr>
        <w:spacing w:after="0" w:line="11"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asserting a claim of breach of a fiduciary duty owed by any current or former director, officer, other employee or stockholder of the Company to the Company or the Company’s stockholders, (3)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(4) any action asserting</w:t>
      </w:r>
    </w:p>
    <w:p>
      <w:pPr>
        <w:ind w:right="60"/>
        <w:spacing w:after="0" w:line="244" w:lineRule="auto"/>
        <w:rPr>
          <w:sz w:val="20"/>
          <w:szCs w:val="20"/>
          <w:color w:val="auto"/>
        </w:rPr>
      </w:pPr>
      <w:r>
        <w:rPr>
          <w:rFonts w:ascii="Arial" w:cs="Arial" w:eastAsia="Arial" w:hAnsi="Arial"/>
          <w:sz w:val="12"/>
          <w:szCs w:val="12"/>
          <w:color w:val="auto"/>
        </w:rPr>
        <w:t>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14"/>
          <w:szCs w:val="14"/>
          <w:color w:val="auto"/>
        </w:rPr>
        <w:t>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6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to whether a court would enforce the choice of forum provision with respect to claims under the federal securities laws, and that investors cannot waive compliance with the federal securities laws and the rules and regulations thereunder.</w:t>
      </w:r>
    </w:p>
    <w:p>
      <w:pPr>
        <w:spacing w:after="0" w:line="140"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2"/>
          <w:szCs w:val="12"/>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w:t>
      </w:r>
    </w:p>
    <w:p>
      <w:pPr>
        <w:spacing w:after="0" w:line="2" w:lineRule="exact"/>
        <w:rPr>
          <w:sz w:val="20"/>
          <w:szCs w:val="20"/>
          <w:color w:val="auto"/>
        </w:rPr>
      </w:pPr>
    </w:p>
    <w:p>
      <w:pPr>
        <w:jc w:val="both"/>
        <w:ind w:right="100"/>
        <w:spacing w:after="0" w:line="220" w:lineRule="auto"/>
        <w:rPr>
          <w:sz w:val="20"/>
          <w:szCs w:val="20"/>
          <w:color w:val="auto"/>
        </w:rPr>
      </w:pPr>
      <w:r>
        <w:rPr>
          <w:rFonts w:ascii="Arial" w:cs="Arial" w:eastAsia="Arial" w:hAnsi="Arial"/>
          <w:sz w:val="14"/>
          <w:szCs w:val="14"/>
          <w:color w:val="auto"/>
        </w:rPr>
        <w:t>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Risk Factors</w:t>
      </w:r>
    </w:p>
    <w:p>
      <w:pPr>
        <w:spacing w:after="0" w:line="15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b w:val="1"/>
          <w:bCs w:val="1"/>
          <w:i w:val="1"/>
          <w:iCs w:val="1"/>
          <w:color w:val="auto"/>
        </w:rPr>
        <w:t>We are incurring increased costs as a result of operating as a public company, and our management will be required to devote substantial time to new compliance initiatives and corporate governance practices.</w:t>
      </w:r>
    </w:p>
    <w:p>
      <w:pPr>
        <w:spacing w:after="0" w:line="55" w:lineRule="exact"/>
        <w:rPr>
          <w:sz w:val="20"/>
          <w:szCs w:val="20"/>
          <w:color w:val="auto"/>
        </w:rPr>
      </w:pPr>
    </w:p>
    <w:p>
      <w:pPr>
        <w:ind w:right="20" w:firstLine="509"/>
        <w:spacing w:after="0" w:line="252" w:lineRule="auto"/>
        <w:rPr>
          <w:sz w:val="20"/>
          <w:szCs w:val="20"/>
          <w:color w:val="auto"/>
        </w:rPr>
      </w:pPr>
      <w:r>
        <w:rPr>
          <w:rFonts w:ascii="Arial" w:cs="Arial" w:eastAsia="Arial" w:hAnsi="Arial"/>
          <w:sz w:val="12"/>
          <w:szCs w:val="12"/>
          <w:color w:val="auto"/>
        </w:rPr>
        <w:t>As a public company, and particularly once we are no longer an emerging growth company, we incur significant legal, regulatory, insurance, finance, accounting, investor relations, and other expenses that we did not incur as a private company, including costs associated with public company reporting requirements and costs of recruiting and retaining non-executive directors, and increased costs of director and officer liability insurance. We also have incurred and will continue to incur costs associated with the Sarbanes-Oxley Act, and the Dodd-Frank Wall Street Reform and</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Consumer Protection Act, or the Dodd-Frank Act, and related rules implemented by the SEC, and the applicable stock exchange. The expenses incurred by public companies generally for reporting and corporate governance purposes have been increasing. These rules and regulations have and will continue to increase our legal and financial compliance costs and to make some activities more time-consuming and costly, although we are currently unable to estimate these costs with any degree of certainty. Our management will need to devote a substantial amount of time to ensure that we</w:t>
      </w:r>
    </w:p>
    <w:p>
      <w:pPr>
        <w:ind w:right="40"/>
        <w:spacing w:after="0" w:line="246" w:lineRule="auto"/>
        <w:rPr>
          <w:sz w:val="20"/>
          <w:szCs w:val="20"/>
          <w:color w:val="auto"/>
        </w:rPr>
      </w:pPr>
      <w:r>
        <w:rPr>
          <w:rFonts w:ascii="Arial" w:cs="Arial" w:eastAsia="Arial" w:hAnsi="Arial"/>
          <w:sz w:val="12"/>
          <w:szCs w:val="12"/>
          <w:color w:val="auto"/>
        </w:rPr>
        <w:t>comply with all of these requirements, diverting the attention of management away from revenue-producing activities and the smooth running of the business. These laws and regulations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w:t>
      </w:r>
    </w:p>
    <w:p>
      <w:pPr>
        <w:ind w:right="180"/>
        <w:spacing w:after="0" w:line="228" w:lineRule="auto"/>
        <w:rPr>
          <w:sz w:val="20"/>
          <w:szCs w:val="20"/>
          <w:color w:val="auto"/>
        </w:rPr>
      </w:pPr>
      <w:r>
        <w:rPr>
          <w:rFonts w:ascii="Arial" w:cs="Arial" w:eastAsia="Arial" w:hAnsi="Arial"/>
          <w:sz w:val="14"/>
          <w:szCs w:val="14"/>
          <w:color w:val="auto"/>
        </w:rPr>
        <w:t>directors, our board committees or as our executive officers. Furthermore, if we are unable to satisfy our obligations as a public company, we could be subject to the delisting of our common stock, fines, sanctions and other regulatory action, and potentially civil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p>
    <w:p>
      <w:pPr>
        <w:spacing w:after="0" w:line="200" w:lineRule="exact"/>
        <w:rPr>
          <w:sz w:val="20"/>
          <w:szCs w:val="20"/>
          <w:color w:val="auto"/>
        </w:rPr>
      </w:pPr>
    </w:p>
    <w:p>
      <w:pPr>
        <w:ind w:right="180" w:firstLine="509"/>
        <w:spacing w:after="0" w:line="313" w:lineRule="auto"/>
        <w:rPr>
          <w:sz w:val="20"/>
          <w:szCs w:val="20"/>
          <w:color w:val="auto"/>
        </w:rPr>
      </w:pPr>
      <w:r>
        <w:rPr>
          <w:rFonts w:ascii="Arial" w:cs="Arial" w:eastAsia="Arial" w:hAnsi="Arial"/>
          <w:sz w:val="12"/>
          <w:szCs w:val="12"/>
          <w:color w:val="auto"/>
        </w:rPr>
        <w:t>We may in the future incur losses from various types of fraud, including unauthorized purchases, merchant fraud and consumers who have insufficient funds to satisfy payments. Although we have measures in place to detect and reduce the occurrence of fraudulent activity, those measures may not always be effective. Our failure to adequately prevent fraudulent transactions could damage our reputation, result in litigation or regulatory action and additional expenses and our business, financial condition, results of operations and prospects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or in their implementation may adversely affect our business and financial condition.</w:t>
      </w:r>
    </w:p>
    <w:p>
      <w:pPr>
        <w:spacing w:after="0" w:line="7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2"/>
          <w:szCs w:val="12"/>
          <w:color w:val="auto"/>
        </w:rPr>
        <w:t>There could be significant changes in tax laws and regulations that could result in additional federal income taxes being imposed on us. Any adverse developments in these laws or regulations, including legislative changes, judicial holdings or administrative interpretations, could have a material and adverse effect on our business, financial condition, results of operations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cash flows. Changes in tax rates or exposure to additional tax liabilities or assessments could affect our profitability, and audits by tax authorities could result in additional tax payments.</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55" w:lineRule="exact"/>
        <w:rPr>
          <w:sz w:val="20"/>
          <w:szCs w:val="20"/>
          <w:color w:val="auto"/>
        </w:rPr>
      </w:pPr>
    </w:p>
    <w:p>
      <w:pPr>
        <w:ind w:firstLine="509"/>
        <w:spacing w:after="0" w:line="249" w:lineRule="auto"/>
        <w:rPr>
          <w:sz w:val="20"/>
          <w:szCs w:val="20"/>
          <w:color w:val="auto"/>
        </w:rPr>
      </w:pPr>
      <w:r>
        <w:rPr>
          <w:rFonts w:ascii="Arial" w:cs="Arial" w:eastAsia="Arial" w:hAnsi="Arial"/>
          <w:sz w:val="12"/>
          <w:szCs w:val="12"/>
          <w:color w:val="auto"/>
        </w:rPr>
        <w:t>The preparation of financial statements in conformity with U.S. generally accepted accounting principles, or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and expenses that are not readily apparent from other</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requirements to design, implement and maintain effective internal controls could have a material adverse effect on our business and stock price.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a public company, we are subject to significant requirements under Section 404(a) of the Sarbanes-Oxley Act, or Section 404, for enhanced financial reporting and internal controls. The</w:t>
      </w:r>
    </w:p>
    <w:p>
      <w:pPr>
        <w:spacing w:after="0" w:line="23" w:lineRule="exact"/>
        <w:rPr>
          <w:sz w:val="20"/>
          <w:szCs w:val="20"/>
          <w:color w:val="auto"/>
        </w:rPr>
      </w:pPr>
    </w:p>
    <w:p>
      <w:pPr>
        <w:ind w:right="380"/>
        <w:spacing w:after="0" w:line="246" w:lineRule="auto"/>
        <w:rPr>
          <w:sz w:val="20"/>
          <w:szCs w:val="20"/>
          <w:color w:val="auto"/>
        </w:rPr>
      </w:pPr>
      <w:r>
        <w:rPr>
          <w:rFonts w:ascii="Arial" w:cs="Arial" w:eastAsia="Arial" w:hAnsi="Arial"/>
          <w:sz w:val="12"/>
          <w:szCs w:val="12"/>
          <w:color w:val="auto"/>
        </w:rPr>
        <w:t>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In addition, we are required, pursuant to Section 404, to furnish a report by management on, among other things, the effectiveness of our internal control over financial reporting in the second annual report following the</w:t>
      </w:r>
    </w:p>
    <w:p>
      <w:pPr>
        <w:spacing w:after="0" w:line="246" w:lineRule="auto"/>
        <w:rPr>
          <w:sz w:val="20"/>
          <w:szCs w:val="20"/>
          <w:color w:val="auto"/>
        </w:rPr>
      </w:pPr>
      <w:r>
        <w:rPr>
          <w:rFonts w:ascii="Arial" w:cs="Arial" w:eastAsia="Arial" w:hAnsi="Arial"/>
          <w:sz w:val="12"/>
          <w:szCs w:val="12"/>
          <w:color w:val="auto"/>
        </w:rPr>
        <w:t>completion of our IPO.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Once we are no longer an “emerging growth company,” our auditors will be</w:t>
      </w:r>
    </w:p>
    <w:p>
      <w:pPr>
        <w:spacing w:after="0"/>
        <w:rPr>
          <w:sz w:val="20"/>
          <w:szCs w:val="20"/>
          <w:color w:val="auto"/>
        </w:rPr>
      </w:pPr>
      <w:r>
        <w:rPr>
          <w:rFonts w:ascii="Arial" w:cs="Arial" w:eastAsia="Arial" w:hAnsi="Arial"/>
          <w:sz w:val="14"/>
          <w:szCs w:val="14"/>
          <w:color w:val="auto"/>
        </w:rPr>
        <w:t>required to issue an attestation report on the effectiveness of our internal controls on an annual basis.</w:t>
      </w:r>
    </w:p>
    <w:p>
      <w:pPr>
        <w:spacing w:after="0" w:line="135"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 Failure to maintain effective</w:t>
      </w:r>
    </w:p>
    <w:p>
      <w:pPr>
        <w:spacing w:after="0"/>
        <w:rPr>
          <w:sz w:val="20"/>
          <w:szCs w:val="20"/>
          <w:color w:val="auto"/>
        </w:rPr>
      </w:pPr>
      <w:r>
        <w:rPr>
          <w:rFonts w:ascii="Arial" w:cs="Arial" w:eastAsia="Arial" w:hAnsi="Arial"/>
          <w:sz w:val="14"/>
          <w:szCs w:val="14"/>
          <w:color w:val="auto"/>
        </w:rPr>
        <w:t>internal controls could make it more difficult to detect misstatements or fraud in financial information..</w:t>
      </w:r>
    </w:p>
    <w:p>
      <w:pPr>
        <w:spacing w:after="0" w:line="135" w:lineRule="exact"/>
        <w:rPr>
          <w:sz w:val="20"/>
          <w:szCs w:val="20"/>
          <w:color w:val="auto"/>
        </w:rPr>
      </w:pPr>
    </w:p>
    <w:p>
      <w:pPr>
        <w:ind w:right="320" w:firstLine="509"/>
        <w:spacing w:after="0" w:line="259" w:lineRule="auto"/>
        <w:rPr>
          <w:sz w:val="20"/>
          <w:szCs w:val="20"/>
          <w:color w:val="auto"/>
        </w:rPr>
      </w:pPr>
      <w:r>
        <w:rPr>
          <w:rFonts w:ascii="Arial" w:cs="Arial" w:eastAsia="Arial" w:hAnsi="Arial"/>
          <w:sz w:val="12"/>
          <w:szCs w:val="12"/>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209" w:lineRule="exact"/>
        <w:rPr>
          <w:sz w:val="20"/>
          <w:szCs w:val="20"/>
          <w:color w:val="auto"/>
        </w:rPr>
      </w:pPr>
    </w:p>
    <w:p>
      <w:pPr>
        <w:ind w:right="1800" w:firstLine="1824"/>
        <w:spacing w:after="0" w:line="437" w:lineRule="auto"/>
        <w:rPr>
          <w:sz w:val="20"/>
          <w:szCs w:val="20"/>
          <w:color w:val="auto"/>
        </w:rPr>
      </w:pPr>
      <w:r>
        <w:rPr>
          <w:rFonts w:ascii="Arial" w:cs="Arial" w:eastAsia="Arial" w:hAnsi="Arial"/>
          <w:sz w:val="13"/>
          <w:szCs w:val="13"/>
          <w:b w:val="1"/>
          <w:bCs w:val="1"/>
          <w:color w:val="auto"/>
        </w:rPr>
        <w:t xml:space="preserve">Risks Related to Our Existence as a Public Benefit Corporation and Other Environmental, Sustainability and Social Initiatives </w:t>
      </w:r>
      <w:r>
        <w:rPr>
          <w:rFonts w:ascii="Arial" w:cs="Arial" w:eastAsia="Arial" w:hAnsi="Arial"/>
          <w:sz w:val="13"/>
          <w:szCs w:val="13"/>
          <w:b w:val="1"/>
          <w:bCs w:val="1"/>
          <w:i w:val="1"/>
          <w:iCs w:val="1"/>
          <w:color w:val="auto"/>
        </w:rPr>
        <w:t>We operate as a Delaware public benefit corporation, and we cannot provide any assurance that we will achieve our public benefit purpose.</w:t>
      </w:r>
    </w:p>
    <w:p>
      <w:pPr>
        <w:jc w:val="center"/>
        <w:spacing w:after="0" w:line="224" w:lineRule="auto"/>
        <w:rPr>
          <w:sz w:val="20"/>
          <w:szCs w:val="20"/>
          <w:color w:val="auto"/>
        </w:rPr>
      </w:pPr>
      <w:r>
        <w:rPr>
          <w:rFonts w:ascii="Arial" w:cs="Arial" w:eastAsia="Arial" w:hAnsi="Arial"/>
          <w:sz w:val="14"/>
          <w:szCs w:val="14"/>
          <w:color w:val="auto"/>
        </w:rPr>
        <w:t>As a public benefit corporation, we are required to produce a public benefit or benefits and to operate in a responsible and sustainable manner, balancing our stockholders’ pecuniary</w:t>
      </w:r>
    </w:p>
    <w:p>
      <w:pPr>
        <w:jc w:val="center"/>
        <w:ind w:right="40"/>
        <w:spacing w:after="0"/>
        <w:rPr>
          <w:sz w:val="20"/>
          <w:szCs w:val="20"/>
          <w:color w:val="auto"/>
        </w:rPr>
      </w:pPr>
      <w:r>
        <w:rPr>
          <w:rFonts w:ascii="Arial" w:cs="Arial" w:eastAsia="Arial" w:hAnsi="Arial"/>
          <w:sz w:val="12"/>
          <w:szCs w:val="12"/>
          <w:color w:val="auto"/>
        </w:rPr>
        <w:t>interests, the best interests of those materially affected by our conduct, and the public benefit or benefits identified by our amended and restated certificate of incorporation. There is no assurance that</w:t>
      </w:r>
    </w:p>
    <w:p>
      <w:pPr>
        <w:spacing w:after="0" w:line="11"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a public benefit corporation, we are required to publicly disclose a report at least biennially on our overall public benefit performance and on our assessment of our success in achieving</w:t>
      </w:r>
    </w:p>
    <w:p>
      <w:pPr>
        <w:spacing w:after="0" w:line="11"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Delaware public benefit corporation, our focus on a specific public benefit purpose and producing positive effect for society may negatively impact our financial performance.</w:t>
      </w:r>
    </w:p>
    <w:p>
      <w:pPr>
        <w:spacing w:after="0" w:line="84" w:lineRule="exact"/>
        <w:rPr>
          <w:sz w:val="20"/>
          <w:szCs w:val="20"/>
          <w:color w:val="auto"/>
        </w:rPr>
      </w:pPr>
    </w:p>
    <w:p>
      <w:pPr>
        <w:ind w:right="20" w:firstLine="509"/>
        <w:spacing w:after="0" w:line="252" w:lineRule="auto"/>
        <w:rPr>
          <w:sz w:val="20"/>
          <w:szCs w:val="20"/>
          <w:color w:val="auto"/>
        </w:rPr>
      </w:pPr>
      <w:r>
        <w:rPr>
          <w:rFonts w:ascii="Arial" w:cs="Arial" w:eastAsia="Arial" w:hAnsi="Arial"/>
          <w:sz w:val="12"/>
          <w:szCs w:val="12"/>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 actions do not maximize our financial results. While we intend for this public benefit designation and obligation to</w:t>
      </w:r>
    </w:p>
    <w:p>
      <w:pPr>
        <w:spacing w:after="0" w:line="2" w:lineRule="exact"/>
        <w:rPr>
          <w:sz w:val="20"/>
          <w:szCs w:val="20"/>
          <w:color w:val="auto"/>
        </w:rPr>
      </w:pPr>
    </w:p>
    <w:p>
      <w:pPr>
        <w:ind w:right="20"/>
        <w:spacing w:after="0" w:line="216" w:lineRule="auto"/>
        <w:rPr>
          <w:sz w:val="20"/>
          <w:szCs w:val="20"/>
          <w:color w:val="auto"/>
        </w:rPr>
      </w:pPr>
      <w:r>
        <w:rPr>
          <w:rFonts w:ascii="Arial" w:cs="Arial" w:eastAsia="Arial" w:hAnsi="Arial"/>
          <w:sz w:val="14"/>
          <w:szCs w:val="14"/>
          <w:color w:val="auto"/>
        </w:rPr>
        <w:t>provide an overall net benefit to us, our stockholders and our customers, it could instead cause us to make decisions and take actions without seeking to maximize the income generated from our business.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2"/>
          <w:szCs w:val="12"/>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w:t>
      </w:r>
    </w:p>
    <w:p>
      <w:pPr>
        <w:spacing w:after="0" w:line="1" w:lineRule="exact"/>
        <w:rPr>
          <w:sz w:val="20"/>
          <w:szCs w:val="20"/>
          <w:color w:val="auto"/>
        </w:rPr>
      </w:pPr>
    </w:p>
    <w:p>
      <w:pPr>
        <w:jc w:val="both"/>
        <w:ind w:right="80"/>
        <w:spacing w:after="0" w:line="246" w:lineRule="auto"/>
        <w:rPr>
          <w:sz w:val="20"/>
          <w:szCs w:val="20"/>
          <w:color w:val="auto"/>
        </w:rPr>
      </w:pPr>
      <w:r>
        <w:rPr>
          <w:rFonts w:ascii="Arial" w:cs="Arial" w:eastAsia="Arial" w:hAnsi="Arial"/>
          <w:sz w:val="12"/>
          <w:szCs w:val="12"/>
          <w:color w:val="auto"/>
        </w:rPr>
        <w:t>contain the identical provisions identifying the public benefit or public benefits,” unless the transaction receives approval from two-thirds of the target public benefit corporation’s outstanding voting shares. Additionally, public benefit corporations may also not be attractive targets for activists or hedge fund investors because new directors would still have to consider and give appropriate weight to the public benefit along with shareholder value, and shareholders committed to the public benefit can enforce this through derivative suits. Further, by requiring that boards of directors of public</w:t>
      </w:r>
    </w:p>
    <w:p>
      <w:pPr>
        <w:spacing w:after="0" w:line="220" w:lineRule="auto"/>
        <w:rPr>
          <w:sz w:val="20"/>
          <w:szCs w:val="20"/>
          <w:color w:val="auto"/>
        </w:rPr>
      </w:pPr>
      <w:r>
        <w:rPr>
          <w:rFonts w:ascii="Arial" w:cs="Arial" w:eastAsia="Arial" w:hAnsi="Arial"/>
          <w:sz w:val="14"/>
          <w:szCs w:val="14"/>
          <w:color w:val="auto"/>
        </w:rPr>
        <w:t>benefit corporations consider additional constituencies other than maximizing shareholder value, Delaware public benefit corporation law could potentially make it easier for a board to reject a hostile bid, even where the takeover would provide the greatest short-term financial yield to investors. Additionally, being a public benefit corporation may result in a different assessment of potential acquisitions than a traditional corporation and may limit the suitable pool of such targets.</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i w:val="1"/>
          <w:iCs w:val="1"/>
          <w:color w:val="auto"/>
        </w:rPr>
        <w:t>Our directors have a fiduciary duty to consider not only our stockholders’ interests, but also our specific public benefit and the interests of other stakeholders affected by our actions. If a conflict between such interests arises, there is no guarantee that such a conflict would be resolved in favor of our stockholders.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While directors of a traditional corporation are required to make decisions that they believe to be in the best interests of their stockholders, directors of a public benefit corporation have a</w:t>
      </w:r>
    </w:p>
    <w:p>
      <w:pPr>
        <w:spacing w:after="0" w:line="1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w:t>
      </w:r>
    </w:p>
    <w:p>
      <w:pPr>
        <w:jc w:val="both"/>
        <w:spacing w:after="0" w:line="246" w:lineRule="auto"/>
        <w:rPr>
          <w:sz w:val="20"/>
          <w:szCs w:val="20"/>
          <w:color w:val="auto"/>
        </w:rPr>
      </w:pPr>
      <w:r>
        <w:rPr>
          <w:rFonts w:ascii="Arial" w:cs="Arial" w:eastAsia="Arial" w:hAnsi="Arial"/>
          <w:sz w:val="12"/>
          <w:szCs w:val="12"/>
          <w:color w:val="auto"/>
        </w:rPr>
        <w:t>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our board of directors may take actions that do not maximize stockholder value. Any benefits to stockholders resulting from our public benefit purposes may not materialize within the timeframe we expect or at all and</w:t>
      </w:r>
    </w:p>
    <w:p>
      <w:pPr>
        <w:spacing w:after="0"/>
        <w:rPr>
          <w:sz w:val="20"/>
          <w:szCs w:val="20"/>
          <w:color w:val="auto"/>
        </w:rPr>
      </w:pPr>
      <w:r>
        <w:rPr>
          <w:rFonts w:ascii="Arial" w:cs="Arial" w:eastAsia="Arial" w:hAnsi="Arial"/>
          <w:sz w:val="14"/>
          <w:szCs w:val="14"/>
          <w:color w:val="auto"/>
        </w:rPr>
        <w:t>may have negative effects. For example:</w:t>
      </w:r>
    </w:p>
    <w:p>
      <w:pPr>
        <w:spacing w:after="0" w:line="50" w:lineRule="exact"/>
        <w:rPr>
          <w:sz w:val="20"/>
          <w:szCs w:val="20"/>
          <w:color w:val="auto"/>
        </w:rPr>
      </w:pPr>
    </w:p>
    <w:p>
      <w:pPr>
        <w:ind w:left="520" w:right="140" w:hanging="260"/>
        <w:spacing w:after="0" w:line="23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choose to revise our policies in ways that we believe will be beneficial to our stakeholders, including suppliers, employees and local communities, even though the changes may be costly;</w:t>
      </w:r>
    </w:p>
    <w:p>
      <w:pPr>
        <w:spacing w:after="0" w:line="54"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take actions that exceed regulatory requirements, even though these actions may be more costly than other alternatives;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be influenced to pursue programs and services to further our commitment to the communities to which we serve even though there is no immediate return to our stockholders; or</w:t>
      </w:r>
    </w:p>
    <w:p>
      <w:pPr>
        <w:spacing w:after="0" w:line="73" w:lineRule="exact"/>
        <w:rPr>
          <w:rFonts w:ascii="Arial" w:cs="Arial" w:eastAsia="Arial" w:hAnsi="Arial"/>
          <w:sz w:val="13"/>
          <w:szCs w:val="13"/>
          <w:color w:val="auto"/>
        </w:rPr>
      </w:pPr>
    </w:p>
    <w:p>
      <w:pPr>
        <w:ind w:left="520" w:right="40" w:hanging="260"/>
        <w:spacing w:after="0" w:line="249"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responding to a possible proposal to acquire the company, our board of directors has a fiduciary duty to consider the interests of our other stakeholders, including suppliers, employees and local communities, whose interests may be different from the interests of our stockholders.</w:t>
      </w:r>
    </w:p>
    <w:p>
      <w:pPr>
        <w:spacing w:after="0" w:line="313" w:lineRule="exact"/>
        <w:rPr>
          <w:sz w:val="20"/>
          <w:szCs w:val="20"/>
          <w:color w:val="auto"/>
        </w:rPr>
      </w:pPr>
    </w:p>
    <w:p>
      <w:pPr>
        <w:ind w:right="220" w:firstLine="509"/>
        <w:spacing w:after="0" w:line="236" w:lineRule="auto"/>
        <w:rPr>
          <w:sz w:val="20"/>
          <w:szCs w:val="20"/>
          <w:color w:val="auto"/>
        </w:rPr>
      </w:pPr>
      <w:r>
        <w:rPr>
          <w:rFonts w:ascii="Arial" w:cs="Arial" w:eastAsia="Arial" w:hAnsi="Arial"/>
          <w:sz w:val="14"/>
          <w:szCs w:val="14"/>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40" w:lineRule="exact"/>
        <w:rPr>
          <w:sz w:val="20"/>
          <w:szCs w:val="20"/>
          <w:color w:val="auto"/>
        </w:rPr>
      </w:pPr>
    </w:p>
    <w:p>
      <w:pPr>
        <w:ind w:right="240"/>
        <w:spacing w:after="0" w:line="236" w:lineRule="auto"/>
        <w:rPr>
          <w:sz w:val="20"/>
          <w:szCs w:val="20"/>
          <w:color w:val="auto"/>
        </w:rPr>
      </w:pPr>
      <w:r>
        <w:rPr>
          <w:rFonts w:ascii="Arial" w:cs="Arial" w:eastAsia="Arial" w:hAnsi="Arial"/>
          <w:sz w:val="14"/>
          <w:szCs w:val="14"/>
          <w:b w:val="1"/>
          <w:bCs w:val="1"/>
          <w:i w:val="1"/>
          <w:iCs w:val="1"/>
          <w:color w:val="auto"/>
        </w:rPr>
        <w:t>As a Delaware public benefit corporation, we may be subject to increased derivative litigation concerning our duty to balance stockholder and public benefit interest, the occurrence of which may have an adverse impact on our business, financial condition, results of operation and cash flows.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Stockholders of a Delaware public benefit corporation (if they, individually or collectively, own at least 2% of the company’s outstanding shares or, upon our listing, the lesser of such</w:t>
      </w:r>
    </w:p>
    <w:p>
      <w:pPr>
        <w:spacing w:after="0" w:line="11" w:lineRule="exact"/>
        <w:rPr>
          <w:sz w:val="20"/>
          <w:szCs w:val="20"/>
          <w:color w:val="auto"/>
        </w:rPr>
      </w:pPr>
    </w:p>
    <w:p>
      <w:pPr>
        <w:ind w:right="200"/>
        <w:spacing w:after="0" w:line="227" w:lineRule="auto"/>
        <w:rPr>
          <w:sz w:val="20"/>
          <w:szCs w:val="20"/>
          <w:color w:val="auto"/>
        </w:rPr>
      </w:pPr>
      <w:r>
        <w:rPr>
          <w:rFonts w:ascii="Arial" w:cs="Arial" w:eastAsia="Arial" w:hAnsi="Arial"/>
          <w:sz w:val="13"/>
          <w:szCs w:val="13"/>
          <w:color w:val="auto"/>
        </w:rPr>
        <w:t>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w:t>
      </w:r>
    </w:p>
    <w:p>
      <w:pPr>
        <w:spacing w:after="0"/>
        <w:rPr>
          <w:sz w:val="20"/>
          <w:szCs w:val="20"/>
          <w:color w:val="auto"/>
        </w:rPr>
      </w:pPr>
      <w:r>
        <w:rPr>
          <w:rFonts w:ascii="Arial" w:cs="Arial" w:eastAsia="Arial" w:hAnsi="Arial"/>
          <w:sz w:val="14"/>
          <w:szCs w:val="14"/>
          <w:color w:val="auto"/>
        </w:rPr>
        <w:t>financial condition and results of operations.</w:t>
      </w:r>
    </w:p>
    <w:p>
      <w:pPr>
        <w:spacing w:after="0" w:line="167" w:lineRule="exact"/>
        <w:rPr>
          <w:sz w:val="20"/>
          <w:szCs w:val="20"/>
          <w:color w:val="auto"/>
        </w:rPr>
      </w:pPr>
    </w:p>
    <w:p>
      <w:pPr>
        <w:ind w:right="4840"/>
        <w:spacing w:after="0" w:line="265" w:lineRule="auto"/>
        <w:rPr>
          <w:sz w:val="20"/>
          <w:szCs w:val="20"/>
          <w:color w:val="auto"/>
        </w:rPr>
      </w:pPr>
      <w:r>
        <w:rPr>
          <w:rFonts w:ascii="Arial" w:cs="Arial" w:eastAsia="Arial" w:hAnsi="Arial"/>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154"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sustainability goals and measure achievement of those goals, which could have an adverse impact on our business and financial condition.</w:t>
      </w:r>
    </w:p>
    <w:p>
      <w:pPr>
        <w:spacing w:after="0" w:line="189" w:lineRule="exact"/>
        <w:rPr>
          <w:sz w:val="20"/>
          <w:szCs w:val="20"/>
          <w:color w:val="auto"/>
        </w:rPr>
      </w:pPr>
    </w:p>
    <w:p>
      <w:pPr>
        <w:ind w:right="500" w:firstLine="509"/>
        <w:spacing w:after="0" w:line="281" w:lineRule="auto"/>
        <w:rPr>
          <w:sz w:val="20"/>
          <w:szCs w:val="20"/>
          <w:color w:val="auto"/>
        </w:rPr>
      </w:pPr>
      <w:r>
        <w:rPr>
          <w:rFonts w:ascii="Arial" w:cs="Arial" w:eastAsia="Arial" w:hAnsi="Arial"/>
          <w:sz w:val="14"/>
          <w:szCs w:val="14"/>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51" w:lineRule="exact"/>
        <w:rPr>
          <w:sz w:val="20"/>
          <w:szCs w:val="20"/>
          <w:color w:val="auto"/>
        </w:rPr>
      </w:pPr>
    </w:p>
    <w:p>
      <w:pPr>
        <w:ind w:right="340" w:firstLine="509"/>
        <w:spacing w:after="0" w:line="259" w:lineRule="auto"/>
        <w:rPr>
          <w:sz w:val="20"/>
          <w:szCs w:val="20"/>
          <w:color w:val="auto"/>
        </w:rPr>
      </w:pPr>
      <w:r>
        <w:rPr>
          <w:rFonts w:ascii="Arial" w:cs="Arial" w:eastAsia="Arial" w:hAnsi="Arial"/>
          <w:sz w:val="12"/>
          <w:szCs w:val="12"/>
          <w:color w:val="auto"/>
        </w:rPr>
        <w:t>Our corporate headquarters is located in Manhattan, New York, at 250 Park Avenue South, where we lease office space, which provides support to both our Americas and International segments. As of December 31, 2022, we leased office facilities totaling approximately 29,400 square feet in the United States, Singapore and London, with the Singapore and London facilities</w:t>
      </w:r>
    </w:p>
    <w:p>
      <w:pPr>
        <w:spacing w:after="0" w:line="1" w:lineRule="exact"/>
        <w:rPr>
          <w:sz w:val="20"/>
          <w:szCs w:val="20"/>
          <w:color w:val="auto"/>
        </w:rPr>
      </w:pPr>
    </w:p>
    <w:p>
      <w:pPr>
        <w:ind w:right="260"/>
        <w:spacing w:after="0" w:line="228" w:lineRule="auto"/>
        <w:rPr>
          <w:sz w:val="20"/>
          <w:szCs w:val="20"/>
          <w:color w:val="auto"/>
        </w:rPr>
      </w:pPr>
      <w:r>
        <w:rPr>
          <w:rFonts w:ascii="Arial" w:cs="Arial" w:eastAsia="Arial" w:hAnsi="Arial"/>
          <w:sz w:val="14"/>
          <w:szCs w:val="14"/>
          <w:color w:val="auto"/>
        </w:rPr>
        <w:t>primarily supporting our International segment. We believe that our corporate headquarters and other offices are adequate for our immediate needs and that we will be able to obtain additional or substitute space, as needed, on commercially reasonable terms.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61"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25" w:lineRule="exact"/>
        <w:rPr>
          <w:sz w:val="20"/>
          <w:szCs w:val="20"/>
          <w:color w:val="auto"/>
        </w:rPr>
      </w:pPr>
    </w:p>
    <w:p>
      <w:pPr>
        <w:jc w:val="center"/>
        <w:ind w:right="9280"/>
        <w:spacing w:after="0"/>
        <w:rPr>
          <w:sz w:val="20"/>
          <w:szCs w:val="20"/>
          <w:color w:val="auto"/>
        </w:rPr>
      </w:pPr>
      <w:r>
        <w:rPr>
          <w:rFonts w:ascii="Arial" w:cs="Arial" w:eastAsia="Arial" w:hAnsi="Arial"/>
          <w:sz w:val="12"/>
          <w:szCs w:val="12"/>
          <w:b w:val="1"/>
          <w:bCs w:val="1"/>
          <w:color w:val="auto"/>
        </w:rPr>
        <w:t>Item 4. Mine Safety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8" w:right="37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stock currently trades on The Nasdaq Stock Market LLC under the ticker symbol "COCO".</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10, 2023, there were 53 holders of record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currently intend to retain all available funds and future earnings, if any, for the operation and expansion of our business and do not anticipate declaring or paying any dividends in the</w:t>
      </w:r>
    </w:p>
    <w:p>
      <w:pPr>
        <w:spacing w:after="0" w:line="11" w:lineRule="exact"/>
        <w:rPr>
          <w:sz w:val="20"/>
          <w:szCs w:val="20"/>
          <w:color w:val="auto"/>
        </w:rPr>
      </w:pPr>
    </w:p>
    <w:p>
      <w:pPr>
        <w:ind w:right="140"/>
        <w:spacing w:after="0" w:line="220" w:lineRule="auto"/>
        <w:rPr>
          <w:sz w:val="20"/>
          <w:szCs w:val="20"/>
          <w:color w:val="auto"/>
        </w:rPr>
      </w:pPr>
      <w:r>
        <w:rPr>
          <w:rFonts w:ascii="Arial" w:cs="Arial" w:eastAsia="Arial" w:hAnsi="Arial"/>
          <w:sz w:val="14"/>
          <w:szCs w:val="14"/>
          <w:color w:val="auto"/>
        </w:rPr>
        <w:t>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In addition, the terms of our current credit facilities contain restrictions on our ability to declare and pay dividends under certain limited circumstances.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 Purchases of Equity Securities by the Issuer or Affiliated Purchaser</w:t>
      </w:r>
    </w:p>
    <w:p>
      <w:pPr>
        <w:spacing w:after="0" w:line="151" w:lineRule="exact"/>
        <w:rPr>
          <w:sz w:val="20"/>
          <w:szCs w:val="20"/>
          <w:color w:val="auto"/>
        </w:rPr>
      </w:pPr>
    </w:p>
    <w:p>
      <w:pPr>
        <w:ind w:right="600" w:firstLine="509"/>
        <w:spacing w:after="0" w:line="236" w:lineRule="auto"/>
        <w:rPr>
          <w:sz w:val="20"/>
          <w:szCs w:val="20"/>
          <w:color w:val="auto"/>
        </w:rPr>
      </w:pPr>
      <w:r>
        <w:rPr>
          <w:rFonts w:ascii="Arial" w:cs="Arial" w:eastAsia="Arial" w:hAnsi="Arial"/>
          <w:sz w:val="14"/>
          <w:szCs w:val="14"/>
          <w:color w:val="auto"/>
        </w:rPr>
        <w:t>The Company did not sell any equity securities during the three months and year ended December 31, 2022 that were not registered under the Securities Act. The Company did not repurchase any of its securities during the three months and year ended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61" w:lineRule="exact"/>
        <w:rPr>
          <w:sz w:val="20"/>
          <w:szCs w:val="20"/>
          <w:color w:val="auto"/>
        </w:rPr>
      </w:pPr>
    </w:p>
    <w:p>
      <w:pPr>
        <w:ind w:firstLine="509"/>
        <w:spacing w:after="0" w:line="248" w:lineRule="auto"/>
        <w:rPr>
          <w:sz w:val="20"/>
          <w:szCs w:val="20"/>
          <w:color w:val="auto"/>
        </w:rPr>
      </w:pPr>
      <w:r>
        <w:rPr>
          <w:rFonts w:ascii="Arial" w:cs="Arial" w:eastAsia="Arial" w:hAnsi="Arial"/>
          <w:sz w:val="14"/>
          <w:szCs w:val="14"/>
          <w:color w:val="auto"/>
        </w:rPr>
        <w:t>The following graph illustrates the total return from October 22, 2021 through December 31, 2022, for (i) our common stock, (ii) the Russell 2000 Index, (iii) the NASDAQ Composite Index, and (iv) the NASDAQ US Smart Food &amp; Beverage Index. The graph assumes that $100 was invested on October 22, 2021 in our common stock, the Russell 2000 Index, the NASDAQ Composite Index, and the NASDAQ US Smart Food &amp; Beverage Index, and that any dividends were reinvested. The graph assumes our closing sales price on October 22, 2021 of $13.95 per share as the initial value of our common stock and not the initial offering price to the public of $15.00 per share. The comparisons reflected in the graph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4305300" cy="1960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0530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color w:val="auto"/>
        </w:rPr>
        <w:t>[Reserved]</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72" w:lineRule="exact"/>
        <w:rPr>
          <w:sz w:val="20"/>
          <w:szCs w:val="20"/>
          <w:color w:val="auto"/>
        </w:rPr>
      </w:pPr>
    </w:p>
    <w:p>
      <w:pPr>
        <w:ind w:firstLine="433"/>
        <w:spacing w:after="0" w:line="276"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consolidated financial statements and related notes included elsewhere in this 10-K filing.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Form 10-K. Our historical results are not necessarily indicative of the results that may be expected for any period in the future. Except as otherwise noted, all references to 2022 refer to the year ended December 31, 2022, all references to 2021 refer to the year ended December 31, 2021 and all references to 2020, refer to the year ended December 31, 2020..</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For discussion of our financial condition and results of operations for 2021 compared to 2020, refer to our previously filed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 w:lineRule="exact"/>
        <w:rPr>
          <w:sz w:val="20"/>
          <w:szCs w:val="20"/>
          <w:color w:val="auto"/>
        </w:rPr>
      </w:pPr>
    </w:p>
    <w:p>
      <w:pPr>
        <w:ind w:right="120" w:firstLine="509"/>
        <w:spacing w:after="0" w:line="236" w:lineRule="auto"/>
        <w:rPr>
          <w:sz w:val="20"/>
          <w:szCs w:val="20"/>
          <w:color w:val="auto"/>
        </w:rPr>
      </w:pPr>
      <w:r>
        <w:rPr>
          <w:rFonts w:ascii="Arial" w:cs="Arial" w:eastAsia="Arial" w:hAnsi="Arial"/>
          <w:sz w:val="14"/>
          <w:szCs w:val="14"/>
          <w:color w:val="auto"/>
        </w:rPr>
        <w:t>The Vita Coco Company is a leading platform for brands in the functional beverage category. We pioneered packaged coconut water in 2004 and have extended our business into other healthy hydration categories. Our mission is to deliver great tasting, natural and nutritious products that we believe are better for consumers and better for the world. We are one of the largest brands globally in the coconut and other plant waters category, and one of the largest suppliers of Private Label coconut water.</w:t>
      </w:r>
    </w:p>
    <w:p>
      <w:pPr>
        <w:spacing w:after="0" w:line="171" w:lineRule="exact"/>
        <w:rPr>
          <w:sz w:val="20"/>
          <w:szCs w:val="20"/>
          <w:color w:val="auto"/>
        </w:rPr>
      </w:pPr>
    </w:p>
    <w:p>
      <w:pPr>
        <w:ind w:right="60" w:firstLine="509"/>
        <w:spacing w:after="0" w:line="251" w:lineRule="auto"/>
        <w:rPr>
          <w:sz w:val="20"/>
          <w:szCs w:val="20"/>
          <w:color w:val="auto"/>
        </w:rPr>
      </w:pPr>
      <w:r>
        <w:rPr>
          <w:rFonts w:ascii="Arial" w:cs="Arial" w:eastAsia="Arial" w:hAnsi="Arial"/>
          <w:sz w:val="14"/>
          <w:szCs w:val="14"/>
          <w:color w:val="auto"/>
        </w:rPr>
        <w:t xml:space="preserve">Our branded portfolio is led by our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which is the leader in the coconut water category in the United States, and also includes coconut oil, juice, hydration mix and milk offerings. Our other brands include </w:t>
      </w:r>
      <w:r>
        <w:rPr>
          <w:rFonts w:ascii="Arial" w:cs="Arial" w:eastAsia="Arial" w:hAnsi="Arial"/>
          <w:sz w:val="14"/>
          <w:szCs w:val="14"/>
          <w:i w:val="1"/>
          <w:iCs w:val="1"/>
          <w:color w:val="auto"/>
        </w:rPr>
        <w:t>Runa</w:t>
      </w:r>
      <w:r>
        <w:rPr>
          <w:rFonts w:ascii="Arial" w:cs="Arial" w:eastAsia="Arial" w:hAnsi="Arial"/>
          <w:sz w:val="14"/>
          <w:szCs w:val="14"/>
          <w:color w:val="auto"/>
        </w:rPr>
        <w:t xml:space="preserve">, a plant-based energy drink inspired from the guayusa plant native to Ecuador,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a sustainably packaged water, and </w:t>
      </w:r>
      <w:r>
        <w:rPr>
          <w:rFonts w:ascii="Arial" w:cs="Arial" w:eastAsia="Arial" w:hAnsi="Arial"/>
          <w:sz w:val="14"/>
          <w:szCs w:val="14"/>
          <w:i w:val="1"/>
          <w:iCs w:val="1"/>
          <w:color w:val="auto"/>
        </w:rPr>
        <w:t>PWR LIFT</w:t>
      </w:r>
      <w:r>
        <w:rPr>
          <w:rFonts w:ascii="Arial" w:cs="Arial" w:eastAsia="Arial" w:hAnsi="Arial"/>
          <w:sz w:val="14"/>
          <w:szCs w:val="14"/>
          <w:color w:val="auto"/>
        </w:rPr>
        <w:t>, a protein-infused fitness drink. We also supply Private Label products to key retailers in both the coconut water and coconut oil categories.</w:t>
      </w:r>
    </w:p>
    <w:p>
      <w:pPr>
        <w:spacing w:after="0" w:line="163" w:lineRule="exact"/>
        <w:rPr>
          <w:sz w:val="20"/>
          <w:szCs w:val="20"/>
          <w:color w:val="auto"/>
        </w:rPr>
      </w:pPr>
    </w:p>
    <w:p>
      <w:pPr>
        <w:ind w:right="120" w:firstLine="509"/>
        <w:spacing w:after="0" w:line="251" w:lineRule="auto"/>
        <w:rPr>
          <w:sz w:val="20"/>
          <w:szCs w:val="20"/>
          <w:color w:val="auto"/>
        </w:rPr>
      </w:pPr>
      <w:r>
        <w:rPr>
          <w:rFonts w:ascii="Arial" w:cs="Arial" w:eastAsia="Arial" w:hAnsi="Arial"/>
          <w:sz w:val="14"/>
          <w:szCs w:val="14"/>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63" w:lineRule="exact"/>
        <w:rPr>
          <w:sz w:val="20"/>
          <w:szCs w:val="20"/>
          <w:color w:val="auto"/>
        </w:rPr>
      </w:pPr>
    </w:p>
    <w:p>
      <w:pPr>
        <w:ind w:right="60" w:firstLine="509"/>
        <w:spacing w:after="0" w:line="251" w:lineRule="auto"/>
        <w:rPr>
          <w:sz w:val="20"/>
          <w:szCs w:val="20"/>
          <w:color w:val="auto"/>
        </w:rPr>
      </w:pPr>
      <w:r>
        <w:rPr>
          <w:rFonts w:ascii="Arial" w:cs="Arial" w:eastAsia="Arial" w:hAnsi="Arial"/>
          <w:sz w:val="14"/>
          <w:szCs w:val="14"/>
          <w:i w:val="1"/>
          <w:iCs w:val="1"/>
          <w:color w:val="auto"/>
        </w:rPr>
        <w:t xml:space="preserve">Vita Coco </w:t>
      </w:r>
      <w:r>
        <w:rPr>
          <w:rFonts w:ascii="Arial" w:cs="Arial" w:eastAsia="Arial" w:hAnsi="Arial"/>
          <w:sz w:val="14"/>
          <w:szCs w:val="14"/>
          <w:color w:val="auto"/>
        </w:rPr>
        <w:t>is available in over 30 countries, with our primary markets in North America, the United Kingdom, and China. Our primary markets for Private Label are North America and</w:t>
      </w:r>
      <w:r>
        <w:rPr>
          <w:rFonts w:ascii="Arial" w:cs="Arial" w:eastAsia="Arial" w:hAnsi="Arial"/>
          <w:sz w:val="14"/>
          <w:szCs w:val="14"/>
          <w:i w:val="1"/>
          <w:iCs w:val="1"/>
          <w:color w:val="auto"/>
        </w:rPr>
        <w:t xml:space="preserve"> </w:t>
      </w:r>
      <w:r>
        <w:rPr>
          <w:rFonts w:ascii="Arial" w:cs="Arial" w:eastAsia="Arial" w:hAnsi="Arial"/>
          <w:sz w:val="14"/>
          <w:szCs w:val="14"/>
          <w:color w:val="auto"/>
        </w:rPr>
        <w:t>Europe. Our products are distributed primarily through club, food, drug, mass, convenience, e-commerce, and foodservice channels. We are also available in a variety of on-premise locations such as corporate offices, fitness clubs, airports, and educational institutions.</w:t>
      </w:r>
    </w:p>
    <w:p>
      <w:pPr>
        <w:spacing w:after="0" w:line="153" w:lineRule="exact"/>
        <w:rPr>
          <w:sz w:val="20"/>
          <w:szCs w:val="20"/>
          <w:color w:val="auto"/>
        </w:rPr>
      </w:pPr>
    </w:p>
    <w:p>
      <w:pPr>
        <w:ind w:right="160" w:firstLine="433"/>
        <w:spacing w:after="0" w:line="265" w:lineRule="auto"/>
        <w:rPr>
          <w:sz w:val="20"/>
          <w:szCs w:val="20"/>
          <w:color w:val="auto"/>
        </w:rPr>
      </w:pPr>
      <w:r>
        <w:rPr>
          <w:rFonts w:ascii="Arial" w:cs="Arial" w:eastAsia="Arial" w:hAnsi="Arial"/>
          <w:sz w:val="14"/>
          <w:szCs w:val="14"/>
          <w:color w:val="auto"/>
        </w:rPr>
        <w:t>Our recent historical financial performance reflects the strides we have made to grow our business even while experiencing significant supply chain disruptions and in particular increases in transportation costs in both ocean freight and domestic logistics in 2021 and 2022:</w:t>
      </w:r>
    </w:p>
    <w:p>
      <w:pPr>
        <w:spacing w:after="0" w:line="48" w:lineRule="exact"/>
        <w:rPr>
          <w:sz w:val="20"/>
          <w:szCs w:val="20"/>
          <w:color w:val="auto"/>
        </w:rPr>
      </w:pPr>
    </w:p>
    <w:p>
      <w:pPr>
        <w:ind w:left="640" w:right="80" w:hanging="190"/>
        <w:spacing w:after="0" w:line="259" w:lineRule="auto"/>
        <w:tabs>
          <w:tab w:leader="none" w:pos="6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For the year ended December 31, 2022, we reported net sales of $428 million, representing a 13% increase from $380 million for the year ended December 31, 2021. For the three months ended December 31, 2022, we reported net sales of $92 million, representing a 6% increase from $87 million for the three months ended December 31, 2021 primarily driven by a 4% increase in net sales of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during the same period.</w:t>
      </w:r>
    </w:p>
    <w:p>
      <w:pPr>
        <w:spacing w:after="0" w:line="51" w:lineRule="exact"/>
        <w:rPr>
          <w:rFonts w:ascii="Arial" w:cs="Arial" w:eastAsia="Arial" w:hAnsi="Arial"/>
          <w:sz w:val="14"/>
          <w:szCs w:val="14"/>
          <w:color w:val="auto"/>
        </w:rPr>
      </w:pPr>
    </w:p>
    <w:p>
      <w:pPr>
        <w:jc w:val="both"/>
        <w:ind w:left="640" w:right="120" w:hanging="190"/>
        <w:spacing w:after="0" w:line="259" w:lineRule="auto"/>
        <w:tabs>
          <w:tab w:leader="none" w:pos="6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year ended December 31, 2022, we generated gross profit of $103 million, representing a margin of 24%, which was a decrease from $113 million, or margin of 30%, for the year ended December 31, 2021. For the three months ended December 31, 2022, we generated gross profit of $22 million, representing a margin of 24%, compared to $22 million gross profit and 25% margin for the three months ended December 31, 2021.</w:t>
      </w:r>
    </w:p>
    <w:p>
      <w:pPr>
        <w:spacing w:after="0" w:line="51" w:lineRule="exact"/>
        <w:rPr>
          <w:rFonts w:ascii="Arial" w:cs="Arial" w:eastAsia="Arial" w:hAnsi="Arial"/>
          <w:sz w:val="14"/>
          <w:szCs w:val="14"/>
          <w:color w:val="auto"/>
        </w:rPr>
      </w:pPr>
    </w:p>
    <w:p>
      <w:pPr>
        <w:ind w:left="640" w:right="60" w:hanging="190"/>
        <w:spacing w:after="0" w:line="259" w:lineRule="auto"/>
        <w:tabs>
          <w:tab w:leader="none" w:pos="6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year ended December 31, 2022, our net income attributable to shareholders was $8 million, representing a margin of 2%, which was a decrease from our net income of $19 million and a margin of 5% for the year ended December 31, 2021. For the three months ended December 31, 2022, our net loss was $3 million, which was flat compared to our net loss of $3 million for the three months ended December 31, 2021.</w:t>
      </w:r>
    </w:p>
    <w:p>
      <w:pPr>
        <w:spacing w:after="0" w:line="51" w:lineRule="exact"/>
        <w:rPr>
          <w:rFonts w:ascii="Arial" w:cs="Arial" w:eastAsia="Arial" w:hAnsi="Arial"/>
          <w:sz w:val="14"/>
          <w:szCs w:val="14"/>
          <w:color w:val="auto"/>
        </w:rPr>
      </w:pPr>
    </w:p>
    <w:p>
      <w:pPr>
        <w:ind w:left="640" w:right="80" w:hanging="190"/>
        <w:spacing w:after="0" w:line="251" w:lineRule="auto"/>
        <w:tabs>
          <w:tab w:leader="none" w:pos="6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year ended December 31, 2022, our adjusted EBITDA was $20 million, a decrease from our adjusted EBITDA of $37 million for the year ended December 31, 2021. The adjusted EBITDA decline was primarily driven by higher transportation costs and the incremental impact of a full year of public company costs. For the three months ended December 31, 2022, our adjusted EBITDA was $4 million, which increased from our adjusted EBITDA of $1 million for the three months ended December 31, 2021, primarily driven by reduced selling general &amp; administrative ("SG&amp;A") costs after excluding SG&amp;A non-GAAP adjustments.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ind w:left="640" w:right="260" w:hanging="190"/>
        <w:spacing w:after="0" w:line="265"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traditionally experienced minimal capital expenditures given our asset-lite supply chain model. We believe that our operating cash flow and access to credit facility provide us with sufficient capability to support our growth plans.</w:t>
      </w:r>
    </w:p>
    <w:p>
      <w:pPr>
        <w:spacing w:after="0" w:line="58" w:lineRule="exact"/>
        <w:rPr>
          <w:rFonts w:ascii="Arial" w:cs="Arial" w:eastAsia="Arial" w:hAnsi="Arial"/>
          <w:sz w:val="14"/>
          <w:szCs w:val="14"/>
          <w:color w:val="auto"/>
        </w:rPr>
      </w:pPr>
    </w:p>
    <w:p>
      <w:pPr>
        <w:ind w:left="640" w:hanging="190"/>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December 31, 2022 and December 31, 2021, we had no outstanding indebtedness on our 2020 Credit Facility.</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the growth of our business and our future success are dependent upon many factors, the most important of which are as follows: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Grow and Maintain the Health of Our Brands</w:t>
      </w:r>
    </w:p>
    <w:p>
      <w:pPr>
        <w:spacing w:after="0" w:line="83" w:lineRule="exact"/>
        <w:rPr>
          <w:sz w:val="20"/>
          <w:szCs w:val="20"/>
          <w:color w:val="auto"/>
        </w:rPr>
      </w:pPr>
    </w:p>
    <w:p>
      <w:pPr>
        <w:ind w:firstLine="433"/>
        <w:spacing w:after="0" w:line="247" w:lineRule="auto"/>
        <w:rPr>
          <w:sz w:val="20"/>
          <w:szCs w:val="20"/>
          <w:color w:val="auto"/>
        </w:rPr>
      </w:pPr>
      <w:r>
        <w:rPr>
          <w:rFonts w:ascii="Arial" w:cs="Arial" w:eastAsia="Arial" w:hAnsi="Arial"/>
          <w:sz w:val="14"/>
          <w:szCs w:val="14"/>
          <w:color w:val="auto"/>
        </w:rPr>
        <w:t xml:space="preserve">We have developed a strong and trusted brand in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that we believe has been integral to the growth and health of our business, and are in the early stages of developing additional brands to broaden our portfolio. In addition, we are continuously developing and sharpening our marketing strategies to ensure that our story and purpose are understood and resonate with consumers. The success and reputation of our current brands and any brands we develop in the future are critical to the growth of our business and our future success. We aim to grow our brands by expanding distribution, adding new formats, promoting trials with new consumers and investing in marketing to attract new consumers and demonstrating to existing consumers the quality and value of their purchases. To grow and maintain the health of our brands we must invest in sales and marketing and execute on our sales strategy to develop and deepen consumers’ connection to our brands. We believe that the strength of our core brand, </w:t>
      </w:r>
      <w:r>
        <w:rPr>
          <w:rFonts w:ascii="Arial" w:cs="Arial" w:eastAsia="Arial" w:hAnsi="Arial"/>
          <w:sz w:val="14"/>
          <w:szCs w:val="14"/>
          <w:i w:val="1"/>
          <w:iCs w:val="1"/>
          <w:color w:val="auto"/>
        </w:rPr>
        <w:t>Vita Coco</w:t>
      </w:r>
      <w:r>
        <w:rPr>
          <w:rFonts w:ascii="Arial" w:cs="Arial" w:eastAsia="Arial" w:hAnsi="Arial"/>
          <w:sz w:val="14"/>
          <w:szCs w:val="14"/>
          <w:color w:val="auto"/>
        </w:rPr>
        <w:t>, should enable us to continue to invest in expanding our brands across beverage categories and channels, and to deepen relationships with consumers across all demographics.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Generate Incremental Volume Through Product Innovation</w:t>
      </w:r>
    </w:p>
    <w:p>
      <w:pPr>
        <w:spacing w:after="0" w:line="94" w:lineRule="exact"/>
        <w:rPr>
          <w:sz w:val="20"/>
          <w:szCs w:val="20"/>
          <w:color w:val="auto"/>
        </w:rPr>
      </w:pPr>
    </w:p>
    <w:p>
      <w:pPr>
        <w:jc w:val="both"/>
        <w:ind w:right="320" w:firstLine="433"/>
        <w:spacing w:after="0" w:line="251" w:lineRule="auto"/>
        <w:rPr>
          <w:sz w:val="20"/>
          <w:szCs w:val="20"/>
          <w:color w:val="auto"/>
        </w:rPr>
      </w:pPr>
      <w:r>
        <w:rPr>
          <w:rFonts w:ascii="Arial" w:cs="Arial" w:eastAsia="Arial" w:hAnsi="Arial"/>
          <w:sz w:val="14"/>
          <w:szCs w:val="14"/>
          <w:color w:val="auto"/>
        </w:rPr>
        <w:t>The beverage industry is subject to shifting consumer preferences which presents opportunities for new beverage occasions, new tastes and new functional benefits. Our future success is therefore partially dependent on our ability to identify these trends and develop products and brands that effectively meet those needs. Our innovation efforts focus on developing and marketing product extensions, improving upon the quality and taste profiles of existing products, and introducing new products or brands to meet evolving consumer needs. We aim to develop and test new products, and scale the most promising among them to ensure a strong pipeline of product innovation.</w:t>
      </w:r>
    </w:p>
    <w:p>
      <w:pPr>
        <w:spacing w:after="0" w:line="143" w:lineRule="exact"/>
        <w:rPr>
          <w:sz w:val="20"/>
          <w:szCs w:val="20"/>
          <w:color w:val="auto"/>
        </w:rPr>
      </w:pPr>
    </w:p>
    <w:p>
      <w:pPr>
        <w:ind w:right="140" w:firstLine="433"/>
        <w:spacing w:after="0" w:line="259" w:lineRule="auto"/>
        <w:rPr>
          <w:sz w:val="20"/>
          <w:szCs w:val="20"/>
          <w:color w:val="auto"/>
        </w:rPr>
      </w:pPr>
      <w:r>
        <w:rPr>
          <w:rFonts w:ascii="Arial" w:cs="Arial" w:eastAsia="Arial" w:hAnsi="Arial"/>
          <w:sz w:val="14"/>
          <w:szCs w:val="14"/>
          <w:color w:val="auto"/>
        </w:rPr>
        <w:t>We maintain in-house research and development capabilities as well as strong third-party relationships with flavor development houses, and we monitor the latest advancements in clean ingredients to support continued innovation and learning. Our ability to successfully improve existing products, or develop, market and sell new products or brands depends on our commitment and continued investment in innovation, and our willingness to try and fail and learn from our experiences.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Relationship with Private Label Customers, Suppliers and Asset-Lite Supply Chain Model</w:t>
      </w:r>
    </w:p>
    <w:p>
      <w:pPr>
        <w:spacing w:after="0" w:line="83" w:lineRule="exact"/>
        <w:rPr>
          <w:sz w:val="20"/>
          <w:szCs w:val="20"/>
          <w:color w:val="auto"/>
        </w:rPr>
      </w:pPr>
    </w:p>
    <w:p>
      <w:pPr>
        <w:ind w:right="140" w:firstLine="433"/>
        <w:spacing w:after="0" w:line="269" w:lineRule="auto"/>
        <w:rPr>
          <w:sz w:val="20"/>
          <w:szCs w:val="20"/>
          <w:color w:val="auto"/>
        </w:rPr>
      </w:pPr>
      <w:r>
        <w:rPr>
          <w:rFonts w:ascii="Arial" w:cs="Arial" w:eastAsia="Arial" w:hAnsi="Arial"/>
          <w:sz w:val="13"/>
          <w:szCs w:val="13"/>
          <w:color w:val="auto"/>
        </w:rPr>
        <w:t>We believe our global asset lite supply chain model has been an integral part in our ability to efficiently scale our business and compete in the marketplace, and in particular support our Private Label business. This asset-lite model creates leverage with our partners across our supply chain, allowing us to effectively manage total delivery costs and affording greater ability to shift volume between our suppliers, and thus better manage our supply levels. In addition, our scale of sourcing has allowed us to add volume and service retailers more reliably, and we believe that our global position as one of the largest and highest quality coconut water procurers in the world protects our customer and supplier relationships. We aim to drive continuous operational improvements with our supplier partners to enhance quality of our products, better control costs and ultimately maintain our competitive advantage. Our dedicated engineering support team supports our supply partners’ expansion, efficiency and environmental initiatives and shares best practices across our supplier network. We work with our Private Label customers to service their needs to develop new products and endeavor to be their preferred Private Label vendor.</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Successfully Execute Both In-Store and Online</w:t>
      </w:r>
    </w:p>
    <w:p>
      <w:pPr>
        <w:spacing w:after="0" w:line="83" w:lineRule="exact"/>
        <w:rPr>
          <w:sz w:val="20"/>
          <w:szCs w:val="20"/>
          <w:color w:val="auto"/>
        </w:rPr>
      </w:pPr>
    </w:p>
    <w:p>
      <w:pPr>
        <w:ind w:right="220" w:firstLine="433"/>
        <w:spacing w:after="0" w:line="259" w:lineRule="auto"/>
        <w:rPr>
          <w:sz w:val="20"/>
          <w:szCs w:val="20"/>
          <w:color w:val="auto"/>
        </w:rPr>
      </w:pPr>
      <w:r>
        <w:rPr>
          <w:rFonts w:ascii="Arial" w:cs="Arial" w:eastAsia="Arial" w:hAnsi="Arial"/>
          <w:sz w:val="14"/>
          <w:szCs w:val="14"/>
          <w:color w:val="auto"/>
        </w:rPr>
        <w:t>To aid the growth of our business, we intend to continue improving our operational efficiency and leverage our brand position across channels, and therefore have a balanced approach to investment and development of capabilities in retail and e-commerce execution. Our DSD network is an important asset in executing physical retail programs and ensuring product availability and visibility in the United States. Managing our DSD network requires relationship building</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and communication as to plans, and alignment of goals and interests. We look to adapt our approaches as consumer and retail behavior changes to ensure we remain competitive and visible regardless of channel.</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Performance of Our Business</w:t>
      </w:r>
    </w:p>
    <w:p>
      <w:pPr>
        <w:spacing w:after="0" w:line="83" w:lineRule="exact"/>
        <w:rPr>
          <w:sz w:val="20"/>
          <w:szCs w:val="20"/>
          <w:color w:val="auto"/>
        </w:rPr>
      </w:pPr>
    </w:p>
    <w:p>
      <w:pPr>
        <w:jc w:val="both"/>
        <w:ind w:right="20" w:firstLine="433"/>
        <w:spacing w:after="0" w:line="259" w:lineRule="auto"/>
        <w:rPr>
          <w:sz w:val="20"/>
          <w:szCs w:val="20"/>
          <w:color w:val="auto"/>
        </w:rPr>
      </w:pPr>
      <w:r>
        <w:rPr>
          <w:rFonts w:ascii="Arial" w:cs="Arial" w:eastAsia="Arial" w:hAnsi="Arial"/>
          <w:sz w:val="14"/>
          <w:szCs w:val="14"/>
          <w:color w:val="auto"/>
        </w:rPr>
        <w:t>The beverage market is subject to seasonal variations, and we have typically experienced higher levels of our sales in the second and third quarters of the year when demand for our functional beverage products are highest during the warmer months. Our fourth quarter shipments can also be influenced by our retailer and distributor customers rightsizing their inventory levels after the peak selling levels of the second and third quarters.</w:t>
      </w:r>
    </w:p>
    <w:p>
      <w:pPr>
        <w:spacing w:after="0" w:line="137"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color w:val="auto"/>
        </w:rPr>
        <w:t>Our sales can also be influenced by the timing of holidays and weather fluctuations. In addition, our financial results may fluctuate from quarter to quarter due to the timing of significant promotional activity or programs of our retail customers, on-boarding new retail or distribution partnerships, which typically launch with inventory buy-ins, and the timing of new product launches, which may also impact comparability to prior periods. These factors can also impact our working capital and inventory balances in each period in ways that may be difficult to forecast. Our goal is to make the right business decisions for our long-term success despite fluctuations in quarterly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Environment &amp; Industry Trends</w:t>
      </w:r>
    </w:p>
    <w:p>
      <w:pPr>
        <w:spacing w:after="0" w:line="94" w:lineRule="exact"/>
        <w:rPr>
          <w:sz w:val="20"/>
          <w:szCs w:val="20"/>
          <w:color w:val="auto"/>
        </w:rPr>
      </w:pPr>
    </w:p>
    <w:p>
      <w:pPr>
        <w:ind w:right="160" w:firstLine="433"/>
        <w:spacing w:after="0" w:line="279" w:lineRule="auto"/>
        <w:rPr>
          <w:sz w:val="20"/>
          <w:szCs w:val="20"/>
          <w:color w:val="auto"/>
        </w:rPr>
      </w:pPr>
      <w:r>
        <w:rPr>
          <w:rFonts w:ascii="Arial" w:cs="Arial" w:eastAsia="Arial" w:hAnsi="Arial"/>
          <w:sz w:val="13"/>
          <w:szCs w:val="13"/>
          <w:color w:val="auto"/>
        </w:rPr>
        <w:t>Our business is healthier where consumers have higher discretionary incomes and are motivated by health and wellness diets and hydration. Most of our products are at premium prices reflecting their functionality and uniqueness so we do better in more developed economies and major urban areas. As economies continue to develop and education on health and wellness becomes more mainstream, we anticipate our offerings becoming more appealing and endeavor to position our products to benefit from such changes.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and the Current Geopolitical and Economic Instability</w:t>
      </w:r>
    </w:p>
    <w:p>
      <w:pPr>
        <w:spacing w:after="0" w:line="87" w:lineRule="exact"/>
        <w:rPr>
          <w:sz w:val="20"/>
          <w:szCs w:val="20"/>
          <w:color w:val="auto"/>
        </w:rPr>
      </w:pPr>
    </w:p>
    <w:p>
      <w:pPr>
        <w:jc w:val="both"/>
        <w:ind w:right="20" w:firstLine="382"/>
        <w:spacing w:after="0" w:line="313" w:lineRule="auto"/>
        <w:rPr>
          <w:sz w:val="20"/>
          <w:szCs w:val="20"/>
          <w:color w:val="auto"/>
        </w:rPr>
      </w:pPr>
      <w:r>
        <w:rPr>
          <w:rFonts w:ascii="Arial" w:cs="Arial" w:eastAsia="Arial" w:hAnsi="Arial"/>
          <w:sz w:val="12"/>
          <w:szCs w:val="12"/>
          <w:color w:val="auto"/>
        </w:rPr>
        <w:t>The global macroeconomic environment continues to be affected by the COVID-19 pandemic and the current geopolitical instability (including the effects of the conflict between Ukraine and Russia). In fiscal year 2021 and continuing into the year ended December 31, 2022, the Company saw significant changes to global ocean shipping availability and pricing of containers, lengthening transit times, increased domestic transportation costs and some payroll inflationary effects among other impacts. Starting in the second quarter of 2021, and recognizing the strength of our brands, we took pricing actions such as delaying promotional activities until later in the year, reducing discounting, pricing increases and sharing cost increases with private label customers, in order to partially offset the inflationary costs of goods effects we were experiencing. During 2022, inflation emerged in many of our markets, and it is uncertain how this might affect consumer and retailer behavior.</w:t>
      </w:r>
    </w:p>
    <w:p>
      <w:pPr>
        <w:spacing w:after="0" w:line="140" w:lineRule="exact"/>
        <w:rPr>
          <w:sz w:val="20"/>
          <w:szCs w:val="20"/>
          <w:color w:val="auto"/>
        </w:rPr>
      </w:pPr>
    </w:p>
    <w:p>
      <w:pPr>
        <w:ind w:right="180" w:firstLine="509"/>
        <w:spacing w:after="0" w:line="288" w:lineRule="auto"/>
        <w:rPr>
          <w:sz w:val="20"/>
          <w:szCs w:val="20"/>
          <w:color w:val="auto"/>
        </w:rPr>
      </w:pPr>
      <w:r>
        <w:rPr>
          <w:rFonts w:ascii="Arial" w:cs="Arial" w:eastAsia="Arial" w:hAnsi="Arial"/>
          <w:sz w:val="13"/>
          <w:szCs w:val="13"/>
          <w:color w:val="auto"/>
        </w:rPr>
        <w:t>For the year ended December 31, 2022, we estimate that our gross profit absorbed incremental costs of goods on a rate/mix basis compared to the prior year of approximately $30 million, mostly driven by transportation cost increases across both ocean freight and domestic logistics as a result of global supply chain disruptions caused by these global events. We do not believe the current costs of goods inflated by the current economic and supply chain pressures are fully representative of our future costs of goods in a normal supply chain environment.</w:t>
      </w:r>
    </w:p>
    <w:p>
      <w:pPr>
        <w:spacing w:after="0" w:line="130" w:lineRule="exact"/>
        <w:rPr>
          <w:sz w:val="20"/>
          <w:szCs w:val="20"/>
          <w:color w:val="auto"/>
        </w:rPr>
      </w:pPr>
    </w:p>
    <w:p>
      <w:pPr>
        <w:ind w:right="240" w:firstLine="509"/>
        <w:spacing w:after="0" w:line="267" w:lineRule="auto"/>
        <w:rPr>
          <w:sz w:val="20"/>
          <w:szCs w:val="20"/>
          <w:color w:val="auto"/>
        </w:rPr>
      </w:pPr>
      <w:r>
        <w:rPr>
          <w:rFonts w:ascii="Arial" w:cs="Arial" w:eastAsia="Arial" w:hAnsi="Arial"/>
          <w:sz w:val="13"/>
          <w:szCs w:val="13"/>
          <w:color w:val="auto"/>
        </w:rPr>
        <w:t>The Company is continuing to monitor the situations carefully to understand any future potential impact on its people and business, including but not limited to rising inflation rates, and actions taken by both U.S. and foreign governments to control such increases. We have also seen greater volatility on foreign exchange rates. The strong dollar generally benefits the Company's supply chain activities while negatively impacting our reported international revenues. As a result, it is not currently possible to ascertain the overall impact of COVID-19 or the current economic geopolitical instability (including the effects of the conflict between Ukraine and Russia) on the business, results of operations, financial condition or liquidity. Future events and effects related to COVID-19 or current geopolitical instability cannot be determined with precision and actual results could significantly differ from estimates or forecasts.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83" w:lineRule="exact"/>
        <w:rPr>
          <w:sz w:val="20"/>
          <w:szCs w:val="20"/>
          <w:color w:val="auto"/>
        </w:rPr>
      </w:pPr>
    </w:p>
    <w:p>
      <w:pPr>
        <w:ind w:right="300" w:firstLine="433"/>
        <w:spacing w:after="0" w:line="321" w:lineRule="auto"/>
        <w:rPr>
          <w:sz w:val="20"/>
          <w:szCs w:val="20"/>
          <w:color w:val="auto"/>
        </w:rPr>
      </w:pPr>
      <w:r>
        <w:rPr>
          <w:rFonts w:ascii="Arial" w:cs="Arial" w:eastAsia="Arial" w:hAnsi="Arial"/>
          <w:sz w:val="13"/>
          <w:szCs w:val="13"/>
          <w:color w:val="auto"/>
        </w:rPr>
        <w:t xml:space="preserve">We generate revenue through the sale of our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products through their own online platforms. Our revenue is recognized net of allowances for returns, discounts, credits and any taxes collected from consumers.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94"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Cost of goods sold includes the costs of the products sold to customers, inbound and outbound shipping and handling costs, freight and duties, shipping and packaging supplies, and warehouse fulfillment costs.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94" w:lineRule="exact"/>
        <w:rPr>
          <w:sz w:val="20"/>
          <w:szCs w:val="20"/>
          <w:color w:val="auto"/>
        </w:rPr>
      </w:pPr>
    </w:p>
    <w:p>
      <w:pPr>
        <w:ind w:right="160" w:firstLine="433"/>
        <w:spacing w:after="0" w:line="251" w:lineRule="auto"/>
        <w:rPr>
          <w:sz w:val="20"/>
          <w:szCs w:val="20"/>
          <w:color w:val="auto"/>
        </w:rPr>
      </w:pPr>
      <w:r>
        <w:rPr>
          <w:rFonts w:ascii="Arial" w:cs="Arial" w:eastAsia="Arial" w:hAnsi="Arial"/>
          <w:sz w:val="14"/>
          <w:szCs w:val="14"/>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exchange rates, commodity prices and transportation rates. We expect that our gross margin will fluctuate from period to period depending on the interplay of these variables.</w:t>
      </w:r>
    </w:p>
    <w:p>
      <w:pPr>
        <w:spacing w:after="0" w:line="153" w:lineRule="exact"/>
        <w:rPr>
          <w:sz w:val="20"/>
          <w:szCs w:val="20"/>
          <w:color w:val="auto"/>
        </w:rPr>
      </w:pPr>
    </w:p>
    <w:p>
      <w:pPr>
        <w:ind w:right="140" w:firstLine="433"/>
        <w:spacing w:after="0" w:line="265" w:lineRule="auto"/>
        <w:rPr>
          <w:sz w:val="20"/>
          <w:szCs w:val="20"/>
          <w:color w:val="auto"/>
        </w:rPr>
      </w:pPr>
      <w:r>
        <w:rPr>
          <w:rFonts w:ascii="Arial" w:cs="Arial" w:eastAsia="Arial" w:hAnsi="Arial"/>
          <w:sz w:val="14"/>
          <w:szCs w:val="14"/>
          <w:color w:val="auto"/>
        </w:rPr>
        <w:t>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83" w:lineRule="exact"/>
        <w:rPr>
          <w:sz w:val="20"/>
          <w:szCs w:val="20"/>
          <w:color w:val="auto"/>
        </w:rPr>
      </w:pPr>
    </w:p>
    <w:p>
      <w:pPr>
        <w:ind w:right="40" w:firstLine="433"/>
        <w:spacing w:after="0" w:line="269" w:lineRule="auto"/>
        <w:rPr>
          <w:sz w:val="20"/>
          <w:szCs w:val="20"/>
          <w:color w:val="auto"/>
        </w:rPr>
      </w:pPr>
      <w:r>
        <w:rPr>
          <w:rFonts w:ascii="Arial" w:cs="Arial" w:eastAsia="Arial" w:hAnsi="Arial"/>
          <w:sz w:val="13"/>
          <w:szCs w:val="13"/>
          <w:color w:val="auto"/>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selling and marketing expenses to increase in absolute dollars and to vary from period to period as a percentage of net sales for the foreseeable future. General and administrative expense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 as incurred. We expect selling, general and administrative expenses to increase in absolute dollars to support business growth and, in the near term, our transition to a public company.</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Change in Fair Value of Contingent Consideration</w:t>
      </w:r>
    </w:p>
    <w:p>
      <w:pPr>
        <w:spacing w:after="0" w:line="94" w:lineRule="exact"/>
        <w:rPr>
          <w:sz w:val="20"/>
          <w:szCs w:val="20"/>
          <w:color w:val="auto"/>
        </w:rPr>
      </w:pPr>
    </w:p>
    <w:p>
      <w:pPr>
        <w:ind w:right="20" w:firstLine="433"/>
        <w:spacing w:after="0" w:line="287" w:lineRule="auto"/>
        <w:rPr>
          <w:sz w:val="20"/>
          <w:szCs w:val="20"/>
          <w:color w:val="auto"/>
        </w:rPr>
      </w:pPr>
      <w:r>
        <w:rPr>
          <w:rFonts w:ascii="Arial" w:cs="Arial" w:eastAsia="Arial" w:hAnsi="Arial"/>
          <w:sz w:val="12"/>
          <w:szCs w:val="12"/>
          <w:color w:val="auto"/>
        </w:rPr>
        <w:t xml:space="preserve">In connection with our acquisition of </w:t>
      </w:r>
      <w:r>
        <w:rPr>
          <w:rFonts w:ascii="Arial" w:cs="Arial" w:eastAsia="Arial" w:hAnsi="Arial"/>
          <w:sz w:val="12"/>
          <w:szCs w:val="12"/>
          <w:i w:val="1"/>
          <w:iCs w:val="1"/>
          <w:color w:val="auto"/>
        </w:rPr>
        <w:t>Runa</w:t>
      </w:r>
      <w:r>
        <w:rPr>
          <w:rFonts w:ascii="Arial" w:cs="Arial" w:eastAsia="Arial" w:hAnsi="Arial"/>
          <w:sz w:val="12"/>
          <w:szCs w:val="12"/>
          <w:color w:val="auto"/>
        </w:rPr>
        <w:t xml:space="preserve">, we agreed to pay contingent payments to </w:t>
      </w:r>
      <w:r>
        <w:rPr>
          <w:rFonts w:ascii="Arial" w:cs="Arial" w:eastAsia="Arial" w:hAnsi="Arial"/>
          <w:sz w:val="12"/>
          <w:szCs w:val="12"/>
          <w:i w:val="1"/>
          <w:iCs w:val="1"/>
          <w:color w:val="auto"/>
        </w:rPr>
        <w:t>Runa’s</w:t>
      </w:r>
      <w:r>
        <w:rPr>
          <w:rFonts w:ascii="Arial" w:cs="Arial" w:eastAsia="Arial" w:hAnsi="Arial"/>
          <w:sz w:val="12"/>
          <w:szCs w:val="12"/>
          <w:color w:val="auto"/>
        </w:rPr>
        <w:t xml:space="preserve">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w:t>
      </w:r>
    </w:p>
    <w:p>
      <w:pPr>
        <w:ind w:firstLine="5"/>
        <w:spacing w:after="0" w:line="245" w:lineRule="auto"/>
        <w:tabs>
          <w:tab w:leader="none" w:pos="1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 net revenue for the trailing 12 calendar months and (b) a specified multiple, which is contingent on the revenue growth achieved since December 31, 2017. The contingent consideration payout cannot exceed $51.5 million. If a certain revenue growth rate is not achieved, the Company is not required to pay any contingent payment. The contingent consideration payable to </w:t>
      </w:r>
      <w:r>
        <w:rPr>
          <w:rFonts w:ascii="Arial" w:cs="Arial" w:eastAsia="Arial" w:hAnsi="Arial"/>
          <w:sz w:val="14"/>
          <w:szCs w:val="14"/>
          <w:i w:val="1"/>
          <w:iCs w:val="1"/>
          <w:color w:val="auto"/>
        </w:rPr>
        <w:t>Runa’s</w:t>
      </w:r>
      <w:r>
        <w:rPr>
          <w:rFonts w:ascii="Arial" w:cs="Arial" w:eastAsia="Arial" w:hAnsi="Arial"/>
          <w:sz w:val="14"/>
          <w:szCs w:val="14"/>
          <w:color w:val="auto"/>
        </w:rPr>
        <w:t xml:space="preserve"> former shareholders was re-measured at fair value, which reflects estimates, assumptions, and expectations on </w:t>
      </w:r>
      <w:r>
        <w:rPr>
          <w:rFonts w:ascii="Arial" w:cs="Arial" w:eastAsia="Arial" w:hAnsi="Arial"/>
          <w:sz w:val="14"/>
          <w:szCs w:val="14"/>
          <w:i w:val="1"/>
          <w:iCs w:val="1"/>
          <w:color w:val="auto"/>
        </w:rPr>
        <w:t>Runa’s</w:t>
      </w:r>
      <w:r>
        <w:rPr>
          <w:rFonts w:ascii="Arial" w:cs="Arial" w:eastAsia="Arial" w:hAnsi="Arial"/>
          <w:sz w:val="14"/>
          <w:szCs w:val="14"/>
          <w:color w:val="auto"/>
        </w:rPr>
        <w:t xml:space="preserve"> revenue and revenue growth as of the valuation date. A key factor in the contingent consideration calculation is whether the growth levels specified in the contract can be met within the four year time period immediately following the acquisition ending 2022. The design of the payout is to reward for high growth in the initial years following the acquisition. As of December 31, 2022, the contingent consideration was determined to be zero. The term of the remeasurement period under the agreement ended in December 2022.</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Unrealized Gain/(Loss) on Derivative Instruments</w:t>
      </w:r>
    </w:p>
    <w:p>
      <w:pPr>
        <w:spacing w:after="0" w:line="83" w:lineRule="exact"/>
        <w:rPr>
          <w:sz w:val="20"/>
          <w:szCs w:val="20"/>
          <w:color w:val="auto"/>
        </w:rPr>
      </w:pPr>
    </w:p>
    <w:p>
      <w:pPr>
        <w:ind w:right="60" w:firstLine="433"/>
        <w:spacing w:after="0" w:line="288" w:lineRule="auto"/>
        <w:rPr>
          <w:sz w:val="20"/>
          <w:szCs w:val="20"/>
          <w:color w:val="auto"/>
        </w:rPr>
      </w:pPr>
      <w:r>
        <w:rPr>
          <w:rFonts w:ascii="Arial" w:cs="Arial" w:eastAsia="Arial" w:hAnsi="Arial"/>
          <w:sz w:val="13"/>
          <w:szCs w:val="13"/>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“—Qualitative and Quantitative Disclosures about Market Risk—Foreign Currency Exchange Risk</w:t>
      </w:r>
      <w:r>
        <w:rPr>
          <w:rFonts w:ascii="Arial" w:cs="Arial" w:eastAsia="Arial" w:hAnsi="Arial"/>
          <w:sz w:val="13"/>
          <w:szCs w:val="13"/>
          <w:i w:val="1"/>
          <w:iCs w:val="1"/>
          <w:color w:val="auto"/>
        </w:rPr>
        <w:t>”</w:t>
      </w:r>
      <w:r>
        <w:rPr>
          <w:rFonts w:ascii="Arial" w:cs="Arial" w:eastAsia="Arial" w:hAnsi="Arial"/>
          <w:sz w:val="13"/>
          <w:szCs w:val="13"/>
          <w:color w:val="auto"/>
        </w:rPr>
        <w:t xml:space="preserve"> for further information.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Foreign Currency Gain/(Loss)</w:t>
      </w:r>
    </w:p>
    <w:p>
      <w:pPr>
        <w:spacing w:after="0" w:line="83" w:lineRule="exact"/>
        <w:rPr>
          <w:sz w:val="20"/>
          <w:szCs w:val="20"/>
          <w:color w:val="auto"/>
        </w:rPr>
      </w:pPr>
    </w:p>
    <w:p>
      <w:pPr>
        <w:ind w:right="260" w:firstLine="509"/>
        <w:spacing w:after="0" w:line="259" w:lineRule="auto"/>
        <w:rPr>
          <w:sz w:val="20"/>
          <w:szCs w:val="20"/>
          <w:color w:val="auto"/>
        </w:rPr>
      </w:pPr>
      <w:r>
        <w:rPr>
          <w:rFonts w:ascii="Arial" w:cs="Arial" w:eastAsia="Arial" w:hAnsi="Arial"/>
          <w:sz w:val="14"/>
          <w:szCs w:val="14"/>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 Qualitative and Quantitative Disclosures about Market Risk—Foreign Currency Exchange Risk</w:t>
      </w:r>
      <w:r>
        <w:rPr>
          <w:rFonts w:ascii="Arial" w:cs="Arial" w:eastAsia="Arial" w:hAnsi="Arial"/>
          <w:sz w:val="14"/>
          <w:szCs w:val="14"/>
          <w:i w:val="1"/>
          <w:iCs w:val="1"/>
          <w:color w:val="auto"/>
        </w:rPr>
        <w:t>”</w:t>
      </w:r>
      <w:r>
        <w:rPr>
          <w:rFonts w:ascii="Arial" w:cs="Arial" w:eastAsia="Arial" w:hAnsi="Arial"/>
          <w:sz w:val="14"/>
          <w:szCs w:val="14"/>
          <w:color w:val="auto"/>
        </w:rPr>
        <w:t xml:space="preserve"> for further information.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income consists of interest income earned on our cash and cash equivalents, and money market funds.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expense consists of interests on our credit facilities and term loans.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83" w:lineRule="exact"/>
        <w:rPr>
          <w:sz w:val="20"/>
          <w:szCs w:val="20"/>
          <w:color w:val="auto"/>
        </w:rPr>
      </w:pPr>
    </w:p>
    <w:p>
      <w:pPr>
        <w:ind w:firstLine="433"/>
        <w:spacing w:after="0" w:line="259" w:lineRule="auto"/>
        <w:rPr>
          <w:sz w:val="20"/>
          <w:szCs w:val="20"/>
          <w:color w:val="auto"/>
        </w:rPr>
      </w:pPr>
      <w:r>
        <w:rPr>
          <w:rFonts w:ascii="Arial" w:cs="Arial" w:eastAsia="Arial" w:hAnsi="Arial"/>
          <w:sz w:val="14"/>
          <w:szCs w:val="14"/>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Segments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operate in two reporting segments:</w:t>
      </w:r>
    </w:p>
    <w:p>
      <w:pPr>
        <w:spacing w:after="0" w:line="94" w:lineRule="exact"/>
        <w:rPr>
          <w:sz w:val="20"/>
          <w:szCs w:val="20"/>
          <w:color w:val="auto"/>
        </w:rPr>
      </w:pPr>
    </w:p>
    <w:p>
      <w:pPr>
        <w:ind w:left="640" w:hanging="190"/>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Americas</w:t>
      </w:r>
      <w:r>
        <w:rPr>
          <w:rFonts w:ascii="Arial" w:cs="Arial" w:eastAsia="Arial" w:hAnsi="Arial"/>
          <w:sz w:val="14"/>
          <w:szCs w:val="14"/>
          <w:color w:val="auto"/>
        </w:rPr>
        <w:t>—The Americas segment is comprised of our operations in the Americas region, primarily in the United States and Canada.</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International</w:t>
      </w:r>
      <w:r>
        <w:rPr>
          <w:rFonts w:ascii="Arial" w:cs="Arial" w:eastAsia="Arial" w:hAnsi="Arial"/>
          <w:sz w:val="14"/>
          <w:szCs w:val="14"/>
          <w:color w:val="auto"/>
        </w:rPr>
        <w:t>—The International segment is comprised of our operations primarily in Europe, the Middle East, Africa, and the Asia Pacific regions.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Each segment derives its revenues from the following product categories:</w:t>
      </w:r>
    </w:p>
    <w:p>
      <w:pPr>
        <w:spacing w:after="0" w:line="94" w:lineRule="exact"/>
        <w:rPr>
          <w:sz w:val="20"/>
          <w:szCs w:val="20"/>
          <w:color w:val="auto"/>
        </w:rPr>
      </w:pPr>
    </w:p>
    <w:p>
      <w:pPr>
        <w:ind w:left="640" w:right="100" w:hanging="190"/>
        <w:spacing w:after="0" w:line="265" w:lineRule="auto"/>
        <w:tabs>
          <w:tab w:leader="none" w:pos="636"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Vita Coco Coconut Water</w:t>
      </w:r>
      <w:r>
        <w:rPr>
          <w:rFonts w:ascii="Arial" w:cs="Arial" w:eastAsia="Arial" w:hAnsi="Arial"/>
          <w:sz w:val="14"/>
          <w:szCs w:val="14"/>
          <w:color w:val="auto"/>
        </w:rPr>
        <w:t>—This product category consists of all branded coconut water product offerings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labels, where the majority ingredient is coconut water.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these products, control is transferred upon customer receipt, at which point the Company recognizes the transaction price for the product as revenue.</w:t>
      </w:r>
    </w:p>
    <w:p>
      <w:pPr>
        <w:spacing w:after="0" w:line="47" w:lineRule="exact"/>
        <w:rPr>
          <w:rFonts w:ascii="Arial" w:cs="Arial" w:eastAsia="Arial" w:hAnsi="Arial"/>
          <w:sz w:val="14"/>
          <w:szCs w:val="14"/>
          <w:color w:val="auto"/>
        </w:rPr>
      </w:pPr>
    </w:p>
    <w:p>
      <w:pPr>
        <w:ind w:left="640" w:right="40" w:hanging="190"/>
        <w:spacing w:after="0" w:line="251" w:lineRule="auto"/>
        <w:tabs>
          <w:tab w:leader="none" w:pos="636"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Private Label </w:t>
      </w:r>
      <w:r>
        <w:rPr>
          <w:rFonts w:ascii="Arial" w:cs="Arial" w:eastAsia="Arial" w:hAnsi="Arial"/>
          <w:sz w:val="14"/>
          <w:szCs w:val="14"/>
          <w:color w:val="auto"/>
        </w:rPr>
        <w:t>—This product category consists of all private label product offerings, which includes coconut water and coconut oil. The Company determined the production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9" w:lineRule="exact"/>
        <w:rPr>
          <w:rFonts w:ascii="Arial" w:cs="Arial" w:eastAsia="Arial" w:hAnsi="Arial"/>
          <w:sz w:val="14"/>
          <w:szCs w:val="14"/>
          <w:color w:val="auto"/>
        </w:rPr>
      </w:pPr>
    </w:p>
    <w:p>
      <w:pPr>
        <w:ind w:left="640" w:right="140" w:hanging="190"/>
        <w:spacing w:after="0" w:line="251" w:lineRule="auto"/>
        <w:tabs>
          <w:tab w:leader="none" w:pos="636"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Other—</w:t>
      </w:r>
      <w:r>
        <w:rPr>
          <w:rFonts w:ascii="Arial" w:cs="Arial" w:eastAsia="Arial" w:hAnsi="Arial"/>
          <w:sz w:val="14"/>
          <w:szCs w:val="14"/>
          <w:color w:val="auto"/>
        </w:rPr>
        <w:t>This product category consists of all other products, which includes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Runa, Ever &amp; Ever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PWR LIFT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extensions beyond coconut water,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coconut milk products, and other revenue transactions (e.g., bulk product sales). For these products, control is transferred upon customer receipt, at which point the Company recognizes the transaction price for the product as revenue.</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2022 and 2021</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our results of operations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1200"/>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70"/>
        </w:trPr>
        <w:tc>
          <w:tcPr>
            <w:tcW w:w="49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ind w:left="320"/>
              <w:spacing w:after="0"/>
              <w:rPr>
                <w:sz w:val="20"/>
                <w:szCs w:val="20"/>
                <w:color w:val="auto"/>
              </w:rPr>
            </w:pPr>
            <w:r>
              <w:rPr>
                <w:rFonts w:ascii="Arial" w:cs="Arial" w:eastAsia="Arial" w:hAnsi="Arial"/>
                <w:sz w:val="11"/>
                <w:szCs w:val="11"/>
                <w:b w:val="1"/>
                <w:bCs w:val="1"/>
                <w:color w:val="auto"/>
              </w:rPr>
              <w:t>Amount</w:t>
            </w: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1"/>
                <w:szCs w:val="11"/>
                <w:b w:val="1"/>
                <w:bCs w:val="1"/>
                <w:color w:val="auto"/>
              </w:rPr>
              <w:t>Percentage</w:t>
            </w:r>
          </w:p>
        </w:tc>
      </w:tr>
      <w:tr>
        <w:trPr>
          <w:trHeight w:val="156"/>
        </w:trPr>
        <w:tc>
          <w:tcPr>
            <w:tcW w:w="49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26"/>
        </w:trPr>
        <w:tc>
          <w:tcPr>
            <w:tcW w:w="4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427,787</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12.7 %</w:t>
            </w:r>
          </w:p>
        </w:tc>
      </w:tr>
      <w:tr>
        <w:trPr>
          <w:trHeight w:val="196"/>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goods sold</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324,426</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266,365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58,061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21.8 %</w:t>
            </w:r>
          </w:p>
        </w:tc>
      </w:tr>
      <w:tr>
        <w:trPr>
          <w:trHeight w:val="198"/>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Gross profit</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103,361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r>
      <w:tr>
        <w:trPr>
          <w:trHeight w:val="196"/>
        </w:trPr>
        <w:tc>
          <w:tcPr>
            <w:tcW w:w="49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100,306</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13.3 %</w:t>
            </w:r>
          </w:p>
        </w:tc>
      </w:tr>
      <w:tr>
        <w:trPr>
          <w:trHeight w:val="187"/>
        </w:trPr>
        <w:tc>
          <w:tcPr>
            <w:tcW w:w="498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8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100,306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88,559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13.3 %</w:t>
            </w:r>
          </w:p>
        </w:tc>
      </w:tr>
      <w:tr>
        <w:trPr>
          <w:trHeight w:val="20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(87.6 %)</w:t>
            </w:r>
          </w:p>
        </w:tc>
      </w:tr>
      <w:tr>
        <w:trPr>
          <w:trHeight w:val="196"/>
        </w:trPr>
        <w:tc>
          <w:tcPr>
            <w:tcW w:w="49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(loss) on derivative instrument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01"/>
        </w:trPr>
        <w:tc>
          <w:tcPr>
            <w:tcW w:w="4980" w:type="dxa"/>
            <w:vAlign w:val="bottom"/>
          </w:tcPr>
          <w:p>
            <w:pPr>
              <w:ind w:left="260"/>
              <w:spacing w:after="0"/>
              <w:rPr>
                <w:sz w:val="20"/>
                <w:szCs w:val="20"/>
                <w:color w:val="auto"/>
              </w:rPr>
            </w:pPr>
            <w:r>
              <w:rPr>
                <w:rFonts w:ascii="Arial" w:cs="Arial" w:eastAsia="Arial" w:hAnsi="Arial"/>
                <w:sz w:val="14"/>
                <w:szCs w:val="14"/>
                <w:color w:val="auto"/>
              </w:rPr>
              <w:t>Foreign currency gain (loss)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2"/>
        </w:trPr>
        <w:tc>
          <w:tcPr>
            <w:tcW w:w="4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extinguishment of debt</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01"/>
        </w:trPr>
        <w:tc>
          <w:tcPr>
            <w:tcW w:w="49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(59.6 %)</w:t>
            </w:r>
          </w:p>
        </w:tc>
      </w:tr>
      <w:tr>
        <w:trPr>
          <w:trHeight w:val="202"/>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(28.3 %)</w:t>
            </w:r>
          </w:p>
        </w:tc>
      </w:tr>
      <w:tr>
        <w:trPr>
          <w:trHeight w:val="187"/>
        </w:trPr>
        <w:tc>
          <w:tcPr>
            <w:tcW w:w="4980" w:type="dxa"/>
            <w:vAlign w:val="bottom"/>
          </w:tcPr>
          <w:p>
            <w:pPr>
              <w:ind w:left="360"/>
              <w:spacing w:after="0"/>
              <w:rPr>
                <w:sz w:val="20"/>
                <w:szCs w:val="20"/>
                <w:color w:val="auto"/>
              </w:rPr>
            </w:pPr>
            <w:r>
              <w:rPr>
                <w:rFonts w:ascii="Arial" w:cs="Arial" w:eastAsia="Arial" w:hAnsi="Arial"/>
                <w:sz w:val="14"/>
                <w:szCs w:val="14"/>
                <w:color w:val="auto"/>
              </w:rPr>
              <w:t>Total other (expense)</w:t>
            </w:r>
          </w:p>
        </w:tc>
        <w:tc>
          <w:tcPr>
            <w:tcW w:w="8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7,786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(2262.8 %)</w:t>
            </w:r>
          </w:p>
        </w:tc>
      </w:tr>
      <w:tr>
        <w:trPr>
          <w:trHeight w:val="20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(55.3 %)</w:t>
            </w:r>
          </w:p>
        </w:tc>
      </w:tr>
      <w:tr>
        <w:trPr>
          <w:trHeight w:val="201"/>
        </w:trPr>
        <w:tc>
          <w:tcPr>
            <w:tcW w:w="4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(3,027)</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(42.2 %)</w:t>
            </w: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(58.9 %)</w:t>
            </w:r>
          </w:p>
        </w:tc>
      </w:tr>
      <w:tr>
        <w:trPr>
          <w:trHeight w:val="164"/>
        </w:trPr>
        <w:tc>
          <w:tcPr>
            <w:tcW w:w="49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86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7,814</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19,015</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(11,201)</w:t>
            </w:r>
          </w:p>
        </w:tc>
        <w:tc>
          <w:tcPr>
            <w:tcW w:w="100" w:type="dxa"/>
            <w:vAlign w:val="bottom"/>
            <w:tcBorders>
              <w:top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(58.9 %)</w:t>
            </w: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74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0" cy="698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provides a comparative summary of the Company’s net sales by operating segment and product category: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1"/>
                <w:szCs w:val="11"/>
                <w:b w:val="1"/>
                <w:bCs w:val="1"/>
                <w:color w:val="auto"/>
                <w:w w:val="95"/>
              </w:rPr>
              <w:t>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3"/>
            <w:vMerge w:val="restart"/>
          </w:tcPr>
          <w:p>
            <w:pPr>
              <w:ind w:left="1160"/>
              <w:spacing w:after="0"/>
              <w:rPr>
                <w:sz w:val="20"/>
                <w:szCs w:val="20"/>
                <w:color w:val="auto"/>
              </w:rPr>
            </w:pPr>
            <w:r>
              <w:rPr>
                <w:rFonts w:ascii="Arial" w:cs="Arial" w:eastAsia="Arial" w:hAnsi="Arial"/>
                <w:sz w:val="11"/>
                <w:szCs w:val="11"/>
                <w:b w:val="1"/>
                <w:bCs w:val="1"/>
                <w:color w:val="auto"/>
              </w:rPr>
              <w:t>Change</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9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1"/>
                <w:szCs w:val="11"/>
                <w:b w:val="1"/>
                <w:bCs w:val="1"/>
                <w:color w:val="auto"/>
                <w:w w:val="92"/>
              </w:rPr>
              <w:t>December 31,</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center"/>
              <w:ind w:right="173"/>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gridSpan w:val="3"/>
          </w:tcPr>
          <w:p>
            <w:pPr>
              <w:jc w:val="center"/>
              <w:ind w:left="33"/>
              <w:spacing w:after="0"/>
              <w:rPr>
                <w:sz w:val="20"/>
                <w:szCs w:val="20"/>
                <w:color w:val="auto"/>
              </w:rPr>
            </w:pPr>
            <w:r>
              <w:rPr>
                <w:rFonts w:ascii="Arial" w:cs="Arial" w:eastAsia="Arial" w:hAnsi="Arial"/>
                <w:sz w:val="11"/>
                <w:szCs w:val="11"/>
                <w:b w:val="1"/>
                <w:bCs w:val="1"/>
                <w:color w:val="auto"/>
                <w:w w:val="89"/>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Americas segment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00"/>
              <w:spacing w:after="0"/>
              <w:rPr>
                <w:sz w:val="20"/>
                <w:szCs w:val="20"/>
                <w:color w:val="auto"/>
              </w:rPr>
            </w:pPr>
            <w:r>
              <w:rPr>
                <w:rFonts w:ascii="Arial" w:cs="Arial" w:eastAsia="Arial" w:hAnsi="Arial"/>
                <w:sz w:val="14"/>
                <w:szCs w:val="14"/>
                <w:color w:val="auto"/>
              </w:rPr>
              <w:t>Vita Coco Coconut Water</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275,964</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231,858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44,106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Private Label</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9,485</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373,622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International segment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00"/>
              <w:spacing w:after="0"/>
              <w:rPr>
                <w:sz w:val="20"/>
                <w:szCs w:val="20"/>
                <w:color w:val="auto"/>
              </w:rPr>
            </w:pPr>
            <w:r>
              <w:rPr>
                <w:rFonts w:ascii="Arial" w:cs="Arial" w:eastAsia="Arial" w:hAnsi="Arial"/>
                <w:sz w:val="14"/>
                <w:szCs w:val="14"/>
                <w:color w:val="auto"/>
              </w:rPr>
              <w:t>Vita Coco Coconut Water</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38,570</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Private Label</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55,622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4980" w:type="dxa"/>
            <w:vAlign w:val="bottom"/>
          </w:tcPr>
          <w:p>
            <w:pPr>
              <w:ind w:left="280"/>
              <w:spacing w:after="0"/>
              <w:rPr>
                <w:sz w:val="20"/>
                <w:szCs w:val="20"/>
                <w:color w:val="auto"/>
              </w:rPr>
            </w:pPr>
            <w:r>
              <w:rPr>
                <w:rFonts w:ascii="Arial" w:cs="Arial" w:eastAsia="Arial" w:hAnsi="Arial"/>
                <w:sz w:val="14"/>
                <w:szCs w:val="14"/>
                <w:color w:val="auto"/>
              </w:rPr>
              <w:t>Total net sales</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427,787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379,513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48,274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Volume in Case Equivalent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ind w:right="440" w:firstLine="433"/>
        <w:spacing w:after="0" w:line="265" w:lineRule="auto"/>
        <w:rPr>
          <w:sz w:val="20"/>
          <w:szCs w:val="20"/>
          <w:color w:val="auto"/>
        </w:rPr>
      </w:pPr>
      <w:r>
        <w:rPr>
          <w:rFonts w:ascii="Arial" w:cs="Arial" w:eastAsia="Arial" w:hAnsi="Arial"/>
          <w:sz w:val="14"/>
          <w:szCs w:val="14"/>
          <w:color w:val="auto"/>
        </w:rPr>
        <w:t>The primary driver of the consolidated net sales increase of 12.7% was increased case equivalent volumes. The following table provides a comparative summary of our volume in Case Equivalents, or CE, by operating segment and product category: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3"/>
            <w:vMerge w:val="restart"/>
          </w:tcPr>
          <w:p>
            <w:pPr>
              <w:ind w:left="1400"/>
              <w:spacing w:after="0"/>
              <w:rPr>
                <w:sz w:val="20"/>
                <w:szCs w:val="20"/>
                <w:color w:val="auto"/>
              </w:rPr>
            </w:pPr>
            <w:r>
              <w:rPr>
                <w:rFonts w:ascii="Arial" w:cs="Arial" w:eastAsia="Arial" w:hAnsi="Arial"/>
                <w:sz w:val="11"/>
                <w:szCs w:val="11"/>
                <w:b w:val="1"/>
                <w:bCs w:val="1"/>
                <w:color w:val="auto"/>
              </w:rPr>
              <w:t>Change</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1"/>
                <w:szCs w:val="11"/>
                <w:b w:val="1"/>
                <w:bCs w:val="1"/>
                <w:color w:val="auto"/>
                <w:w w:val="92"/>
              </w:rPr>
              <w:t>December 31,</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gridSpan w:val="3"/>
          </w:tcPr>
          <w:p>
            <w:pPr>
              <w:jc w:val="center"/>
              <w:ind w:left="13"/>
              <w:spacing w:after="0"/>
              <w:rPr>
                <w:sz w:val="20"/>
                <w:szCs w:val="20"/>
                <w:color w:val="auto"/>
              </w:rPr>
            </w:pPr>
            <w:r>
              <w:rPr>
                <w:rFonts w:ascii="Arial" w:cs="Arial" w:eastAsia="Arial" w:hAnsi="Arial"/>
                <w:sz w:val="11"/>
                <w:szCs w:val="11"/>
                <w:b w:val="1"/>
                <w:bCs w:val="1"/>
                <w:color w:val="auto"/>
                <w:w w:val="92"/>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92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Americas segment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Vita Coco Coconut Water</w:t>
            </w:r>
          </w:p>
        </w:tc>
        <w:tc>
          <w:tcPr>
            <w:tcW w:w="540" w:type="dxa"/>
            <w:vAlign w:val="bottom"/>
          </w:tcPr>
          <w:p>
            <w:pPr>
              <w:jc w:val="right"/>
              <w:spacing w:after="0"/>
              <w:rPr>
                <w:sz w:val="20"/>
                <w:szCs w:val="20"/>
                <w:color w:val="auto"/>
              </w:rPr>
            </w:pPr>
            <w:r>
              <w:rPr>
                <w:rFonts w:ascii="Arial" w:cs="Arial" w:eastAsia="Arial" w:hAnsi="Arial"/>
                <w:sz w:val="14"/>
                <w:szCs w:val="14"/>
                <w:color w:val="auto"/>
              </w:rPr>
              <w:t>29,458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25,096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17.4 %</w:t>
            </w:r>
          </w:p>
        </w:tc>
        <w:tc>
          <w:tcPr>
            <w:tcW w:w="0" w:type="dxa"/>
            <w:vAlign w:val="bottom"/>
          </w:tcPr>
          <w:p>
            <w:pPr>
              <w:spacing w:after="0"/>
              <w:rPr>
                <w:sz w:val="1"/>
                <w:szCs w:val="1"/>
                <w:color w:val="auto"/>
              </w:rPr>
            </w:pPr>
          </w:p>
        </w:tc>
      </w:tr>
      <w:tr>
        <w:trPr>
          <w:trHeight w:val="202"/>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Private Label</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9,063</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9,292</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Other</w:t>
            </w:r>
          </w:p>
        </w:tc>
        <w:tc>
          <w:tcPr>
            <w:tcW w:w="54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2"/>
        </w:trPr>
        <w:tc>
          <w:tcPr>
            <w:tcW w:w="5000" w:type="dxa"/>
            <w:vAlign w:val="bottom"/>
            <w:tcBorders>
              <w:top w:val="single" w:sz="8" w:color="CFF0FC"/>
            </w:tcBorders>
            <w:gridSpan w:val="2"/>
            <w:shd w:val="clear" w:color="auto" w:fill="CFF0FC"/>
          </w:tcPr>
          <w:p>
            <w:pPr>
              <w:ind w:left="540"/>
              <w:spacing w:after="0"/>
              <w:rPr>
                <w:sz w:val="20"/>
                <w:szCs w:val="20"/>
                <w:color w:val="auto"/>
              </w:rPr>
            </w:pPr>
            <w:r>
              <w:rPr>
                <w:rFonts w:ascii="Arial" w:cs="Arial" w:eastAsia="Arial" w:hAnsi="Arial"/>
                <w:sz w:val="14"/>
                <w:szCs w:val="14"/>
                <w:color w:val="auto"/>
              </w:rPr>
              <w:t>Subtotal</w:t>
            </w:r>
          </w:p>
        </w:tc>
        <w:tc>
          <w:tcPr>
            <w:tcW w:w="9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39,769</w:t>
            </w:r>
          </w:p>
        </w:tc>
        <w:tc>
          <w:tcPr>
            <w:tcW w:w="10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35,582</w:t>
            </w:r>
          </w:p>
        </w:tc>
        <w:tc>
          <w:tcPr>
            <w:tcW w:w="100" w:type="dxa"/>
            <w:vAlign w:val="bottom"/>
            <w:tcBorders>
              <w:top w:val="single" w:sz="8" w:color="CFF0FC"/>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408"/>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International segment*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Vita Coco Coconut Water</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5,628</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Private Label</w:t>
            </w:r>
          </w:p>
        </w:tc>
        <w:tc>
          <w:tcPr>
            <w:tcW w:w="540" w:type="dxa"/>
            <w:vAlign w:val="bottom"/>
          </w:tcPr>
          <w:p>
            <w:pPr>
              <w:jc w:val="right"/>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2"/>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81"/>
        </w:trPr>
        <w:tc>
          <w:tcPr>
            <w:tcW w:w="5000" w:type="dxa"/>
            <w:vAlign w:val="bottom"/>
            <w:tcBorders>
              <w:bottom w:val="single" w:sz="8" w:color="CFF0FC"/>
            </w:tcBorders>
            <w:gridSpan w:val="2"/>
          </w:tcPr>
          <w:p>
            <w:pPr>
              <w:ind w:left="540"/>
              <w:spacing w:after="0"/>
              <w:rPr>
                <w:sz w:val="20"/>
                <w:szCs w:val="20"/>
                <w:color w:val="auto"/>
              </w:rPr>
            </w:pPr>
            <w:r>
              <w:rPr>
                <w:rFonts w:ascii="Arial" w:cs="Arial" w:eastAsia="Arial" w:hAnsi="Arial"/>
                <w:sz w:val="14"/>
                <w:szCs w:val="14"/>
                <w:color w:val="auto"/>
              </w:rPr>
              <w:t>Subtotal</w:t>
            </w:r>
          </w:p>
        </w:tc>
        <w:tc>
          <w:tcPr>
            <w:tcW w:w="9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7,170</w:t>
            </w:r>
          </w:p>
        </w:tc>
        <w:tc>
          <w:tcPr>
            <w:tcW w:w="100" w:type="dxa"/>
            <w:vAlign w:val="bottom"/>
            <w:tcBorders>
              <w:bottom w:val="single" w:sz="8" w:color="CFF0FC"/>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FF0FC"/>
            </w:tcBorders>
            <w:gridSpan w:val="2"/>
            <w:shd w:val="clear" w:color="auto" w:fill="CFF0FC"/>
          </w:tcPr>
          <w:p>
            <w:pPr>
              <w:ind w:left="840"/>
              <w:spacing w:after="0"/>
              <w:rPr>
                <w:sz w:val="20"/>
                <w:szCs w:val="20"/>
                <w:color w:val="auto"/>
              </w:rPr>
            </w:pPr>
            <w:r>
              <w:rPr>
                <w:rFonts w:ascii="Arial" w:cs="Arial" w:eastAsia="Arial" w:hAnsi="Arial"/>
                <w:sz w:val="14"/>
                <w:szCs w:val="14"/>
                <w:b w:val="1"/>
                <w:bCs w:val="1"/>
                <w:color w:val="auto"/>
              </w:rPr>
              <w:t>Total volume (CE)</w:t>
            </w:r>
          </w:p>
        </w:tc>
        <w:tc>
          <w:tcPr>
            <w:tcW w:w="9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47,226</w:t>
            </w:r>
          </w:p>
        </w:tc>
        <w:tc>
          <w:tcPr>
            <w:tcW w:w="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42,752</w:t>
            </w:r>
          </w:p>
        </w:tc>
        <w:tc>
          <w:tcPr>
            <w:tcW w:w="10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4,474</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2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 CE is a standard volume measure used by management which is defined as a case of 12 bottles of 330ml liquid beverages or the same liter volume of oil.</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 International Other excludes minor volume that is treated as zero CE.</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Americas Segment</w:t>
      </w:r>
    </w:p>
    <w:p>
      <w:pPr>
        <w:spacing w:after="0" w:line="168" w:lineRule="exact"/>
        <w:rPr>
          <w:sz w:val="20"/>
          <w:szCs w:val="20"/>
          <w:color w:val="auto"/>
        </w:rPr>
      </w:pPr>
    </w:p>
    <w:p>
      <w:pPr>
        <w:ind w:right="380" w:firstLine="433"/>
        <w:spacing w:after="0" w:line="265" w:lineRule="auto"/>
        <w:rPr>
          <w:sz w:val="20"/>
          <w:szCs w:val="20"/>
          <w:color w:val="auto"/>
        </w:rPr>
      </w:pPr>
      <w:r>
        <w:rPr>
          <w:rFonts w:ascii="Arial" w:cs="Arial" w:eastAsia="Arial" w:hAnsi="Arial"/>
          <w:sz w:val="14"/>
          <w:szCs w:val="14"/>
          <w:color w:val="auto"/>
        </w:rPr>
        <w:t>Americas net sales increased by $49.7 million, or 15.4%, to $373.6 million for the year ended December 31, 2022, from $323.9 million for the year ended December 31, 2021, primarily driven by CE volume increase of 11.8%, as well as reduced price promotions, price increases, and favorable changes in mix for branded products.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Vita Coco </w:t>
      </w:r>
      <w:r>
        <w:rPr>
          <w:rFonts w:ascii="Arial" w:cs="Arial" w:eastAsia="Arial" w:hAnsi="Arial"/>
          <w:sz w:val="12"/>
          <w:szCs w:val="12"/>
          <w:color w:val="auto"/>
        </w:rPr>
        <w:t>Coconut Water net sales increased by $44.1 million, or 19.0%, to $276.0 million for the year ended December 31, 2022, from $231.9 million for the year ended December 31, 2021.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primarily driven by a combination of increased CE volume due to higher growth in demand for our brand and benefits from net pricing actions.</w:t>
      </w:r>
    </w:p>
    <w:p>
      <w:pPr>
        <w:spacing w:after="0" w:line="156" w:lineRule="exact"/>
        <w:rPr>
          <w:sz w:val="20"/>
          <w:szCs w:val="20"/>
          <w:color w:val="auto"/>
        </w:rPr>
      </w:pPr>
    </w:p>
    <w:p>
      <w:pPr>
        <w:ind w:right="160" w:firstLine="433"/>
        <w:spacing w:after="0" w:line="259" w:lineRule="auto"/>
        <w:rPr>
          <w:sz w:val="20"/>
          <w:szCs w:val="20"/>
          <w:color w:val="auto"/>
        </w:rPr>
      </w:pPr>
      <w:r>
        <w:rPr>
          <w:rFonts w:ascii="Arial" w:cs="Arial" w:eastAsia="Arial" w:hAnsi="Arial"/>
          <w:sz w:val="14"/>
          <w:szCs w:val="14"/>
          <w:color w:val="auto"/>
        </w:rPr>
        <w:t>Private Label net sales increased by $7.5 million, or 9.3%, to $88.2 million for the year ended December 31, 2022, from $80.6 million for the year ended December 31, 2021. The increase was mostly driven by benefits from net pricing actions and mix shifts, which were partly offset by a CE volume decrease. The loss of some geographic regions for a key private label customer mid-year, was only partially offset by the gains with new private label customers.</w:t>
      </w:r>
    </w:p>
    <w:p>
      <w:pPr>
        <w:spacing w:after="0" w:line="137" w:lineRule="exact"/>
        <w:rPr>
          <w:sz w:val="20"/>
          <w:szCs w:val="20"/>
          <w:color w:val="auto"/>
        </w:rPr>
      </w:pPr>
    </w:p>
    <w:p>
      <w:pPr>
        <w:ind w:right="20" w:firstLine="433"/>
        <w:spacing w:after="0" w:line="259" w:lineRule="auto"/>
        <w:rPr>
          <w:sz w:val="20"/>
          <w:szCs w:val="20"/>
          <w:color w:val="auto"/>
        </w:rPr>
      </w:pPr>
      <w:r>
        <w:rPr>
          <w:rFonts w:ascii="Arial" w:cs="Arial" w:eastAsia="Arial" w:hAnsi="Arial"/>
          <w:sz w:val="14"/>
          <w:szCs w:val="14"/>
          <w:color w:val="auto"/>
        </w:rPr>
        <w:t>Net Sales for Other products decreased by $1.9 million, or 16.8%, to $9.5 million for the year ended December 31, 2022, from $11.4 million for the year ended December 31, 2021. The decrease was driven by a reduced CE volume, as the Company has strategically simplified the product assortment within this category to decrease complexity and maximize profitability over the year ended December 31, 2022.</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International Segment</w:t>
      </w:r>
    </w:p>
    <w:p>
      <w:pPr>
        <w:spacing w:after="0" w:line="94" w:lineRule="exact"/>
        <w:rPr>
          <w:sz w:val="20"/>
          <w:szCs w:val="20"/>
          <w:color w:val="auto"/>
        </w:rPr>
      </w:pPr>
    </w:p>
    <w:p>
      <w:pPr>
        <w:ind w:right="200" w:firstLine="433"/>
        <w:spacing w:after="0" w:line="251" w:lineRule="auto"/>
        <w:rPr>
          <w:sz w:val="20"/>
          <w:szCs w:val="20"/>
          <w:color w:val="auto"/>
        </w:rPr>
      </w:pPr>
      <w:r>
        <w:rPr>
          <w:rFonts w:ascii="Arial" w:cs="Arial" w:eastAsia="Arial" w:hAnsi="Arial"/>
          <w:sz w:val="14"/>
          <w:szCs w:val="14"/>
          <w:color w:val="auto"/>
        </w:rPr>
        <w:t>International net sales decreased by $1.5 million, or (2.6)%, to $54.2 million for the year ended December 31, 2022 from $55.6 million for the year ended December 31, 2021. The segment CE volume grew, particularly in the Europe, the Middle East and Africa ("EMEA") region, which was offset by an unfavorable foreign currency impact, particularly in relation to the US Dollar strengthening against the British Pound ("GBP").</w:t>
      </w:r>
    </w:p>
    <w:p>
      <w:pPr>
        <w:spacing w:after="0" w:line="153"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i w:val="1"/>
          <w:iCs w:val="1"/>
          <w:color w:val="auto"/>
        </w:rPr>
        <w:t xml:space="preserve">Vita Coco </w:t>
      </w:r>
      <w:r>
        <w:rPr>
          <w:rFonts w:ascii="Arial" w:cs="Arial" w:eastAsia="Arial" w:hAnsi="Arial"/>
          <w:sz w:val="14"/>
          <w:szCs w:val="14"/>
          <w:color w:val="auto"/>
        </w:rPr>
        <w:t>Coconut Water net sales increased by $3.9 million, or 11.3%, to $38.6 million for the year ended December 31, 2022, from $34.6 million for the year ended December 31, 2021.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was driven by higher CE volume, primarily in the European region, which was partially offset by an unfavorable impact related to foreign currency.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433"/>
        <w:spacing w:after="0" w:line="265" w:lineRule="auto"/>
        <w:rPr>
          <w:sz w:val="20"/>
          <w:szCs w:val="20"/>
          <w:color w:val="auto"/>
        </w:rPr>
      </w:pPr>
      <w:r>
        <w:rPr>
          <w:rFonts w:ascii="Arial" w:cs="Arial" w:eastAsia="Arial" w:hAnsi="Arial"/>
          <w:sz w:val="14"/>
          <w:szCs w:val="14"/>
          <w:color w:val="auto"/>
        </w:rPr>
        <w:t>Private Label net sales decreased by $1.2 million, or (8.2)%, to $12.9 million for the year ended December 31, 2022, as compared to $14.0 million for the year ended December 31, 2021, which was driven by a decline in CE volumes in the Asia Pacific region, which were partly offset by net pricing benefits.</w:t>
      </w:r>
    </w:p>
    <w:p>
      <w:pPr>
        <w:spacing w:after="0" w:line="143" w:lineRule="exact"/>
        <w:rPr>
          <w:sz w:val="20"/>
          <w:szCs w:val="20"/>
          <w:color w:val="auto"/>
        </w:rPr>
      </w:pPr>
    </w:p>
    <w:p>
      <w:pPr>
        <w:ind w:right="460" w:firstLine="433"/>
        <w:spacing w:after="0" w:line="265" w:lineRule="auto"/>
        <w:rPr>
          <w:sz w:val="20"/>
          <w:szCs w:val="20"/>
          <w:color w:val="auto"/>
        </w:rPr>
      </w:pPr>
      <w:r>
        <w:rPr>
          <w:rFonts w:ascii="Arial" w:cs="Arial" w:eastAsia="Arial" w:hAnsi="Arial"/>
          <w:sz w:val="14"/>
          <w:szCs w:val="14"/>
          <w:color w:val="auto"/>
        </w:rPr>
        <w:t>Net Sales for Other products decreased by $4.2 million, or 60.7%, to $2.7 million for the year ended December 31, 2022, from $7.0 million for the year ended December 31, 2021. The decrease was primarily driven by decreases in bulk product sales from our Asia Pacific region.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Year Ended 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0"/>
        </w:trPr>
        <w:tc>
          <w:tcPr>
            <w:tcW w:w="48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4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3"/>
          </w:tcPr>
          <w:p>
            <w:pPr>
              <w:jc w:val="right"/>
              <w:ind w:right="269"/>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jc w:val="center"/>
              <w:ind w:right="72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r>
      <w:tr>
        <w:trPr>
          <w:trHeight w:val="211"/>
        </w:trPr>
        <w:tc>
          <w:tcPr>
            <w:tcW w:w="4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goods sold</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196"/>
        </w:trPr>
        <w:tc>
          <w:tcPr>
            <w:tcW w:w="484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3"/>
              <w:spacing w:after="0"/>
              <w:rPr>
                <w:sz w:val="20"/>
                <w:szCs w:val="20"/>
                <w:color w:val="auto"/>
              </w:rPr>
            </w:pPr>
            <w:r>
              <w:rPr>
                <w:rFonts w:ascii="Arial" w:cs="Arial" w:eastAsia="Arial" w:hAnsi="Arial"/>
                <w:sz w:val="14"/>
                <w:szCs w:val="14"/>
                <w:color w:val="auto"/>
                <w:w w:val="90"/>
              </w:rPr>
              <w:t>278,130</w:t>
            </w: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222,027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56,103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25.3 %</w:t>
            </w:r>
          </w:p>
        </w:tc>
      </w:tr>
      <w:tr>
        <w:trPr>
          <w:trHeight w:val="207"/>
        </w:trPr>
        <w:tc>
          <w:tcPr>
            <w:tcW w:w="4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4"/>
                <w:szCs w:val="14"/>
                <w:color w:val="auto"/>
              </w:rPr>
              <w:t>46,296</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44,338</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4.4 %</w:t>
            </w:r>
          </w:p>
        </w:tc>
      </w:tr>
      <w:tr>
        <w:trPr>
          <w:trHeight w:val="187"/>
        </w:trPr>
        <w:tc>
          <w:tcPr>
            <w:tcW w:w="4840" w:type="dxa"/>
            <w:vAlign w:val="bottom"/>
          </w:tcPr>
          <w:p>
            <w:pPr>
              <w:ind w:left="540"/>
              <w:spacing w:after="0"/>
              <w:rPr>
                <w:sz w:val="20"/>
                <w:szCs w:val="20"/>
                <w:color w:val="auto"/>
              </w:rPr>
            </w:pPr>
            <w:r>
              <w:rPr>
                <w:rFonts w:ascii="Arial" w:cs="Arial" w:eastAsia="Arial" w:hAnsi="Arial"/>
                <w:sz w:val="14"/>
                <w:szCs w:val="14"/>
                <w:color w:val="auto"/>
              </w:rPr>
              <w:t>Total cost of goods sold</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0"/>
              </w:rPr>
              <w:t>324,426</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266,365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58,061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21.8 %</w:t>
            </w: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Gross profit</w:t>
            </w:r>
          </w:p>
        </w:tc>
        <w:tc>
          <w:tcPr>
            <w:tcW w:w="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196"/>
        </w:trPr>
        <w:tc>
          <w:tcPr>
            <w:tcW w:w="484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3"/>
              <w:spacing w:after="0"/>
              <w:rPr>
                <w:sz w:val="20"/>
                <w:szCs w:val="20"/>
                <w:color w:val="auto"/>
              </w:rPr>
            </w:pPr>
            <w:r>
              <w:rPr>
                <w:rFonts w:ascii="Arial" w:cs="Arial" w:eastAsia="Arial" w:hAnsi="Arial"/>
                <w:sz w:val="14"/>
                <w:szCs w:val="14"/>
                <w:color w:val="auto"/>
              </w:rPr>
              <w:t>95,492</w:t>
            </w: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101,864</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(6,371)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207"/>
        </w:trPr>
        <w:tc>
          <w:tcPr>
            <w:tcW w:w="4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4"/>
                <w:szCs w:val="14"/>
                <w:color w:val="auto"/>
              </w:rPr>
              <w:t>7,869</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11,284</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(3,416)</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(30.3 %)</w:t>
            </w:r>
          </w:p>
        </w:tc>
      </w:tr>
      <w:tr>
        <w:trPr>
          <w:trHeight w:val="187"/>
        </w:trPr>
        <w:tc>
          <w:tcPr>
            <w:tcW w:w="4840" w:type="dxa"/>
            <w:vAlign w:val="bottom"/>
          </w:tcPr>
          <w:p>
            <w:pPr>
              <w:ind w:left="540"/>
              <w:spacing w:after="0"/>
              <w:rPr>
                <w:sz w:val="20"/>
                <w:szCs w:val="20"/>
                <w:color w:val="auto"/>
              </w:rPr>
            </w:pPr>
            <w:r>
              <w:rPr>
                <w:rFonts w:ascii="Arial" w:cs="Arial" w:eastAsia="Arial" w:hAnsi="Arial"/>
                <w:sz w:val="14"/>
                <w:szCs w:val="14"/>
                <w:color w:val="auto"/>
              </w:rPr>
              <w:t>Total gross profit</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0"/>
              </w:rPr>
              <w:t>103,361</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113,148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(8.6 %)</w:t>
            </w: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Gross margin (</w:t>
            </w:r>
            <w:r>
              <w:rPr>
                <w:rFonts w:ascii="Arial" w:cs="Arial" w:eastAsia="Arial" w:hAnsi="Arial"/>
                <w:sz w:val="11"/>
                <w:szCs w:val="11"/>
                <w:b w:val="1"/>
                <w:bCs w:val="1"/>
                <w:color w:val="auto"/>
              </w:rPr>
              <w:t>percentage of net sales</w:t>
            </w:r>
            <w:r>
              <w:rPr>
                <w:rFonts w:ascii="Arial" w:cs="Arial" w:eastAsia="Arial" w:hAnsi="Arial"/>
                <w:sz w:val="14"/>
                <w:szCs w:val="14"/>
                <w:b w:val="1"/>
                <w:bCs w:val="1"/>
                <w:color w:val="auto"/>
              </w:rPr>
              <w:t>)</w:t>
            </w:r>
          </w:p>
        </w:tc>
        <w:tc>
          <w:tcPr>
            <w:tcW w:w="298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r>
      <w:tr>
        <w:trPr>
          <w:trHeight w:val="196"/>
        </w:trPr>
        <w:tc>
          <w:tcPr>
            <w:tcW w:w="402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2980" w:type="dxa"/>
            <w:vAlign w:val="bottom"/>
          </w:tcPr>
          <w:p>
            <w:pPr>
              <w:jc w:val="right"/>
              <w:ind w:right="549"/>
              <w:spacing w:after="0"/>
              <w:rPr>
                <w:sz w:val="20"/>
                <w:szCs w:val="20"/>
                <w:color w:val="auto"/>
              </w:rPr>
            </w:pPr>
            <w:r>
              <w:rPr>
                <w:rFonts w:ascii="Arial" w:cs="Arial" w:eastAsia="Arial" w:hAnsi="Arial"/>
                <w:sz w:val="14"/>
                <w:szCs w:val="14"/>
                <w:color w:val="auto"/>
              </w:rPr>
              <w:t>25.6 %</w:t>
            </w:r>
          </w:p>
        </w:tc>
        <w:tc>
          <w:tcPr>
            <w:tcW w:w="2440" w:type="dxa"/>
            <w:vAlign w:val="bottom"/>
          </w:tcPr>
          <w:p>
            <w:pPr>
              <w:jc w:val="right"/>
              <w:ind w:right="1349"/>
              <w:spacing w:after="0"/>
              <w:rPr>
                <w:sz w:val="20"/>
                <w:szCs w:val="20"/>
                <w:color w:val="auto"/>
              </w:rPr>
            </w:pPr>
            <w:r>
              <w:rPr>
                <w:rFonts w:ascii="Arial" w:cs="Arial" w:eastAsia="Arial" w:hAnsi="Arial"/>
                <w:sz w:val="14"/>
                <w:szCs w:val="14"/>
                <w:color w:val="auto"/>
              </w:rPr>
              <w:t>31.5 %</w:t>
            </w:r>
          </w:p>
        </w:tc>
        <w:tc>
          <w:tcPr>
            <w:tcW w:w="1840" w:type="dxa"/>
            <w:vAlign w:val="bottom"/>
          </w:tcPr>
          <w:p>
            <w:pPr>
              <w:jc w:val="right"/>
              <w:spacing w:after="0"/>
              <w:rPr>
                <w:sz w:val="20"/>
                <w:szCs w:val="20"/>
                <w:color w:val="auto"/>
              </w:rPr>
            </w:pPr>
            <w:r>
              <w:rPr>
                <w:rFonts w:ascii="Arial" w:cs="Arial" w:eastAsia="Arial" w:hAnsi="Arial"/>
                <w:sz w:val="14"/>
                <w:szCs w:val="14"/>
                <w:color w:val="auto"/>
              </w:rPr>
              <w:t>(5.9 %)</w:t>
            </w:r>
          </w:p>
        </w:tc>
      </w:tr>
      <w:tr>
        <w:trPr>
          <w:trHeight w:val="20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2980" w:type="dxa"/>
            <w:vAlign w:val="bottom"/>
            <w:shd w:val="clear" w:color="auto" w:fill="CFF0FC"/>
          </w:tcPr>
          <w:p>
            <w:pPr>
              <w:jc w:val="right"/>
              <w:ind w:right="549"/>
              <w:spacing w:after="0"/>
              <w:rPr>
                <w:sz w:val="20"/>
                <w:szCs w:val="20"/>
                <w:color w:val="auto"/>
              </w:rPr>
            </w:pPr>
            <w:r>
              <w:rPr>
                <w:rFonts w:ascii="Arial" w:cs="Arial" w:eastAsia="Arial" w:hAnsi="Arial"/>
                <w:sz w:val="14"/>
                <w:szCs w:val="14"/>
                <w:color w:val="auto"/>
              </w:rPr>
              <w:t>14.5 %</w:t>
            </w:r>
          </w:p>
        </w:tc>
        <w:tc>
          <w:tcPr>
            <w:tcW w:w="2440" w:type="dxa"/>
            <w:vAlign w:val="bottom"/>
            <w:shd w:val="clear" w:color="auto" w:fill="CFF0FC"/>
          </w:tcPr>
          <w:p>
            <w:pPr>
              <w:jc w:val="right"/>
              <w:ind w:right="1349"/>
              <w:spacing w:after="0"/>
              <w:rPr>
                <w:sz w:val="20"/>
                <w:szCs w:val="20"/>
                <w:color w:val="auto"/>
              </w:rPr>
            </w:pPr>
            <w:r>
              <w:rPr>
                <w:rFonts w:ascii="Arial" w:cs="Arial" w:eastAsia="Arial" w:hAnsi="Arial"/>
                <w:sz w:val="14"/>
                <w:szCs w:val="14"/>
                <w:color w:val="auto"/>
              </w:rPr>
              <w:t>20.3 %</w:t>
            </w: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(5.8 %)</w:t>
            </w:r>
          </w:p>
        </w:tc>
      </w:tr>
      <w:tr>
        <w:trPr>
          <w:trHeight w:val="191"/>
        </w:trPr>
        <w:tc>
          <w:tcPr>
            <w:tcW w:w="4020" w:type="dxa"/>
            <w:vAlign w:val="bottom"/>
          </w:tcPr>
          <w:p>
            <w:pPr>
              <w:ind w:left="540"/>
              <w:spacing w:after="0"/>
              <w:rPr>
                <w:sz w:val="20"/>
                <w:szCs w:val="20"/>
                <w:color w:val="auto"/>
              </w:rPr>
            </w:pPr>
            <w:r>
              <w:rPr>
                <w:rFonts w:ascii="Arial" w:cs="Arial" w:eastAsia="Arial" w:hAnsi="Arial"/>
                <w:sz w:val="14"/>
                <w:szCs w:val="14"/>
                <w:color w:val="auto"/>
              </w:rPr>
              <w:t>Consolidated</w:t>
            </w:r>
          </w:p>
        </w:tc>
        <w:tc>
          <w:tcPr>
            <w:tcW w:w="2980" w:type="dxa"/>
            <w:vAlign w:val="bottom"/>
          </w:tcPr>
          <w:p>
            <w:pPr>
              <w:jc w:val="right"/>
              <w:ind w:right="549"/>
              <w:spacing w:after="0"/>
              <w:rPr>
                <w:sz w:val="20"/>
                <w:szCs w:val="20"/>
                <w:color w:val="auto"/>
              </w:rPr>
            </w:pPr>
            <w:r>
              <w:rPr>
                <w:rFonts w:ascii="Arial" w:cs="Arial" w:eastAsia="Arial" w:hAnsi="Arial"/>
                <w:sz w:val="14"/>
                <w:szCs w:val="14"/>
                <w:color w:val="auto"/>
              </w:rPr>
              <w:t>24.2 %</w:t>
            </w:r>
          </w:p>
        </w:tc>
        <w:tc>
          <w:tcPr>
            <w:tcW w:w="2440" w:type="dxa"/>
            <w:vAlign w:val="bottom"/>
          </w:tcPr>
          <w:p>
            <w:pPr>
              <w:jc w:val="right"/>
              <w:ind w:right="1349"/>
              <w:spacing w:after="0"/>
              <w:rPr>
                <w:sz w:val="20"/>
                <w:szCs w:val="20"/>
                <w:color w:val="auto"/>
              </w:rPr>
            </w:pPr>
            <w:r>
              <w:rPr>
                <w:rFonts w:ascii="Arial" w:cs="Arial" w:eastAsia="Arial" w:hAnsi="Arial"/>
                <w:sz w:val="14"/>
                <w:szCs w:val="14"/>
                <w:color w:val="auto"/>
              </w:rPr>
              <w:t>29.8 %</w:t>
            </w:r>
          </w:p>
        </w:tc>
        <w:tc>
          <w:tcPr>
            <w:tcW w:w="1840" w:type="dxa"/>
            <w:vAlign w:val="bottom"/>
          </w:tcPr>
          <w:p>
            <w:pPr>
              <w:jc w:val="right"/>
              <w:spacing w:after="0"/>
              <w:rPr>
                <w:sz w:val="20"/>
                <w:szCs w:val="20"/>
                <w:color w:val="auto"/>
              </w:rPr>
            </w:pPr>
            <w:r>
              <w:rPr>
                <w:rFonts w:ascii="Arial" w:cs="Arial" w:eastAsia="Arial" w:hAnsi="Arial"/>
                <w:sz w:val="14"/>
                <w:szCs w:val="14"/>
                <w:color w:val="auto"/>
              </w:rPr>
              <w:t>(5.7 %)</w:t>
            </w:r>
          </w:p>
        </w:tc>
      </w:tr>
    </w:tbl>
    <w:p>
      <w:pPr>
        <w:spacing w:after="0" w:line="234" w:lineRule="exact"/>
        <w:rPr>
          <w:sz w:val="20"/>
          <w:szCs w:val="20"/>
          <w:color w:val="auto"/>
        </w:rPr>
      </w:pPr>
    </w:p>
    <w:p>
      <w:pPr>
        <w:ind w:right="100" w:firstLine="433"/>
        <w:spacing w:after="0" w:line="368" w:lineRule="auto"/>
        <w:rPr>
          <w:sz w:val="20"/>
          <w:szCs w:val="20"/>
          <w:color w:val="auto"/>
        </w:rPr>
      </w:pPr>
      <w:r>
        <w:rPr>
          <w:rFonts w:ascii="Arial" w:cs="Arial" w:eastAsia="Arial" w:hAnsi="Arial"/>
          <w:sz w:val="12"/>
          <w:szCs w:val="12"/>
          <w:color w:val="auto"/>
        </w:rPr>
        <w:t>On a consolidated basis, cost of goods sold increased $58.1 million, or 21.8%, to $324.4 million for the year ended December 31, 2022, from $266.4 million for the year ended December 31, 2021. On a consolidated and segment basis, the increase was primarily driven by higher CE volume and significant increases in transportation costs across ocean freight and domestic logistics.</w:t>
      </w:r>
    </w:p>
    <w:p>
      <w:pPr>
        <w:spacing w:after="0" w:line="97" w:lineRule="exact"/>
        <w:rPr>
          <w:sz w:val="20"/>
          <w:szCs w:val="20"/>
          <w:color w:val="auto"/>
        </w:rPr>
      </w:pPr>
    </w:p>
    <w:p>
      <w:pPr>
        <w:ind w:right="60" w:firstLine="433"/>
        <w:spacing w:after="0" w:line="277" w:lineRule="auto"/>
        <w:rPr>
          <w:sz w:val="20"/>
          <w:szCs w:val="20"/>
          <w:color w:val="auto"/>
        </w:rPr>
      </w:pPr>
      <w:r>
        <w:rPr>
          <w:rFonts w:ascii="Arial" w:cs="Arial" w:eastAsia="Arial" w:hAnsi="Arial"/>
          <w:sz w:val="13"/>
          <w:szCs w:val="13"/>
          <w:color w:val="auto"/>
        </w:rPr>
        <w:t xml:space="preserve">On a consolidated basis, gross profit decreased by $9.8 million, or 8.6%, to $103.4 million for the year ended December 31, 2022, from $113.1 million for the year ended December 31, 2021. The decrease was primarily driven by higher transportation costs due to the global shipping environment and domestic logistics pressures, partially offset by strong net sales driven by the strength of our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brand and our net pricing actions. Gross margin was 24.2% for the year ended December 31, 2022, as compared to 29.8% for the year ended December 31, 2021. The reduction in the margin was largely driven by cost pressures and inefficiencies related to transportation, including both ocean freight and domestic logistics.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left="460"/>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Percentage</w:t>
            </w: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360" w:type="dxa"/>
            <w:vAlign w:val="bottom"/>
          </w:tcPr>
          <w:p>
            <w:pPr>
              <w:spacing w:after="0"/>
              <w:rPr>
                <w:sz w:val="12"/>
                <w:szCs w:val="12"/>
                <w:color w:val="auto"/>
              </w:rPr>
            </w:pPr>
          </w:p>
        </w:tc>
        <w:tc>
          <w:tcPr>
            <w:tcW w:w="1820" w:type="dxa"/>
            <w:vAlign w:val="bottom"/>
            <w:gridSpan w:val="2"/>
          </w:tcPr>
          <w:p>
            <w:pPr>
              <w:jc w:val="center"/>
              <w:ind w:left="440"/>
              <w:spacing w:after="0"/>
              <w:rPr>
                <w:sz w:val="20"/>
                <w:szCs w:val="20"/>
                <w:color w:val="auto"/>
              </w:rPr>
            </w:pPr>
            <w:r>
              <w:rPr>
                <w:rFonts w:ascii="Arial" w:cs="Arial" w:eastAsia="Arial" w:hAnsi="Arial"/>
                <w:sz w:val="11"/>
                <w:szCs w:val="11"/>
                <w:b w:val="1"/>
                <w:bCs w:val="1"/>
                <w:color w:val="auto"/>
                <w:w w:val="89"/>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ind w:right="20"/>
              <w:spacing w:after="0"/>
              <w:rPr>
                <w:sz w:val="20"/>
                <w:szCs w:val="20"/>
                <w:color w:val="auto"/>
              </w:rPr>
            </w:pPr>
            <w:r>
              <w:rPr>
                <w:rFonts w:ascii="Arial" w:cs="Arial" w:eastAsia="Arial" w:hAnsi="Arial"/>
                <w:sz w:val="14"/>
                <w:szCs w:val="14"/>
                <w:color w:val="auto"/>
              </w:rPr>
              <w:t>100,306</w:t>
            </w:r>
          </w:p>
        </w:tc>
        <w:tc>
          <w:tcPr>
            <w:tcW w:w="68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13.3 %</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ind w:right="60" w:firstLine="433"/>
        <w:spacing w:after="0" w:line="259" w:lineRule="auto"/>
        <w:rPr>
          <w:sz w:val="20"/>
          <w:szCs w:val="20"/>
          <w:color w:val="auto"/>
        </w:rPr>
      </w:pPr>
      <w:r>
        <w:rPr>
          <w:rFonts w:ascii="Arial" w:cs="Arial" w:eastAsia="Arial" w:hAnsi="Arial"/>
          <w:sz w:val="14"/>
          <w:szCs w:val="14"/>
          <w:color w:val="auto"/>
        </w:rPr>
        <w:t xml:space="preserve">SG&amp;A expense increased by $11.7 million, or 13.3%, to $100.3 million for the year ended December 31, 2022, from $88.6 million for the year ended December 31, 2021. The increase was primarily driven by a net increase in people costs (salaries and benefits, including stock-based compensation), a full year of ongoing public company costs and a non-cash intangible asset impairment charge of $7 million related to the </w:t>
      </w:r>
      <w:r>
        <w:rPr>
          <w:rFonts w:ascii="Arial" w:cs="Arial" w:eastAsia="Arial" w:hAnsi="Arial"/>
          <w:sz w:val="14"/>
          <w:szCs w:val="14"/>
          <w:i w:val="1"/>
          <w:iCs w:val="1"/>
          <w:color w:val="auto"/>
        </w:rPr>
        <w:t>Runa</w:t>
      </w:r>
      <w:r>
        <w:rPr>
          <w:rFonts w:ascii="Arial" w:cs="Arial" w:eastAsia="Arial" w:hAnsi="Arial"/>
          <w:sz w:val="14"/>
          <w:szCs w:val="14"/>
          <w:color w:val="auto"/>
        </w:rPr>
        <w:t xml:space="preserve"> trademarks and distributor relationships, partially offset by non-recurring IPO readiness expenses in 2021.</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1180"/>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0"/>
        </w:trPr>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3"/>
          </w:tcPr>
          <w:p>
            <w:pPr>
              <w:jc w:val="right"/>
              <w:ind w:right="229"/>
              <w:spacing w:after="0"/>
              <w:rPr>
                <w:sz w:val="20"/>
                <w:szCs w:val="20"/>
                <w:color w:val="auto"/>
              </w:rPr>
            </w:pPr>
            <w:r>
              <w:rPr>
                <w:rFonts w:ascii="Arial" w:cs="Arial" w:eastAsia="Arial" w:hAnsi="Arial"/>
                <w:sz w:val="11"/>
                <w:szCs w:val="11"/>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3"/>
          </w:tcPr>
          <w:p>
            <w:pPr>
              <w:jc w:val="center"/>
              <w:ind w:right="720"/>
              <w:spacing w:after="0"/>
              <w:rPr>
                <w:sz w:val="20"/>
                <w:szCs w:val="20"/>
                <w:color w:val="auto"/>
              </w:rPr>
            </w:pPr>
            <w:r>
              <w:rPr>
                <w:rFonts w:ascii="Arial" w:cs="Arial" w:eastAsia="Arial" w:hAnsi="Arial"/>
                <w:sz w:val="11"/>
                <w:szCs w:val="11"/>
                <w:b w:val="1"/>
                <w:bCs w:val="1"/>
                <w:color w:val="auto"/>
                <w:w w:val="89"/>
              </w:rPr>
              <w:t>(in thousands)</w:t>
            </w:r>
          </w:p>
        </w:tc>
        <w:tc>
          <w:tcPr>
            <w:tcW w:w="1240" w:type="dxa"/>
            <w:vAlign w:val="bottom"/>
          </w:tcPr>
          <w:p>
            <w:pPr>
              <w:spacing w:after="0"/>
              <w:rPr>
                <w:sz w:val="13"/>
                <w:szCs w:val="13"/>
                <w:color w:val="auto"/>
              </w:rPr>
            </w:pPr>
          </w:p>
        </w:tc>
      </w:tr>
      <w:tr>
        <w:trPr>
          <w:trHeight w:val="211"/>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Unrealized gain (loss) on derivative instrument</w:t>
            </w:r>
          </w:p>
        </w:tc>
        <w:tc>
          <w:tcPr>
            <w:tcW w:w="860" w:type="dxa"/>
            <w:vAlign w:val="bottom"/>
            <w:shd w:val="clear" w:color="auto" w:fill="CFF0FC"/>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6,606</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4,513</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215.6 %</w:t>
            </w:r>
          </w:p>
        </w:tc>
      </w:tr>
      <w:tr>
        <w:trPr>
          <w:trHeight w:val="196"/>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Foreign currency gain (loss)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(166.4 %)</w:t>
            </w:r>
          </w:p>
        </w:tc>
      </w:tr>
      <w:tr>
        <w:trPr>
          <w:trHeight w:val="207"/>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(59.6 %)</w:t>
            </w:r>
          </w:p>
        </w:tc>
      </w:tr>
      <w:tr>
        <w:trPr>
          <w:trHeight w:val="202"/>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(28.3 %)</w:t>
            </w:r>
          </w:p>
        </w:tc>
      </w:tr>
      <w:tr>
        <w:trPr>
          <w:trHeight w:val="192"/>
        </w:trPr>
        <w:tc>
          <w:tcPr>
            <w:tcW w:w="1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7,786</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(2262.8 %)</w:t>
            </w:r>
          </w:p>
        </w:tc>
      </w:tr>
      <w:tr>
        <w:trPr>
          <w:trHeight w:val="20"/>
        </w:trPr>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7"/>
        </w:trPr>
        <w:tc>
          <w:tcPr>
            <w:tcW w:w="122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Unrealized Gain/(Loss) on Derivative Instruments</w:t>
      </w:r>
    </w:p>
    <w:p>
      <w:pPr>
        <w:spacing w:after="0" w:line="83" w:lineRule="exact"/>
        <w:rPr>
          <w:sz w:val="20"/>
          <w:szCs w:val="20"/>
          <w:color w:val="auto"/>
        </w:rPr>
      </w:pPr>
    </w:p>
    <w:p>
      <w:pPr>
        <w:ind w:right="160" w:firstLine="433"/>
        <w:spacing w:after="0" w:line="322" w:lineRule="auto"/>
        <w:rPr>
          <w:sz w:val="20"/>
          <w:szCs w:val="20"/>
          <w:color w:val="auto"/>
        </w:rPr>
      </w:pPr>
      <w:r>
        <w:rPr>
          <w:rFonts w:ascii="Arial" w:cs="Arial" w:eastAsia="Arial" w:hAnsi="Arial"/>
          <w:sz w:val="12"/>
          <w:szCs w:val="12"/>
          <w:color w:val="auto"/>
        </w:rPr>
        <w:t>During the year ended December 31, 2022, we recorded unrealized gains of $6.6 million relating to outstanding derivative instruments for forward foreign currency exchange contracts. During the year ended December 31, 2021, we recorded unrealized gains of $2.1 million relating to outstanding derivative instruments for forward foreign currency exchange contracts. All forward foreign currency exchange contracts were entered to hedge some of our exposures to the British Pound, Canadian Dollar, Brazilian Real, Malaysian Ringgit, European Union Euro, and Thai Baht.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Foreign Currency Gain/(Loss)</w:t>
      </w:r>
    </w:p>
    <w:p>
      <w:pPr>
        <w:spacing w:after="0" w:line="94" w:lineRule="exact"/>
        <w:rPr>
          <w:sz w:val="20"/>
          <w:szCs w:val="20"/>
          <w:color w:val="auto"/>
        </w:rPr>
      </w:pPr>
    </w:p>
    <w:p>
      <w:pPr>
        <w:ind w:right="340" w:firstLine="433"/>
        <w:spacing w:after="0" w:line="265" w:lineRule="auto"/>
        <w:rPr>
          <w:sz w:val="20"/>
          <w:szCs w:val="20"/>
          <w:color w:val="auto"/>
        </w:rPr>
      </w:pPr>
      <w:r>
        <w:rPr>
          <w:rFonts w:ascii="Arial" w:cs="Arial" w:eastAsia="Arial" w:hAnsi="Arial"/>
          <w:sz w:val="14"/>
          <w:szCs w:val="14"/>
          <w:color w:val="auto"/>
        </w:rPr>
        <w:t>Foreign currency gain was $1.4 million for the year ended December 31, 2022, as compared to a $2.1 million loss for the year ended December 31, 2021. The change in both years was a result of movements in various foreign currency exchange rates related to transactions denominated in currencies other than the functional currency.</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(Loss) on Extinguishment of Debt</w:t>
      </w:r>
    </w:p>
    <w:p>
      <w:pPr>
        <w:spacing w:after="0" w:line="253" w:lineRule="exact"/>
        <w:rPr>
          <w:sz w:val="20"/>
          <w:szCs w:val="20"/>
          <w:color w:val="auto"/>
        </w:rPr>
      </w:pPr>
    </w:p>
    <w:p>
      <w:pPr>
        <w:ind w:right="400" w:firstLine="509"/>
        <w:spacing w:after="0" w:line="287" w:lineRule="auto"/>
        <w:rPr>
          <w:sz w:val="20"/>
          <w:szCs w:val="20"/>
          <w:color w:val="auto"/>
        </w:rPr>
      </w:pPr>
      <w:r>
        <w:rPr>
          <w:rFonts w:ascii="Arial" w:cs="Arial" w:eastAsia="Arial" w:hAnsi="Arial"/>
          <w:sz w:val="13"/>
          <w:szCs w:val="13"/>
          <w:color w:val="auto"/>
        </w:rPr>
        <w:t>On October 27, 2021, the Company repaid the outstanding balance on the Term Commitment Note with Wells Fargo that was entered into May 2021 ("2021 Term Loan") using the net proceeds from the IPO and recognized a non-cash loss of $0.1 million on the early extinguishment of debt, primarily related to the write-off of deferred financing costs.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Income</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decrease in interest income for the year ended December 31, 2022 compared to the same prior year period was immaterial.</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decrease in interest expense for the year ended December 31, 2022 compared to the same prior year period was immaterial.</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1"/>
                <w:szCs w:val="11"/>
                <w:b w:val="1"/>
                <w:bCs w:val="1"/>
                <w:color w:val="auto"/>
                <w:w w:val="91"/>
              </w:rPr>
              <w:t>Year Ended 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323"/>
              <w:spacing w:after="0"/>
              <w:rPr>
                <w:sz w:val="20"/>
                <w:szCs w:val="20"/>
                <w:color w:val="auto"/>
              </w:rPr>
            </w:pPr>
            <w:r>
              <w:rPr>
                <w:rFonts w:ascii="Arial" w:cs="Arial" w:eastAsia="Arial" w:hAnsi="Arial"/>
                <w:sz w:val="11"/>
                <w:szCs w:val="11"/>
                <w:b w:val="1"/>
                <w:bCs w:val="1"/>
                <w:color w:val="auto"/>
                <w:w w:val="89"/>
              </w:rPr>
              <w:t>Change</w:t>
            </w:r>
          </w:p>
        </w:tc>
      </w:tr>
      <w:tr>
        <w:trPr>
          <w:trHeight w:val="160"/>
        </w:trPr>
        <w:tc>
          <w:tcPr>
            <w:tcW w:w="4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4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center"/>
              <w:ind w:left="498"/>
              <w:spacing w:after="0"/>
              <w:rPr>
                <w:sz w:val="20"/>
                <w:szCs w:val="20"/>
                <w:color w:val="auto"/>
              </w:rPr>
            </w:pPr>
            <w:r>
              <w:rPr>
                <w:rFonts w:ascii="Arial" w:cs="Arial" w:eastAsia="Arial" w:hAnsi="Arial"/>
                <w:sz w:val="11"/>
                <w:szCs w:val="11"/>
                <w:b w:val="1"/>
                <w:bCs w:val="1"/>
                <w:color w:val="auto"/>
                <w:w w:val="89"/>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19"/>
              <w:spacing w:after="0"/>
              <w:rPr>
                <w:sz w:val="20"/>
                <w:szCs w:val="20"/>
                <w:color w:val="auto"/>
              </w:rPr>
            </w:pPr>
            <w:r>
              <w:rPr>
                <w:rFonts w:ascii="Arial" w:cs="Arial" w:eastAsia="Arial" w:hAnsi="Arial"/>
                <w:sz w:val="11"/>
                <w:szCs w:val="11"/>
                <w:b w:val="1"/>
                <w:bCs w:val="1"/>
                <w:color w:val="auto"/>
                <w:w w:val="89"/>
              </w:rPr>
              <w:t>(in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11"/>
        </w:trPr>
        <w:tc>
          <w:tcPr>
            <w:tcW w:w="4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14"/>
                <w:szCs w:val="14"/>
                <w:color w:val="auto"/>
              </w:rPr>
              <w:t>(3,027)</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4"/>
                <w:szCs w:val="14"/>
                <w:color w:val="auto"/>
              </w:rPr>
              <w:t>(5,237)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2,210</w:t>
            </w:r>
          </w:p>
        </w:tc>
        <w:tc>
          <w:tcPr>
            <w:tcW w:w="1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(42.2 %)</w:t>
            </w: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Tax Rate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27.9 %</w:t>
            </w: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ind w:right="300" w:firstLine="433"/>
        <w:spacing w:after="0" w:line="265" w:lineRule="auto"/>
        <w:rPr>
          <w:sz w:val="20"/>
          <w:szCs w:val="20"/>
          <w:color w:val="auto"/>
        </w:rPr>
      </w:pPr>
      <w:r>
        <w:rPr>
          <w:rFonts w:ascii="Arial" w:cs="Arial" w:eastAsia="Arial" w:hAnsi="Arial"/>
          <w:sz w:val="14"/>
          <w:szCs w:val="14"/>
          <w:color w:val="auto"/>
        </w:rPr>
        <w:t>Income tax expense was $3.0 million for the year ended December 31, 2022, as compared to $5.2 million for the year ended December 31, 2021. The effective combined federal state and foreign tax rate increased to 27.9% from 21.6% for the years ended December 31, 2022, and 2021, respectively.</w:t>
      </w:r>
    </w:p>
    <w:p>
      <w:pPr>
        <w:spacing w:after="0" w:line="281" w:lineRule="exact"/>
        <w:rPr>
          <w:sz w:val="20"/>
          <w:szCs w:val="20"/>
          <w:color w:val="auto"/>
        </w:rPr>
      </w:pPr>
    </w:p>
    <w:p>
      <w:pPr>
        <w:ind w:right="120" w:firstLine="433"/>
        <w:spacing w:after="0" w:line="259" w:lineRule="auto"/>
        <w:rPr>
          <w:sz w:val="20"/>
          <w:szCs w:val="20"/>
          <w:color w:val="auto"/>
        </w:rPr>
      </w:pPr>
      <w:r>
        <w:rPr>
          <w:rFonts w:ascii="Arial" w:cs="Arial" w:eastAsia="Arial" w:hAnsi="Arial"/>
          <w:sz w:val="14"/>
          <w:szCs w:val="14"/>
          <w:color w:val="auto"/>
        </w:rPr>
        <w:t>The effective tax rate for both periods is higher than the US statutory rate of 21% primarily as a result of state income taxes for the US entity and other nondeductible expenses for tax purposes, and is partially offset by lower statutory tax rates in countries outside the US that the Company operates in. The change in effective tax rates between the periods is primarily driven by the relative impact of other non-deductible expenses in relation to the pre-tax profits.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94" w:lineRule="exact"/>
        <w:rPr>
          <w:sz w:val="20"/>
          <w:szCs w:val="20"/>
          <w:color w:val="auto"/>
        </w:rPr>
      </w:pPr>
    </w:p>
    <w:p>
      <w:pPr>
        <w:ind w:firstLine="433"/>
        <w:spacing w:after="0" w:line="313" w:lineRule="auto"/>
        <w:rPr>
          <w:sz w:val="20"/>
          <w:szCs w:val="20"/>
          <w:color w:val="auto"/>
        </w:rPr>
      </w:pPr>
      <w:r>
        <w:rPr>
          <w:rFonts w:ascii="Arial" w:cs="Arial" w:eastAsia="Arial" w:hAnsi="Arial"/>
          <w:sz w:val="12"/>
          <w:szCs w:val="12"/>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18" w:lineRule="exact"/>
        <w:rPr>
          <w:sz w:val="20"/>
          <w:szCs w:val="20"/>
          <w:color w:val="auto"/>
        </w:rPr>
      </w:pPr>
    </w:p>
    <w:p>
      <w:pPr>
        <w:ind w:right="180" w:firstLine="433"/>
        <w:spacing w:after="0" w:line="251" w:lineRule="auto"/>
        <w:rPr>
          <w:sz w:val="20"/>
          <w:szCs w:val="20"/>
          <w:color w:val="auto"/>
        </w:rPr>
      </w:pPr>
      <w:r>
        <w:rPr>
          <w:rFonts w:ascii="Arial" w:cs="Arial" w:eastAsia="Arial" w:hAnsi="Arial"/>
          <w:sz w:val="14"/>
          <w:szCs w:val="14"/>
          <w:color w:val="auto"/>
        </w:rPr>
        <w:t>These non-GAAP measures are key metrics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53"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reconciliation from net income to EBITDA and Adjusted EBITDA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12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97"/>
              </w:rPr>
              <w:t>2021</w:t>
            </w:r>
          </w:p>
        </w:tc>
      </w:tr>
      <w:tr>
        <w:trPr>
          <w:trHeight w:val="160"/>
        </w:trPr>
        <w:tc>
          <w:tcPr>
            <w:tcW w:w="12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3"/>
                <w:szCs w:val="13"/>
                <w:color w:val="auto"/>
              </w:rPr>
            </w:pPr>
          </w:p>
        </w:tc>
      </w:tr>
      <w:tr>
        <w:trPr>
          <w:trHeight w:val="211"/>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FF0FC"/>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7,814</w:t>
            </w: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18,992</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2,069</w:t>
            </w:r>
          </w:p>
        </w:tc>
      </w:tr>
      <w:tr>
        <w:trPr>
          <w:trHeight w:val="207"/>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07"/>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Income tax expense</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5,237</w:t>
            </w:r>
          </w:p>
        </w:tc>
      </w:tr>
      <w:tr>
        <w:trPr>
          <w:trHeight w:val="187"/>
        </w:trPr>
        <w:tc>
          <w:tcPr>
            <w:tcW w:w="8220" w:type="dxa"/>
            <w:vAlign w:val="bottom"/>
            <w:gridSpan w:val="2"/>
          </w:tcPr>
          <w:p>
            <w:pPr>
              <w:ind w:left="260"/>
              <w:spacing w:after="0"/>
              <w:rPr>
                <w:sz w:val="20"/>
                <w:szCs w:val="20"/>
                <w:color w:val="auto"/>
              </w:rPr>
            </w:pPr>
            <w:r>
              <w:rPr>
                <w:rFonts w:ascii="Arial" w:cs="Arial" w:eastAsia="Arial" w:hAnsi="Arial"/>
                <w:sz w:val="14"/>
                <w:szCs w:val="14"/>
                <w:b w:val="1"/>
                <w:bCs w:val="1"/>
                <w:color w:val="auto"/>
              </w:rPr>
              <w:t>EBITDA</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12,949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26,531</w:t>
            </w:r>
          </w:p>
        </w:tc>
      </w:tr>
      <w:tr>
        <w:trPr>
          <w:trHeight w:val="207"/>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Stock-based compensation (a)</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7,384</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3,380</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Unrealized (gain)/loss on derivative instruments (b)</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(6,606)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(2,093)</w:t>
            </w:r>
          </w:p>
        </w:tc>
      </w:tr>
      <w:tr>
        <w:trPr>
          <w:trHeight w:val="207"/>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Foreign currency (gain)/loss (b)</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(1,387)</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Loss on extinguishment of debt (c)</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07"/>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Impairment of intangible assets (d)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2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color w:val="auto"/>
              </w:rPr>
              <w:t>Other adjustments (e)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6,824</w:t>
            </w:r>
          </w:p>
        </w:tc>
      </w:tr>
      <w:tr>
        <w:trPr>
          <w:trHeight w:val="212"/>
        </w:trPr>
        <w:tc>
          <w:tcPr>
            <w:tcW w:w="8220" w:type="dxa"/>
            <w:vAlign w:val="bottom"/>
            <w:gridSpan w:val="2"/>
            <w:shd w:val="clear" w:color="auto" w:fill="CFF0FC"/>
          </w:tcPr>
          <w:p>
            <w:pPr>
              <w:ind w:left="26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shd w:val="clear" w:color="auto" w:fill="CFF0FC"/>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20,294</w:t>
            </w: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36,862</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70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6"/>
        </w:trPr>
        <w:tc>
          <w:tcPr>
            <w:tcW w:w="122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7" w:lineRule="exact"/>
        <w:rPr>
          <w:sz w:val="20"/>
          <w:szCs w:val="20"/>
          <w:color w:val="auto"/>
        </w:rPr>
      </w:pPr>
    </w:p>
    <w:p>
      <w:pPr>
        <w:ind w:left="380" w:right="140" w:hanging="375"/>
        <w:spacing w:after="0" w:line="252" w:lineRule="auto"/>
        <w:tabs>
          <w:tab w:leader="none" w:pos="378"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which vary from period to period depending on volume and vesting timing of awards and forfeitures. We adjusted for these charges to facilitate comparison from period to period.</w:t>
      </w:r>
    </w:p>
    <w:p>
      <w:pPr>
        <w:spacing w:after="0" w:line="1" w:lineRule="exact"/>
        <w:rPr>
          <w:rFonts w:ascii="Arial" w:cs="Arial" w:eastAsia="Arial" w:hAnsi="Arial"/>
          <w:sz w:val="14"/>
          <w:szCs w:val="14"/>
          <w:color w:val="auto"/>
        </w:rPr>
      </w:pPr>
    </w:p>
    <w:p>
      <w:pPr>
        <w:ind w:left="380" w:hanging="375"/>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Unrealized gains or losses on derivative instruments and foreign currency gains or losses are not considered in our evaluation of our ongoing performance.</w:t>
      </w:r>
    </w:p>
    <w:p>
      <w:pPr>
        <w:ind w:left="380" w:hanging="375"/>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Non-cash loss on extinguishment of debt related to the early pay down of the 2021 Term Loan with the IPO proceeds which we do not consider in our evaluation of ongoing performance.</w:t>
      </w:r>
    </w:p>
    <w:p>
      <w:pPr>
        <w:spacing w:after="0" w:line="9" w:lineRule="exact"/>
        <w:rPr>
          <w:rFonts w:ascii="Arial" w:cs="Arial" w:eastAsia="Arial" w:hAnsi="Arial"/>
          <w:sz w:val="13"/>
          <w:szCs w:val="13"/>
          <w:color w:val="auto"/>
        </w:rPr>
      </w:pPr>
    </w:p>
    <w:p>
      <w:pPr>
        <w:ind w:left="380" w:hanging="375"/>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Non-cash intangible asset impairment charge of $7 million related to the </w:t>
      </w:r>
      <w:r>
        <w:rPr>
          <w:rFonts w:ascii="Arial" w:cs="Arial" w:eastAsia="Arial" w:hAnsi="Arial"/>
          <w:sz w:val="14"/>
          <w:szCs w:val="14"/>
          <w:i w:val="1"/>
          <w:iCs w:val="1"/>
          <w:color w:val="auto"/>
        </w:rPr>
        <w:t>Runa</w:t>
      </w:r>
      <w:r>
        <w:rPr>
          <w:rFonts w:ascii="Arial" w:cs="Arial" w:eastAsia="Arial" w:hAnsi="Arial"/>
          <w:sz w:val="14"/>
          <w:szCs w:val="14"/>
          <w:color w:val="auto"/>
        </w:rPr>
        <w:t xml:space="preserve"> trademarks and distributor relationships.</w:t>
      </w:r>
    </w:p>
    <w:p>
      <w:pPr>
        <w:spacing w:after="0" w:line="7" w:lineRule="exact"/>
        <w:rPr>
          <w:rFonts w:ascii="Arial" w:cs="Arial" w:eastAsia="Arial" w:hAnsi="Arial"/>
          <w:sz w:val="14"/>
          <w:szCs w:val="14"/>
          <w:color w:val="auto"/>
        </w:rPr>
      </w:pPr>
    </w:p>
    <w:p>
      <w:pPr>
        <w:ind w:left="380" w:right="540" w:hanging="375"/>
        <w:spacing w:after="0" w:line="250" w:lineRule="auto"/>
        <w:tabs>
          <w:tab w:leader="none" w:pos="378"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other charges inclusive of legal costs, an impairment loss related to assets held for sale, and other non-recurring expenses (including costs related to public company readiness preparation in 2021 and a 2021 two-year management incentive program structured differently from other regular employee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ind w:right="140" w:firstLine="433"/>
        <w:spacing w:after="0" w:line="251" w:lineRule="auto"/>
        <w:rPr>
          <w:sz w:val="20"/>
          <w:szCs w:val="20"/>
          <w:color w:val="auto"/>
        </w:rPr>
      </w:pPr>
      <w:r>
        <w:rPr>
          <w:rFonts w:ascii="Arial" w:cs="Arial" w:eastAsia="Arial" w:hAnsi="Arial"/>
          <w:sz w:val="14"/>
          <w:szCs w:val="14"/>
          <w:color w:val="auto"/>
        </w:rPr>
        <w:t>Since our inception, we have financed our operations primarily through cash generated from our business operations and proceeds on borrowings through our credit facilities and term loans. We had $19.6 million and $28.7 million of cash and cash equivalents as of December 31, 2022 and 2021, respectively. During the year, we supplemented our liquidity needs with incremental borrowing capacity under the 2020 Credit Facility.</w:t>
      </w:r>
    </w:p>
    <w:p>
      <w:pPr>
        <w:spacing w:after="0" w:line="153" w:lineRule="exact"/>
        <w:rPr>
          <w:sz w:val="20"/>
          <w:szCs w:val="20"/>
          <w:color w:val="auto"/>
        </w:rPr>
      </w:pPr>
    </w:p>
    <w:p>
      <w:pPr>
        <w:ind w:right="200" w:firstLine="382"/>
        <w:spacing w:after="0" w:line="331" w:lineRule="auto"/>
        <w:rPr>
          <w:sz w:val="20"/>
          <w:szCs w:val="20"/>
          <w:color w:val="auto"/>
        </w:rPr>
      </w:pPr>
      <w:r>
        <w:rPr>
          <w:rFonts w:ascii="Arial" w:cs="Arial" w:eastAsia="Arial" w:hAnsi="Arial"/>
          <w:sz w:val="12"/>
          <w:szCs w:val="12"/>
          <w:color w:val="auto"/>
        </w:rPr>
        <w:t>Considering recent market conditions and the continued result of the ongoing COVID-19 pandemic,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consolidated financial statements included herein and the foreseeable future.</w:t>
      </w:r>
    </w:p>
    <w:p>
      <w:pPr>
        <w:spacing w:after="0" w:line="108"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has allowed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80" w:type="dxa"/>
            <w:vAlign w:val="bottom"/>
          </w:tcPr>
          <w:p>
            <w:pPr>
              <w:ind w:left="440"/>
              <w:spacing w:after="0"/>
              <w:rPr>
                <w:sz w:val="20"/>
                <w:szCs w:val="20"/>
                <w:color w:val="auto"/>
              </w:rPr>
            </w:pPr>
            <w:r>
              <w:rPr>
                <w:rFonts w:ascii="Arial" w:cs="Arial" w:eastAsia="Arial" w:hAnsi="Arial"/>
                <w:sz w:val="14"/>
                <w:szCs w:val="14"/>
                <w:color w:val="auto"/>
              </w:rPr>
              <w:t>The following tables summarize our sources and uses of cash: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64"/>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24"/>
                <w:szCs w:val="24"/>
                <w:color w:val="auto"/>
              </w:rPr>
            </w:pPr>
          </w:p>
        </w:tc>
        <w:tc>
          <w:tcPr>
            <w:tcW w:w="164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24"/>
                <w:szCs w:val="24"/>
                <w:color w:val="auto"/>
              </w:rPr>
            </w:pP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4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flows provided by (used in):</w:t>
            </w:r>
          </w:p>
        </w:tc>
        <w:tc>
          <w:tcPr>
            <w:tcW w:w="3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r>
      <w:tr>
        <w:trPr>
          <w:trHeight w:val="180"/>
        </w:trPr>
        <w:tc>
          <w:tcPr>
            <w:tcW w:w="4980" w:type="dxa"/>
            <w:vAlign w:val="bottom"/>
          </w:tcPr>
          <w:p>
            <w:pPr>
              <w:ind w:left="8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(10,935)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(16,166)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181"/>
        </w:trPr>
        <w:tc>
          <w:tcPr>
            <w:tcW w:w="4980" w:type="dxa"/>
            <w:vAlign w:val="bottom"/>
            <w:shd w:val="clear" w:color="auto" w:fill="CFF0FC"/>
          </w:tcPr>
          <w:p>
            <w:pPr>
              <w:ind w:left="8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76.3 %</w:t>
            </w:r>
          </w:p>
        </w:tc>
      </w:tr>
      <w:tr>
        <w:trPr>
          <w:trHeight w:val="180"/>
        </w:trPr>
        <w:tc>
          <w:tcPr>
            <w:tcW w:w="4980" w:type="dxa"/>
            <w:vAlign w:val="bottom"/>
          </w:tcPr>
          <w:p>
            <w:pPr>
              <w:ind w:left="8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(26,803)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180"/>
        </w:trPr>
        <w:tc>
          <w:tcPr>
            <w:tcW w:w="4980" w:type="dxa"/>
            <w:vAlign w:val="bottom"/>
            <w:shd w:val="clear" w:color="auto" w:fill="CFF0FC"/>
          </w:tcPr>
          <w:p>
            <w:pPr>
              <w:ind w:left="80"/>
              <w:spacing w:after="0"/>
              <w:rPr>
                <w:sz w:val="20"/>
                <w:szCs w:val="20"/>
                <w:color w:val="auto"/>
              </w:rPr>
            </w:pPr>
            <w:r>
              <w:rPr>
                <w:rFonts w:ascii="Arial" w:cs="Arial" w:eastAsia="Arial" w:hAnsi="Arial"/>
                <w:sz w:val="14"/>
                <w:szCs w:val="14"/>
                <w:color w:val="auto"/>
              </w:rPr>
              <w:t>Effects of exchange rate on changes on cash and cash equivalents</w:t>
            </w: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(608.6)%</w:t>
            </w: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34,430</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main source of operating cash is payments received from our customers. Our primary use of cash in operating activities are for cost of goods sold and SG&amp;A expenses.</w:t>
      </w:r>
    </w:p>
    <w:p>
      <w:pPr>
        <w:spacing w:after="0" w:line="179"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color w:val="auto"/>
        </w:rPr>
        <w:t>During the year ended December 31, 2022, $5.2 million less cash was used as compared to the year ended December 31, 2021. The lower cash use was driven by $10 million in working capital improvement, offset by lower income after adjusting for non-cash items, primarily reflecting elevated transportation costs and increased SG&amp;A expenses to further expand our capabilities as a public company.</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68" w:lineRule="exact"/>
        <w:rPr>
          <w:sz w:val="20"/>
          <w:szCs w:val="20"/>
          <w:color w:val="auto"/>
        </w:rPr>
      </w:pPr>
    </w:p>
    <w:p>
      <w:pPr>
        <w:ind w:right="440" w:firstLine="433"/>
        <w:spacing w:after="0" w:line="265" w:lineRule="auto"/>
        <w:rPr>
          <w:sz w:val="20"/>
          <w:szCs w:val="20"/>
          <w:color w:val="auto"/>
        </w:rPr>
      </w:pPr>
      <w:r>
        <w:rPr>
          <w:rFonts w:ascii="Arial" w:cs="Arial" w:eastAsia="Arial" w:hAnsi="Arial"/>
          <w:sz w:val="14"/>
          <w:szCs w:val="14"/>
          <w:color w:val="auto"/>
        </w:rPr>
        <w:t>During the year ended December 31, 2022 as compared to the year ended December 31, 2021, cash used in investing activities increased $0.4 million, driven by increased cash paid for property and equipment.</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83"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 xml:space="preserve">During the year ended December 31, 2022 compared to the year ended December 31, 2021, net cash provided by financing activities was $29.8 million higher, primarily driven by the significant financing activities completed in 2021, including one-time share buyback of $50 million recorded in the year ended December 31, 2021 to repurchase 5,192,005 shares from RWVC S.a.r.l, a principal stockholder, partially offset by $18 million of cash proceeds from settlement of loan to a stockholder. For further discussion of the stock repurchase and the stockholder loan, see Note 14, </w:t>
      </w:r>
      <w:r>
        <w:rPr>
          <w:rFonts w:ascii="Arial" w:cs="Arial" w:eastAsia="Arial" w:hAnsi="Arial"/>
          <w:sz w:val="14"/>
          <w:szCs w:val="14"/>
          <w:i w:val="1"/>
          <w:iCs w:val="1"/>
          <w:color w:val="auto"/>
        </w:rPr>
        <w:t>Stockholder’s Equity</w:t>
      </w:r>
      <w:r>
        <w:rPr>
          <w:rFonts w:ascii="Arial" w:cs="Arial" w:eastAsia="Arial" w:hAnsi="Arial"/>
          <w:sz w:val="14"/>
          <w:szCs w:val="14"/>
          <w:color w:val="auto"/>
        </w:rPr>
        <w:t>, and Note 19,</w:t>
      </w:r>
      <w:r>
        <w:rPr>
          <w:rFonts w:ascii="Arial" w:cs="Arial" w:eastAsia="Arial" w:hAnsi="Arial"/>
          <w:sz w:val="14"/>
          <w:szCs w:val="14"/>
          <w:i w:val="1"/>
          <w:iCs w:val="1"/>
          <w:color w:val="auto"/>
        </w:rPr>
        <w:t xml:space="preserve"> Related-Party Transactions</w:t>
      </w:r>
      <w:r>
        <w:rPr>
          <w:rFonts w:ascii="Arial" w:cs="Arial" w:eastAsia="Arial" w:hAnsi="Arial"/>
          <w:sz w:val="14"/>
          <w:szCs w:val="14"/>
          <w:color w:val="auto"/>
        </w:rPr>
        <w:t>, respectively, in the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had an immaterial amount of outstanding debt as of December 31, 2022 and December 31, 2021 related to vehicle loans.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83" w:lineRule="exact"/>
        <w:rPr>
          <w:sz w:val="20"/>
          <w:szCs w:val="20"/>
          <w:color w:val="auto"/>
        </w:rPr>
      </w:pPr>
    </w:p>
    <w:p>
      <w:pPr>
        <w:ind w:firstLine="433"/>
        <w:spacing w:after="0" w:line="279" w:lineRule="auto"/>
        <w:rPr>
          <w:sz w:val="20"/>
          <w:szCs w:val="20"/>
          <w:color w:val="auto"/>
        </w:rPr>
      </w:pPr>
      <w:r>
        <w:rPr>
          <w:rFonts w:ascii="Arial" w:cs="Arial" w:eastAsia="Arial" w:hAnsi="Arial"/>
          <w:sz w:val="13"/>
          <w:szCs w:val="13"/>
          <w:color w:val="auto"/>
        </w:rPr>
        <w:t>In May 2020, we entered into the 2020 Credit Facility with Wells Fargo consisting of a revolving line of credit, which provided for committed borrowings of $50 million and a $10 million non-committed accordion feature. The 2020 Credit Facility was further amended in May 2021, October 2021 and December 2022, and currently provides for committed borrowings of $60 million. We may repay outstanding balances under the 2020 Credit Facility at any time without premium or penalty. Borrowings under the 2020 Credit Facility bear interest at a rate per annum equal to, at our option, either (a) 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to 0.20% on the unused amount of the line of credit, with the rate being based on the Company’s leverage ratio (as defined in the credit agreement). The maturity date on the 2020 Credit Facility is May 12, 2026.</w:t>
      </w:r>
    </w:p>
    <w:p>
      <w:pPr>
        <w:spacing w:after="0" w:line="53" w:lineRule="exact"/>
        <w:rPr>
          <w:sz w:val="20"/>
          <w:szCs w:val="20"/>
          <w:color w:val="auto"/>
        </w:rPr>
      </w:pPr>
    </w:p>
    <w:p>
      <w:pPr>
        <w:ind w:right="140" w:firstLine="433"/>
        <w:spacing w:after="0" w:line="262" w:lineRule="auto"/>
        <w:rPr>
          <w:sz w:val="20"/>
          <w:szCs w:val="20"/>
          <w:color w:val="auto"/>
        </w:rPr>
      </w:pPr>
      <w:r>
        <w:rPr>
          <w:rFonts w:ascii="Arial" w:cs="Arial" w:eastAsia="Arial" w:hAnsi="Arial"/>
          <w:sz w:val="14"/>
          <w:szCs w:val="14"/>
          <w:color w:val="auto"/>
        </w:rPr>
        <w:t>The effective interest rate as of December 31, 2022 was 2.53%. In December, 2022, the Company amended the 2020 Credit Facility to transition the interest rate from reference to LIBOR to SOFR. The borrowings made after the amendment bear interest at rates based on either 1) a fluctuating rate per annum determined to be the sum of Daily Simple SOFR plus the same spread discussed above or 2) a fixed rate per annum determined to be the sum of the Term SOFR plus the same spread discussed. The spread and the commitment fees did not change as a result of this amendment.</w:t>
      </w:r>
    </w:p>
    <w:p>
      <w:pPr>
        <w:spacing w:after="0" w:line="61" w:lineRule="exact"/>
        <w:rPr>
          <w:sz w:val="20"/>
          <w:szCs w:val="20"/>
          <w:color w:val="auto"/>
        </w:rPr>
      </w:pPr>
    </w:p>
    <w:p>
      <w:pPr>
        <w:ind w:right="200" w:firstLine="433"/>
        <w:spacing w:after="0" w:line="281" w:lineRule="auto"/>
        <w:rPr>
          <w:sz w:val="20"/>
          <w:szCs w:val="20"/>
          <w:color w:val="auto"/>
        </w:rPr>
      </w:pPr>
      <w:r>
        <w:rPr>
          <w:rFonts w:ascii="Arial" w:cs="Arial" w:eastAsia="Arial" w:hAnsi="Arial"/>
          <w:sz w:val="14"/>
          <w:szCs w:val="14"/>
          <w:color w:val="auto"/>
        </w:rPr>
        <w:t>The outstanding balance on the Revolving Facility was zero as of December 31, 2022 and December 31, 2021, respectively. As of December 31, 2022, we were compliant with all financial covenants.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 Facility</w:t>
      </w:r>
    </w:p>
    <w:p>
      <w:pPr>
        <w:spacing w:after="0" w:line="83" w:lineRule="exact"/>
        <w:rPr>
          <w:sz w:val="20"/>
          <w:szCs w:val="20"/>
          <w:color w:val="auto"/>
        </w:rPr>
      </w:pPr>
    </w:p>
    <w:p>
      <w:pPr>
        <w:ind w:firstLine="433"/>
        <w:spacing w:after="0" w:line="259" w:lineRule="auto"/>
        <w:rPr>
          <w:sz w:val="20"/>
          <w:szCs w:val="20"/>
          <w:color w:val="auto"/>
        </w:rPr>
      </w:pPr>
      <w:r>
        <w:rPr>
          <w:rFonts w:ascii="Arial" w:cs="Arial" w:eastAsia="Arial" w:hAnsi="Arial"/>
          <w:sz w:val="14"/>
          <w:szCs w:val="14"/>
          <w:color w:val="auto"/>
        </w:rPr>
        <w:t>In May 2021, we entered into a Term Commitment Note, or the Term Facility with Wells Fargo pursuant to the terms of the Credit Agreement entered into in connection with the 2020 Credit Facility. The Term Facility provided us with term loans of up to $30.0 million, or the Term Loans. Borrowings under the Term Facility bear interest at the same rate as the Revolving Facility. We were required to repay the principal on the Term Loans in quarterly installments, commencing</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on October 1, 2021, through maturity date of May 21, 2026. On October 27, 2021, the Company repaid the outstanding balance on the 2021 Term Loan using the net proceeds from the IPO.</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Vehicle Loans</w:t>
      </w:r>
    </w:p>
    <w:p>
      <w:pPr>
        <w:spacing w:after="0" w:line="94" w:lineRule="exact"/>
        <w:rPr>
          <w:sz w:val="20"/>
          <w:szCs w:val="20"/>
          <w:color w:val="auto"/>
        </w:rPr>
      </w:pPr>
    </w:p>
    <w:p>
      <w:pPr>
        <w:ind w:right="60" w:firstLine="433"/>
        <w:spacing w:after="0" w:line="265" w:lineRule="auto"/>
        <w:rPr>
          <w:sz w:val="20"/>
          <w:szCs w:val="20"/>
          <w:color w:val="auto"/>
        </w:rPr>
      </w:pPr>
      <w:r>
        <w:rPr>
          <w:rFonts w:ascii="Arial" w:cs="Arial" w:eastAsia="Arial" w:hAnsi="Arial"/>
          <w:sz w:val="14"/>
          <w:szCs w:val="14"/>
          <w:color w:val="auto"/>
        </w:rPr>
        <w:t>We periodically enter into vehicle loans. Interest rate on these vehicle loans range from 4.56% to 5.68%. The outstanding balance on the vehicle loans as of December 31, 2022 was less than $0.1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For additional information, see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to our consolidated financial statements included elsewhere in this Annual Report on Form 10-K.</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w:t>
      </w:r>
    </w:p>
    <w:p>
      <w:pPr>
        <w:spacing w:after="0" w:line="172" w:lineRule="exact"/>
        <w:rPr>
          <w:sz w:val="20"/>
          <w:szCs w:val="20"/>
          <w:color w:val="auto"/>
        </w:rPr>
      </w:pPr>
    </w:p>
    <w:p>
      <w:pPr>
        <w:ind w:right="260" w:firstLine="433"/>
        <w:spacing w:after="0" w:line="259"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72" w:lineRule="exact"/>
        <w:rPr>
          <w:sz w:val="20"/>
          <w:szCs w:val="20"/>
          <w:color w:val="auto"/>
        </w:rPr>
      </w:pPr>
    </w:p>
    <w:p>
      <w:pPr>
        <w:ind w:right="260" w:firstLine="509"/>
        <w:spacing w:after="0" w:line="321" w:lineRule="auto"/>
        <w:rPr>
          <w:sz w:val="20"/>
          <w:szCs w:val="20"/>
          <w:color w:val="auto"/>
        </w:rPr>
      </w:pPr>
      <w:r>
        <w:rPr>
          <w:rFonts w:ascii="Arial" w:cs="Arial" w:eastAsia="Arial" w:hAnsi="Arial"/>
          <w:sz w:val="13"/>
          <w:szCs w:val="13"/>
          <w:color w:val="auto"/>
        </w:rPr>
        <w:t>We have contractual obligations to repay indebtedness and required interest payments and unused commitment fees under our Revolving Facility and vehicle loans. As of December 31, 2022, we had no outstanding balance on the Revolving Facility. Any future outstanding balances on the Revolving Facility will be required to be repaid by May 2026.</w:t>
      </w:r>
    </w:p>
    <w:p>
      <w:pPr>
        <w:spacing w:after="0" w:line="99" w:lineRule="exact"/>
        <w:rPr>
          <w:sz w:val="20"/>
          <w:szCs w:val="20"/>
          <w:color w:val="auto"/>
        </w:rPr>
      </w:pPr>
    </w:p>
    <w:p>
      <w:pPr>
        <w:ind w:right="520" w:firstLine="509"/>
        <w:spacing w:after="0" w:line="265" w:lineRule="auto"/>
        <w:rPr>
          <w:sz w:val="20"/>
          <w:szCs w:val="20"/>
          <w:color w:val="auto"/>
        </w:rPr>
      </w:pPr>
      <w:r>
        <w:rPr>
          <w:rFonts w:ascii="Arial" w:cs="Arial" w:eastAsia="Arial" w:hAnsi="Arial"/>
          <w:sz w:val="14"/>
          <w:szCs w:val="14"/>
          <w:color w:val="auto"/>
        </w:rPr>
        <w:t>We lease certain assets under noncancelable operating leases, which expire through 2025. The leases relate primarily to office space in addition to machinery and equipment. Future minimum commitments under these leases are $2.8 million as of December 31, 2022.</w:t>
      </w:r>
    </w:p>
    <w:p>
      <w:pPr>
        <w:spacing w:after="0" w:line="143"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 xml:space="preserve">In connection with our business acquisitions of </w:t>
      </w:r>
      <w:r>
        <w:rPr>
          <w:rFonts w:ascii="Arial" w:cs="Arial" w:eastAsia="Arial" w:hAnsi="Arial"/>
          <w:sz w:val="14"/>
          <w:szCs w:val="14"/>
          <w:i w:val="1"/>
          <w:iCs w:val="1"/>
          <w:color w:val="auto"/>
        </w:rPr>
        <w:t>Runa</w:t>
      </w:r>
      <w:r>
        <w:rPr>
          <w:rFonts w:ascii="Arial" w:cs="Arial" w:eastAsia="Arial" w:hAnsi="Arial"/>
          <w:sz w:val="14"/>
          <w:szCs w:val="14"/>
          <w:color w:val="auto"/>
        </w:rPr>
        <w:t xml:space="preserve"> in 2018, we entered into contingent consideration arrangements, which would require future cash outflows related to milestone payments based on revenue performance. Under the terms of the arrangement, we are obligated to pay the former shareholders up to $51.5 million if certain revenue thresholds are met during the period from December 31, 2021 through December 31, 2022. As of December 31, 2022 and 2021, we have recognized a liability of $0 related to the revenue performance contingent consideration as the required milestones were not achieved. The term of the remeasurement period under the agreement ended in December 2022.</w:t>
      </w:r>
    </w:p>
    <w:p>
      <w:pPr>
        <w:spacing w:after="0" w:line="154" w:lineRule="exact"/>
        <w:rPr>
          <w:sz w:val="20"/>
          <w:szCs w:val="20"/>
          <w:color w:val="auto"/>
        </w:rPr>
      </w:pPr>
    </w:p>
    <w:p>
      <w:pPr>
        <w:ind w:firstLine="433"/>
        <w:spacing w:after="0" w:line="271" w:lineRule="auto"/>
        <w:rPr>
          <w:sz w:val="20"/>
          <w:szCs w:val="20"/>
          <w:color w:val="auto"/>
        </w:rPr>
      </w:pPr>
      <w:r>
        <w:rPr>
          <w:rFonts w:ascii="Arial" w:cs="Arial" w:eastAsia="Arial" w:hAnsi="Arial"/>
          <w:sz w:val="13"/>
          <w:szCs w:val="13"/>
          <w:color w:val="auto"/>
        </w:rPr>
        <w:t>As of December 31, 2022, we also have inventory purchase commitments, which include any raw material or packaging commitments with our suppliers to secure our needs for future orders, which are generally due to be paid within one year. We also have production purchase commitments from our manufacturers based on our production plans, forecasts and contracts, that might result in costs if we were to reduce our purchases significantly in 2023 or for some relationships, in future years. We have other contractual payments related to information technology service agreements, sponsorship and marketing agreements, and minimum contractual third-party warehouse commitments, which are not individually material.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72" w:lineRule="exact"/>
        <w:rPr>
          <w:sz w:val="20"/>
          <w:szCs w:val="20"/>
          <w:color w:val="auto"/>
        </w:rPr>
      </w:pPr>
    </w:p>
    <w:p>
      <w:pPr>
        <w:ind w:right="60" w:firstLine="433"/>
        <w:spacing w:after="0" w:line="248" w:lineRule="auto"/>
        <w:rPr>
          <w:sz w:val="20"/>
          <w:szCs w:val="20"/>
          <w:color w:val="auto"/>
        </w:rPr>
      </w:pPr>
      <w:r>
        <w:rPr>
          <w:rFonts w:ascii="Arial" w:cs="Arial" w:eastAsia="Arial" w:hAnsi="Arial"/>
          <w:sz w:val="14"/>
          <w:szCs w:val="14"/>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55"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color w:val="auto"/>
        </w:rPr>
        <w:t>While our significant accounting policies are described in more detail in Note 2 to our consolidated financial statements appearing within this Annual Report on Form 10-K, we believe that the following accounting policies are those most critical to the judgments and estimates used in the preparation of our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8" w:right="37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jc w:val="both"/>
        <w:ind w:right="40" w:firstLine="433"/>
        <w:spacing w:after="0" w:line="294" w:lineRule="auto"/>
        <w:rPr>
          <w:sz w:val="20"/>
          <w:szCs w:val="20"/>
          <w:color w:val="auto"/>
        </w:rPr>
      </w:pPr>
      <w:r>
        <w:rPr>
          <w:rFonts w:ascii="Arial" w:cs="Arial" w:eastAsia="Arial" w:hAnsi="Arial"/>
          <w:sz w:val="12"/>
          <w:szCs w:val="12"/>
          <w:color w:val="auto"/>
        </w:rPr>
        <w:t xml:space="preserve">The Company recognizes revenue in accordance with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ASC 606 defines a five-step model that requires entities exercise judgment when considering the terms of contract(s), which include (1) identifying the contract or agreement with a customer, (2) identifying the performance obligations in the contract or agreement,</w:t>
      </w:r>
    </w:p>
    <w:p>
      <w:pPr>
        <w:spacing w:after="0" w:line="1" w:lineRule="exact"/>
        <w:rPr>
          <w:sz w:val="20"/>
          <w:szCs w:val="20"/>
          <w:color w:val="auto"/>
        </w:rPr>
      </w:pPr>
    </w:p>
    <w:p>
      <w:pPr>
        <w:ind w:right="140" w:firstLine="5"/>
        <w:spacing w:after="0" w:line="243" w:lineRule="auto"/>
        <w:tabs>
          <w:tab w:leader="none" w:pos="2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w:t>
      </w:r>
    </w:p>
    <w:p>
      <w:pPr>
        <w:spacing w:after="0" w:line="159" w:lineRule="exact"/>
        <w:rPr>
          <w:sz w:val="20"/>
          <w:szCs w:val="20"/>
          <w:color w:val="auto"/>
        </w:rPr>
      </w:pPr>
    </w:p>
    <w:p>
      <w:pPr>
        <w:ind w:right="60" w:firstLine="433"/>
        <w:spacing w:after="0" w:line="272" w:lineRule="auto"/>
        <w:rPr>
          <w:sz w:val="20"/>
          <w:szCs w:val="20"/>
          <w:color w:val="auto"/>
        </w:rPr>
      </w:pPr>
      <w:r>
        <w:rPr>
          <w:rFonts w:ascii="Arial" w:cs="Arial" w:eastAsia="Arial" w:hAnsi="Arial"/>
          <w:sz w:val="13"/>
          <w:szCs w:val="13"/>
          <w:color w:val="auto"/>
        </w:rPr>
        <w:t xml:space="preserve">For our various products in the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Water and Other product categories,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29" w:lineRule="exact"/>
        <w:rPr>
          <w:sz w:val="20"/>
          <w:szCs w:val="20"/>
          <w:color w:val="auto"/>
        </w:rPr>
      </w:pPr>
    </w:p>
    <w:p>
      <w:pPr>
        <w:jc w:val="both"/>
        <w:ind w:right="420" w:firstLine="433"/>
        <w:spacing w:after="0" w:line="288" w:lineRule="auto"/>
        <w:rPr>
          <w:sz w:val="20"/>
          <w:szCs w:val="20"/>
          <w:color w:val="auto"/>
        </w:rPr>
      </w:pPr>
      <w:r>
        <w:rPr>
          <w:rFonts w:ascii="Arial" w:cs="Arial" w:eastAsia="Arial" w:hAnsi="Arial"/>
          <w:sz w:val="13"/>
          <w:szCs w:val="13"/>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20"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The Company provides trade promotions to its customers. These discounts do not meet the criteria for a distinct good or service and therefore, the Company reduces revenue for the discounts associated with meeting this obligation based on the expected value method. These consolidated financial statements include trade promotion accruals. Trade promotion accruals are made for invoices that have not yet been received as of year-end and are recorded as a reduction of sales. This promotion accrual is a management estimate based upon the known price of retail promotions and estimates of the sales volume during the promotion period.</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3" w:lineRule="exact"/>
        <w:rPr>
          <w:sz w:val="20"/>
          <w:szCs w:val="20"/>
          <w:color w:val="auto"/>
        </w:rPr>
      </w:pPr>
    </w:p>
    <w:p>
      <w:pPr>
        <w:ind w:right="220" w:firstLine="433"/>
        <w:spacing w:after="0" w:line="265" w:lineRule="auto"/>
        <w:rPr>
          <w:sz w:val="20"/>
          <w:szCs w:val="20"/>
          <w:color w:val="auto"/>
        </w:rPr>
      </w:pPr>
      <w:r>
        <w:rPr>
          <w:rFonts w:ascii="Arial" w:cs="Arial" w:eastAsia="Arial" w:hAnsi="Arial"/>
          <w:sz w:val="14"/>
          <w:szCs w:val="14"/>
          <w:color w:val="auto"/>
        </w:rPr>
        <w:t xml:space="preserve">The Company accounts for stock-based compensation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for stock options issued under the 2014 Stock Option and Restricted Stock Plan and the 2021 Stock Incentive Award Plan..</w:t>
      </w:r>
    </w:p>
    <w:p>
      <w:pPr>
        <w:spacing w:after="0" w:line="143" w:lineRule="exact"/>
        <w:rPr>
          <w:sz w:val="20"/>
          <w:szCs w:val="20"/>
          <w:color w:val="auto"/>
        </w:rPr>
      </w:pPr>
    </w:p>
    <w:p>
      <w:pPr>
        <w:ind w:right="100" w:firstLine="433"/>
        <w:spacing w:after="0" w:line="295" w:lineRule="auto"/>
        <w:rPr>
          <w:sz w:val="20"/>
          <w:szCs w:val="20"/>
          <w:color w:val="auto"/>
        </w:rPr>
      </w:pPr>
      <w:r>
        <w:rPr>
          <w:rFonts w:ascii="Arial" w:cs="Arial" w:eastAsia="Arial" w:hAnsi="Arial"/>
          <w:sz w:val="12"/>
          <w:szCs w:val="12"/>
          <w:color w:val="auto"/>
        </w:rPr>
        <w:t>The Company measures all awards based on their fair value on the date of the grant and recognizes compensation expense for those awards over the requisite service period of each stock award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 The Company defers the recognition of compensation expense for the stock awards that vest upon a qualifying liquidity events until the qualifying events are probable of occurrence. Stock awards are equity-classified, as they do not contain a cash settlement option or other features requiring them to be liability-classified.</w:t>
      </w:r>
    </w:p>
    <w:p>
      <w:pPr>
        <w:spacing w:after="0" w:line="128" w:lineRule="exact"/>
        <w:rPr>
          <w:sz w:val="20"/>
          <w:szCs w:val="20"/>
          <w:color w:val="auto"/>
        </w:rPr>
      </w:pPr>
    </w:p>
    <w:p>
      <w:pPr>
        <w:ind w:right="280" w:firstLine="433"/>
        <w:spacing w:after="0" w:line="349" w:lineRule="auto"/>
        <w:rPr>
          <w:sz w:val="20"/>
          <w:szCs w:val="20"/>
          <w:color w:val="auto"/>
        </w:rPr>
      </w:pPr>
      <w:r>
        <w:rPr>
          <w:rFonts w:ascii="Arial" w:cs="Arial" w:eastAsia="Arial" w:hAnsi="Arial"/>
          <w:sz w:val="12"/>
          <w:szCs w:val="12"/>
          <w:color w:val="auto"/>
        </w:rPr>
        <w:t>The Company uses the Black-Scholes-Merton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87"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 xml:space="preserve">The Company has classified most of its stock-based compensation expense in its consolidated statements of operations in SG&amp;A expenses, reflecting the same manner in which the award recipient’s payroll costs are classified or in which the award recipient’s service payments are classified. There are restricted stock units previously granted to entities affiliated with a major customer, which were recognized as a stock-based sales incentive based on guidance in ASC 606 and reflected as a reduction in the transaction price revenue. See Note 14, </w:t>
      </w:r>
      <w:r>
        <w:rPr>
          <w:rFonts w:ascii="Arial" w:cs="Arial" w:eastAsia="Arial" w:hAnsi="Arial"/>
          <w:sz w:val="14"/>
          <w:szCs w:val="14"/>
          <w:i w:val="1"/>
          <w:iCs w:val="1"/>
          <w:color w:val="auto"/>
        </w:rPr>
        <w:t>Stockholders’ Equity</w:t>
      </w:r>
      <w:r>
        <w:rPr>
          <w:rFonts w:ascii="Arial" w:cs="Arial" w:eastAsia="Arial" w:hAnsi="Arial"/>
          <w:sz w:val="14"/>
          <w:szCs w:val="14"/>
          <w:color w:val="auto"/>
        </w:rPr>
        <w:t>, to our consolidated financial statements appearing elsewhere in this Annual Report on Form 10-K.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433"/>
        <w:spacing w:after="0" w:line="288" w:lineRule="auto"/>
        <w:rPr>
          <w:sz w:val="20"/>
          <w:szCs w:val="20"/>
          <w:color w:val="auto"/>
        </w:rPr>
      </w:pPr>
      <w:r>
        <w:rPr>
          <w:rFonts w:ascii="Arial" w:cs="Arial" w:eastAsia="Arial" w:hAnsi="Arial"/>
          <w:sz w:val="13"/>
          <w:szCs w:val="13"/>
          <w:color w:val="auto"/>
        </w:rPr>
        <w:t>The fair value of each stock option is estimated on the grant date using the Black-Scholes option-pricing model or the Barrier option valuation model, which uses multiple assumptions and judgments. The subjective assumptions and the application of judgment in determining the fair value of the awards represent management’s best estimates. If factors change and different assumptions are used, our equity compensation expense could be materially different in the future. The most significant assumptions and judgments are as follows:</w:t>
      </w:r>
    </w:p>
    <w:p>
      <w:pPr>
        <w:spacing w:after="0" w:line="35" w:lineRule="exact"/>
        <w:rPr>
          <w:sz w:val="20"/>
          <w:szCs w:val="20"/>
          <w:color w:val="auto"/>
        </w:rPr>
      </w:pPr>
    </w:p>
    <w:p>
      <w:pPr>
        <w:ind w:left="640" w:hanging="19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Fair value of common stock.</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 exercise price—Approximated fair value of common stock.</w:t>
      </w:r>
    </w:p>
    <w:p>
      <w:pPr>
        <w:spacing w:after="0" w:line="93" w:lineRule="exact"/>
        <w:rPr>
          <w:rFonts w:ascii="Arial" w:cs="Arial" w:eastAsia="Arial" w:hAnsi="Arial"/>
          <w:sz w:val="14"/>
          <w:szCs w:val="14"/>
          <w:color w:val="auto"/>
        </w:rPr>
      </w:pPr>
    </w:p>
    <w:p>
      <w:pPr>
        <w:ind w:left="640" w:hanging="190"/>
        <w:spacing w:after="0" w:line="307" w:lineRule="auto"/>
        <w:tabs>
          <w:tab w:leader="none" w:pos="636"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Expected volatility—We determine the expected price volatility based on the historical volatilities of our peer group, as we do not have a trading history for our shares. Industry peers consist of several public companies in the soft drinks industries similar to us in size, stage of life cycle and financial leverage. We intend to continue to consistently apply this process using the same or similar public companies until a sufficient amount of historical information regarding the volatility of our own stock price becomes available, or unless circumstances change such that the identified companies are no longer similar to us, in which case, more suitable companies whose share prices are publicly available would be utilize in the calculation.</w:t>
      </w:r>
    </w:p>
    <w:p>
      <w:pPr>
        <w:spacing w:after="0" w:line="26" w:lineRule="exact"/>
        <w:rPr>
          <w:rFonts w:ascii="Arial" w:cs="Arial" w:eastAsia="Arial" w:hAnsi="Arial"/>
          <w:sz w:val="12"/>
          <w:szCs w:val="12"/>
          <w:color w:val="auto"/>
        </w:rPr>
      </w:pPr>
    </w:p>
    <w:p>
      <w:pPr>
        <w:ind w:left="640" w:right="280" w:hanging="190"/>
        <w:spacing w:after="0" w:line="322" w:lineRule="auto"/>
        <w:tabs>
          <w:tab w:leader="none" w:pos="636"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Expected term—The expected term represents the period that the stock-based awards are expected to be outstanding based on the service or performance conditions specified for the awards. We account for the expected life of the options with service conditions in accordance with the “simplified” method as defined in ASC 718, which enables the use of a practical expedient for “plain vanilla” share options. The expected term using the simplified method is calculated using the midpoint between the vesting date and the contractual term.</w:t>
      </w:r>
    </w:p>
    <w:p>
      <w:pPr>
        <w:spacing w:after="0" w:line="17" w:lineRule="exact"/>
        <w:rPr>
          <w:rFonts w:ascii="Arial" w:cs="Arial" w:eastAsia="Arial" w:hAnsi="Arial"/>
          <w:sz w:val="12"/>
          <w:szCs w:val="12"/>
          <w:color w:val="auto"/>
        </w:rPr>
      </w:pPr>
    </w:p>
    <w:p>
      <w:pPr>
        <w:ind w:left="640" w:hanging="190"/>
        <w:spacing w:after="0"/>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Risk-free interest rate—We based the risk-free rate on U.S. Treasury yield curve in effect at the time of the grant of the award for a term corresponding to the duration of the options.</w:t>
      </w:r>
    </w:p>
    <w:p>
      <w:pPr>
        <w:spacing w:after="0" w:line="94" w:lineRule="exact"/>
        <w:rPr>
          <w:rFonts w:ascii="Arial" w:cs="Arial" w:eastAsia="Arial" w:hAnsi="Arial"/>
          <w:sz w:val="13"/>
          <w:szCs w:val="13"/>
          <w:color w:val="auto"/>
        </w:rPr>
      </w:pPr>
    </w:p>
    <w:p>
      <w:pPr>
        <w:ind w:left="640" w:hanging="19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Dividend yield—We used a dividend rate of zero as we do not anticipate paying dividends in the foreseeable future.</w:t>
      </w:r>
    </w:p>
    <w:p>
      <w:pPr>
        <w:spacing w:after="0" w:line="179" w:lineRule="exact"/>
        <w:rPr>
          <w:sz w:val="20"/>
          <w:szCs w:val="20"/>
          <w:color w:val="auto"/>
        </w:rPr>
      </w:pPr>
    </w:p>
    <w:p>
      <w:pPr>
        <w:ind w:right="120" w:firstLine="433"/>
        <w:spacing w:after="0" w:line="251" w:lineRule="auto"/>
        <w:rPr>
          <w:sz w:val="20"/>
          <w:szCs w:val="20"/>
          <w:color w:val="auto"/>
        </w:rPr>
      </w:pPr>
      <w:r>
        <w:rPr>
          <w:rFonts w:ascii="Arial" w:cs="Arial" w:eastAsia="Arial" w:hAnsi="Arial"/>
          <w:sz w:val="14"/>
          <w:szCs w:val="14"/>
          <w:i w:val="1"/>
          <w:iCs w:val="1"/>
          <w:color w:val="auto"/>
        </w:rPr>
        <w:t xml:space="preserve">Determination of fair value of common stock – </w:t>
      </w:r>
      <w:r>
        <w:rPr>
          <w:rFonts w:ascii="Arial" w:cs="Arial" w:eastAsia="Arial" w:hAnsi="Arial"/>
          <w:sz w:val="14"/>
          <w:szCs w:val="14"/>
          <w:color w:val="auto"/>
        </w:rPr>
        <w:t>The calculation of the fair value of awards also requires an estimate of our equity value. After the IPO, the fair value of common stock is</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based on the quoted market closing price of our common stock. For stock awards granted subsequent to the IPO, the fair value of the common stock assumed for the grant date fair value of the awards will be based on the closing price of our common stock as reported on the day of grant.</w:t>
      </w:r>
    </w:p>
    <w:p>
      <w:pPr>
        <w:spacing w:after="0" w:line="153" w:lineRule="exact"/>
        <w:rPr>
          <w:sz w:val="20"/>
          <w:szCs w:val="20"/>
          <w:color w:val="auto"/>
        </w:rPr>
      </w:pPr>
    </w:p>
    <w:p>
      <w:pPr>
        <w:ind w:right="260" w:firstLine="433"/>
        <w:spacing w:after="0" w:line="248" w:lineRule="auto"/>
        <w:rPr>
          <w:sz w:val="20"/>
          <w:szCs w:val="20"/>
          <w:color w:val="auto"/>
        </w:rPr>
      </w:pPr>
      <w:r>
        <w:rPr>
          <w:rFonts w:ascii="Arial" w:cs="Arial" w:eastAsia="Arial" w:hAnsi="Arial"/>
          <w:sz w:val="14"/>
          <w:szCs w:val="14"/>
          <w:color w:val="auto"/>
        </w:rPr>
        <w:t xml:space="preserve">Prior to the IPO, as there was no public market for our common stock, the estimated fair value of our common stock was determined by our board of directors as of the date of each option grant, with input from management and valuations by a third-party specialist. The board considered the most recently available third-party valuations of common stock and an assessment of additional objective and subjective factors that it believed were relevant and which may have changed from the date of the most recent valuation through the date of the grant. These third-party valuations are performed in accordance with guidance outlined in the Americas Institute of Certified Public Accountants’ Accounting and Valuation Guide, </w:t>
      </w:r>
      <w:r>
        <w:rPr>
          <w:rFonts w:ascii="Arial" w:cs="Arial" w:eastAsia="Arial" w:hAnsi="Arial"/>
          <w:sz w:val="14"/>
          <w:szCs w:val="14"/>
          <w:i w:val="1"/>
          <w:iCs w:val="1"/>
          <w:color w:val="auto"/>
        </w:rPr>
        <w:t>Valuation of Privately-Held-Company</w:t>
      </w:r>
      <w:r>
        <w:rPr>
          <w:rFonts w:ascii="Arial" w:cs="Arial" w:eastAsia="Arial" w:hAnsi="Arial"/>
          <w:sz w:val="14"/>
          <w:szCs w:val="14"/>
          <w:color w:val="auto"/>
        </w:rPr>
        <w:t xml:space="preserve"> </w:t>
      </w:r>
      <w:r>
        <w:rPr>
          <w:rFonts w:ascii="Arial" w:cs="Arial" w:eastAsia="Arial" w:hAnsi="Arial"/>
          <w:sz w:val="14"/>
          <w:szCs w:val="14"/>
          <w:i w:val="1"/>
          <w:iCs w:val="1"/>
          <w:color w:val="auto"/>
        </w:rPr>
        <w:t>Equity Securities Issued as Compensation.</w:t>
      </w:r>
    </w:p>
    <w:p>
      <w:pPr>
        <w:spacing w:after="0" w:line="144" w:lineRule="exact"/>
        <w:rPr>
          <w:sz w:val="20"/>
          <w:szCs w:val="20"/>
          <w:color w:val="auto"/>
        </w:rPr>
      </w:pPr>
    </w:p>
    <w:p>
      <w:pPr>
        <w:ind w:right="100" w:firstLine="433"/>
        <w:spacing w:after="0" w:line="247" w:lineRule="auto"/>
        <w:rPr>
          <w:sz w:val="20"/>
          <w:szCs w:val="20"/>
          <w:color w:val="auto"/>
        </w:rPr>
      </w:pPr>
      <w:r>
        <w:rPr>
          <w:rFonts w:ascii="Arial" w:cs="Arial" w:eastAsia="Arial" w:hAnsi="Arial"/>
          <w:sz w:val="14"/>
          <w:szCs w:val="14"/>
          <w:color w:val="auto"/>
        </w:rPr>
        <w:t>Our third-party common stock valuations were prepared using a probability weighted-expected return method, or PWERM. Under this method, discrete future outcomes, such as an IPO, and non-IPO scenario were weighted based on our estimate of the probability of each scenario. In determining the equity value under each scenario, the IPO scenario utilized the market approach while the non-IPO scenario utilized a combination of the income approach and market approach. In leveraging the income approach, we estimated the equity value based on the expectation of future cash flows that the Company will generate. These future cash flows, and an assumed terminal value, were discounted to their present values using a discount rate that reflects the risks inherent in the cash flows. In leveraging the market approach, the third-party common stock valuations reviewed the trading multiples of guideline publicly traded companies, the transactions multiples of guideline comparable company transactions, and also gave consideration to our precedent transactions. Given our simple capital structure, after subtracting net debt, the residual equity value as of the various date was allocated to the common stock.</w:t>
      </w:r>
    </w:p>
    <w:p>
      <w:pPr>
        <w:spacing w:after="0" w:line="156" w:lineRule="exact"/>
        <w:rPr>
          <w:sz w:val="20"/>
          <w:szCs w:val="20"/>
          <w:color w:val="auto"/>
        </w:rPr>
      </w:pPr>
    </w:p>
    <w:p>
      <w:pPr>
        <w:ind w:right="40" w:firstLine="433"/>
        <w:spacing w:after="0" w:line="265" w:lineRule="auto"/>
        <w:rPr>
          <w:sz w:val="20"/>
          <w:szCs w:val="20"/>
          <w:color w:val="auto"/>
        </w:rPr>
      </w:pPr>
      <w:r>
        <w:rPr>
          <w:rFonts w:ascii="Arial" w:cs="Arial" w:eastAsia="Arial" w:hAnsi="Arial"/>
          <w:sz w:val="14"/>
          <w:szCs w:val="14"/>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48" w:lineRule="exact"/>
        <w:rPr>
          <w:sz w:val="20"/>
          <w:szCs w:val="20"/>
          <w:color w:val="auto"/>
        </w:rPr>
      </w:pPr>
    </w:p>
    <w:p>
      <w:pPr>
        <w:ind w:left="640" w:hanging="19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and history of our business;</w:t>
      </w:r>
    </w:p>
    <w:p>
      <w:pPr>
        <w:spacing w:after="0" w:line="93" w:lineRule="exact"/>
        <w:rPr>
          <w:rFonts w:ascii="Arial" w:cs="Arial" w:eastAsia="Arial" w:hAnsi="Arial"/>
          <w:sz w:val="14"/>
          <w:szCs w:val="14"/>
          <w:color w:val="auto"/>
        </w:rPr>
      </w:pPr>
    </w:p>
    <w:p>
      <w:pPr>
        <w:ind w:left="640" w:hanging="19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stage of development and commercialization and our business strategy;</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external market conditions affecting our industry and the global soft drinks and consumer products industry;</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market value of companies that are engaged in a similar business to ours;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2" w:lineRule="exact"/>
        <w:rPr>
          <w:sz w:val="20"/>
          <w:szCs w:val="20"/>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financial positions, including cash on hand, and our historical and forecasted performance and operating results;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lack of an active public market for our common stock;</w:t>
      </w:r>
    </w:p>
    <w:p>
      <w:pPr>
        <w:spacing w:after="0" w:line="9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likelihood of achieving a liquidity event, such as an initial public offering, or IPO, or sale of our company in light of prevailing market conditions;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analysis of IPOs and the market performance of similar companies in our industry;</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overall inherent risks associated with our business at the time awards were approved; and</w:t>
      </w:r>
    </w:p>
    <w:p>
      <w:pPr>
        <w:spacing w:after="0" w:line="9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overall equity market conditions and general economic trends.</w:t>
      </w:r>
    </w:p>
    <w:p>
      <w:pPr>
        <w:spacing w:after="0" w:line="168" w:lineRule="exact"/>
        <w:rPr>
          <w:sz w:val="20"/>
          <w:szCs w:val="20"/>
          <w:color w:val="auto"/>
        </w:rPr>
      </w:pPr>
    </w:p>
    <w:p>
      <w:pPr>
        <w:ind w:right="200" w:firstLine="433"/>
        <w:spacing w:after="0" w:line="304" w:lineRule="auto"/>
        <w:rPr>
          <w:sz w:val="20"/>
          <w:szCs w:val="20"/>
          <w:color w:val="auto"/>
        </w:rPr>
      </w:pPr>
      <w:r>
        <w:rPr>
          <w:rFonts w:ascii="Arial" w:cs="Arial" w:eastAsia="Arial" w:hAnsi="Arial"/>
          <w:sz w:val="13"/>
          <w:szCs w:val="13"/>
          <w:color w:val="auto"/>
        </w:rPr>
        <w:t>The assumptions underlying these valuations represent management’s best estimates, which involve inherent uncertainties and the application of management’s judgment. As a result, if we had used significantly different assumptions or estimates, the fair value of our common stock and our stock-based compensation could have been materially different.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3" w:lineRule="exact"/>
        <w:rPr>
          <w:sz w:val="20"/>
          <w:szCs w:val="20"/>
          <w:color w:val="auto"/>
        </w:rPr>
      </w:pPr>
    </w:p>
    <w:p>
      <w:pPr>
        <w:ind w:right="40" w:firstLine="433"/>
        <w:spacing w:after="0" w:line="269" w:lineRule="auto"/>
        <w:rPr>
          <w:sz w:val="20"/>
          <w:szCs w:val="20"/>
          <w:color w:val="auto"/>
        </w:rPr>
      </w:pPr>
      <w:r>
        <w:rPr>
          <w:rFonts w:ascii="Arial" w:cs="Arial" w:eastAsia="Arial" w:hAnsi="Arial"/>
          <w:sz w:val="13"/>
          <w:szCs w:val="13"/>
          <w:color w:val="auto"/>
        </w:rPr>
        <w:t xml:space="preserve">The Company accounts for income taxes under Accounting Standards Codification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32" w:lineRule="exact"/>
        <w:rPr>
          <w:sz w:val="20"/>
          <w:szCs w:val="20"/>
          <w:color w:val="auto"/>
        </w:rPr>
      </w:pPr>
    </w:p>
    <w:p>
      <w:pPr>
        <w:ind w:right="500" w:firstLine="433"/>
        <w:spacing w:after="0" w:line="321" w:lineRule="auto"/>
        <w:rPr>
          <w:sz w:val="20"/>
          <w:szCs w:val="20"/>
          <w:color w:val="auto"/>
        </w:rPr>
      </w:pPr>
      <w:r>
        <w:rPr>
          <w:rFonts w:ascii="Arial" w:cs="Arial" w:eastAsia="Arial" w:hAnsi="Arial"/>
          <w:sz w:val="13"/>
          <w:szCs w:val="13"/>
          <w:color w:val="auto"/>
        </w:rPr>
        <w:t>We must make assumptions and judgments to estimate the amount of valuation allowances to be recorded against our deferred tax assets, which take into account current tax laws and estimates of the amount of future taxable income, if any. Changes to any of the assumptions or judgments could cause our actual income tax obligations to differ from our estimates.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83" w:lineRule="exact"/>
        <w:rPr>
          <w:sz w:val="20"/>
          <w:szCs w:val="20"/>
          <w:color w:val="auto"/>
        </w:rPr>
      </w:pPr>
    </w:p>
    <w:p>
      <w:pPr>
        <w:ind w:firstLine="433"/>
        <w:spacing w:after="0" w:line="247" w:lineRule="auto"/>
        <w:rPr>
          <w:sz w:val="20"/>
          <w:szCs w:val="20"/>
          <w:color w:val="auto"/>
        </w:rPr>
      </w:pPr>
      <w:r>
        <w:rPr>
          <w:rFonts w:ascii="Arial" w:cs="Arial" w:eastAsia="Arial" w:hAnsi="Arial"/>
          <w:sz w:val="14"/>
          <w:szCs w:val="14"/>
          <w:color w:val="auto"/>
        </w:rPr>
        <w:t>Intangible assets consist primarily of acquired trade names and distributor relationships. The Company determines the appropriate useful life of our intangible assets by performing an analysis of expected cash flows of the acquired assets. Intangible assets are amortized over their estimated useful lives of ten years, using the straight-line method, which approximates the pattern in which the economic benefits are consumed. The Company’s intangible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 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 from royalty method. The fair value of the distributor relationships is determined through an income approach using the excess earnings method.</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83" w:lineRule="exact"/>
        <w:rPr>
          <w:sz w:val="20"/>
          <w:szCs w:val="20"/>
          <w:color w:val="auto"/>
        </w:rPr>
      </w:pPr>
    </w:p>
    <w:p>
      <w:pPr>
        <w:ind w:right="40" w:firstLine="433"/>
        <w:spacing w:after="0" w:line="259" w:lineRule="auto"/>
        <w:rPr>
          <w:sz w:val="20"/>
          <w:szCs w:val="20"/>
          <w:color w:val="auto"/>
        </w:rPr>
      </w:pPr>
      <w:r>
        <w:rPr>
          <w:rFonts w:ascii="Arial" w:cs="Arial" w:eastAsia="Arial" w:hAnsi="Arial"/>
          <w:sz w:val="14"/>
          <w:szCs w:val="14"/>
          <w:color w:val="auto"/>
        </w:rPr>
        <w:t xml:space="preserve">Goodwill represents the excess of the purchase price paid in excess of the fair value of net tangible and intangible assets acquired in a business combination and is measured in accordance with the provisions of ASC 350, </w:t>
      </w:r>
      <w:r>
        <w:rPr>
          <w:rFonts w:ascii="Arial" w:cs="Arial" w:eastAsia="Arial" w:hAnsi="Arial"/>
          <w:sz w:val="14"/>
          <w:szCs w:val="14"/>
          <w:i w:val="1"/>
          <w:iCs w:val="1"/>
          <w:color w:val="auto"/>
        </w:rPr>
        <w:t>Intangibles—Goodwill and Other</w:t>
      </w:r>
      <w:r>
        <w:rPr>
          <w:rFonts w:ascii="Arial" w:cs="Arial" w:eastAsia="Arial" w:hAnsi="Arial"/>
          <w:sz w:val="14"/>
          <w:szCs w:val="14"/>
          <w:color w:val="auto"/>
        </w:rPr>
        <w:t>. Goodwill is not amortized; instead goodwill is tested for impairment on an annual basis on December 31, or more frequently if the Company believes indicators of impairment exist.</w:t>
      </w:r>
    </w:p>
    <w:p>
      <w:pPr>
        <w:spacing w:after="0" w:line="137" w:lineRule="exact"/>
        <w:rPr>
          <w:sz w:val="20"/>
          <w:szCs w:val="20"/>
          <w:color w:val="auto"/>
        </w:rPr>
      </w:pPr>
    </w:p>
    <w:p>
      <w:pPr>
        <w:jc w:val="both"/>
        <w:ind w:right="180" w:firstLine="433"/>
        <w:spacing w:after="0" w:line="259" w:lineRule="auto"/>
        <w:rPr>
          <w:sz w:val="20"/>
          <w:szCs w:val="20"/>
          <w:color w:val="auto"/>
        </w:rPr>
      </w:pPr>
      <w:r>
        <w:rPr>
          <w:rFonts w:ascii="Arial" w:cs="Arial" w:eastAsia="Arial" w:hAnsi="Arial"/>
          <w:sz w:val="14"/>
          <w:szCs w:val="14"/>
          <w:color w:val="auto"/>
        </w:rPr>
        <w:t>The Company has determined that there are three reporting units for purposes of testing goodwill for impairment: (i) the Americas reporting unit, (ii) the Europe reporting unit, and (iii) the Asia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0"/>
        <w:spacing w:after="0" w:line="259" w:lineRule="auto"/>
        <w:rPr>
          <w:sz w:val="20"/>
          <w:szCs w:val="20"/>
          <w:color w:val="auto"/>
        </w:rPr>
      </w:pPr>
      <w:r>
        <w:rPr>
          <w:rFonts w:ascii="Arial" w:cs="Arial" w:eastAsia="Arial" w:hAnsi="Arial"/>
          <w:sz w:val="14"/>
          <w:szCs w:val="14"/>
          <w:color w:val="auto"/>
        </w:rPr>
        <w:t>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37" w:lineRule="exact"/>
        <w:rPr>
          <w:sz w:val="20"/>
          <w:szCs w:val="20"/>
          <w:color w:val="auto"/>
        </w:rPr>
      </w:pPr>
    </w:p>
    <w:p>
      <w:pPr>
        <w:ind w:right="40" w:firstLine="433"/>
        <w:spacing w:after="0" w:line="268" w:lineRule="auto"/>
        <w:rPr>
          <w:sz w:val="20"/>
          <w:szCs w:val="20"/>
          <w:color w:val="auto"/>
        </w:rPr>
      </w:pPr>
      <w:r>
        <w:rPr>
          <w:rFonts w:ascii="Arial" w:cs="Arial" w:eastAsia="Arial" w:hAnsi="Arial"/>
          <w:sz w:val="13"/>
          <w:szCs w:val="13"/>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our industry, and require us to make certain assumptions and estimates regarding industry economic factors and future profitability of our business. It is our policy to conduct impairment testing based on our most current business plans, projected future revenues and cash flows, which reflect changes we anticipate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our reporting unit. The Company will recognize an impairment for the amount by which the carrying amount exceeds a reporting unit’s fair value. For the years ended December 31, 2022 and 2021, there were no impairments recorded.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72" w:lineRule="exact"/>
        <w:rPr>
          <w:sz w:val="20"/>
          <w:szCs w:val="20"/>
          <w:color w:val="auto"/>
        </w:rPr>
      </w:pPr>
    </w:p>
    <w:p>
      <w:pPr>
        <w:ind w:firstLine="433"/>
        <w:spacing w:after="0" w:line="298" w:lineRule="auto"/>
        <w:rPr>
          <w:sz w:val="20"/>
          <w:szCs w:val="20"/>
          <w:color w:val="auto"/>
        </w:rPr>
      </w:pPr>
      <w:r>
        <w:rPr>
          <w:rFonts w:ascii="Arial" w:cs="Arial" w:eastAsia="Arial" w:hAnsi="Arial"/>
          <w:sz w:val="12"/>
          <w:szCs w:val="12"/>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18" w:lineRule="exact"/>
        <w:rPr>
          <w:sz w:val="20"/>
          <w:szCs w:val="20"/>
          <w:color w:val="auto"/>
        </w:rPr>
      </w:pPr>
    </w:p>
    <w:p>
      <w:pPr>
        <w:jc w:val="both"/>
        <w:ind w:right="120" w:firstLine="433"/>
        <w:spacing w:after="0" w:line="259" w:lineRule="auto"/>
        <w:rPr>
          <w:sz w:val="20"/>
          <w:szCs w:val="20"/>
          <w:color w:val="auto"/>
        </w:rPr>
      </w:pPr>
      <w:r>
        <w:rPr>
          <w:rFonts w:ascii="Arial" w:cs="Arial" w:eastAsia="Arial" w:hAnsi="Arial"/>
          <w:sz w:val="14"/>
          <w:szCs w:val="14"/>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3" w:lineRule="exact"/>
        <w:rPr>
          <w:sz w:val="20"/>
          <w:szCs w:val="20"/>
          <w:color w:val="auto"/>
        </w:rPr>
      </w:pPr>
    </w:p>
    <w:p>
      <w:pPr>
        <w:ind w:right="260" w:firstLine="433"/>
        <w:spacing w:after="0" w:line="265"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2 to our consolidated financial statements elsewhere within this Annual Report on Form 10-K .</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of December 31, 2022, the outstanding amounts related to our Revolving Facility incur interest fees at variable interest rates and are affected by changes in the general level of market</w:t>
      </w:r>
    </w:p>
    <w:p>
      <w:pPr>
        <w:spacing w:after="0" w:line="11" w:lineRule="exact"/>
        <w:rPr>
          <w:sz w:val="20"/>
          <w:szCs w:val="20"/>
          <w:color w:val="auto"/>
        </w:rPr>
      </w:pPr>
    </w:p>
    <w:p>
      <w:pPr>
        <w:ind w:right="200"/>
        <w:spacing w:after="0" w:line="292" w:lineRule="auto"/>
        <w:rPr>
          <w:sz w:val="20"/>
          <w:szCs w:val="20"/>
          <w:color w:val="auto"/>
        </w:rPr>
      </w:pPr>
      <w:r>
        <w:rPr>
          <w:rFonts w:ascii="Arial" w:cs="Arial" w:eastAsia="Arial" w:hAnsi="Arial"/>
          <w:sz w:val="12"/>
          <w:szCs w:val="12"/>
          <w:color w:val="auto"/>
        </w:rPr>
        <w:t>interest rates. However, there was zero outstanding balance on the Revolving Facility as of December 31, 2022. During the year ended December 31, 2021, the Company repaid the outstanding balance on the 2021 Term Loan as discussed in the consolidated financial statements included elsewhere in this Form 10-K, using net proceeds received on the closing of the initial public offering.</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46"/>
        <w:spacing w:after="0" w:line="259" w:lineRule="auto"/>
        <w:rPr>
          <w:sz w:val="20"/>
          <w:szCs w:val="20"/>
          <w:color w:val="auto"/>
        </w:rPr>
      </w:pPr>
      <w:r>
        <w:rPr>
          <w:rFonts w:ascii="Arial" w:cs="Arial" w:eastAsia="Arial" w:hAnsi="Arial"/>
          <w:sz w:val="12"/>
          <w:szCs w:val="12"/>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consolidated statements of operations.</w:t>
      </w:r>
    </w:p>
    <w:p>
      <w:pPr>
        <w:spacing w:after="0" w:line="139" w:lineRule="exact"/>
        <w:rPr>
          <w:sz w:val="20"/>
          <w:szCs w:val="20"/>
          <w:color w:val="auto"/>
        </w:rPr>
      </w:pPr>
    </w:p>
    <w:p>
      <w:pPr>
        <w:jc w:val="both"/>
        <w:ind w:right="400" w:firstLine="446"/>
        <w:spacing w:after="0" w:line="226" w:lineRule="auto"/>
        <w:rPr>
          <w:sz w:val="20"/>
          <w:szCs w:val="20"/>
          <w:color w:val="auto"/>
        </w:rPr>
      </w:pPr>
      <w:r>
        <w:rPr>
          <w:rFonts w:ascii="Arial" w:cs="Arial" w:eastAsia="Arial" w:hAnsi="Arial"/>
          <w:sz w:val="14"/>
          <w:szCs w:val="14"/>
          <w:color w:val="auto"/>
        </w:rPr>
        <w:t>The total notional values of our forward exchange contracts were $97.4 million and $89.1 million as of December 31, 2022 and December 31, 2021, respectively. The derivatives on the forward exchange contracts resulted in an unrealized gain of $6.6 million as of December 31, 2022, and we estimate that a 10 percent strengthening or weakening of the U.S. dollar would have resulted in an approximately $5 million gain or loss.</w:t>
      </w:r>
    </w:p>
    <w:p>
      <w:pPr>
        <w:spacing w:after="0" w:line="161" w:lineRule="exact"/>
        <w:rPr>
          <w:sz w:val="20"/>
          <w:szCs w:val="20"/>
          <w:color w:val="auto"/>
        </w:rPr>
      </w:pPr>
    </w:p>
    <w:p>
      <w:pPr>
        <w:jc w:val="both"/>
        <w:ind w:right="20" w:firstLine="446"/>
        <w:spacing w:after="0" w:line="226" w:lineRule="auto"/>
        <w:rPr>
          <w:sz w:val="20"/>
          <w:szCs w:val="20"/>
          <w:color w:val="auto"/>
        </w:rPr>
      </w:pPr>
      <w:r>
        <w:rPr>
          <w:rFonts w:ascii="Arial" w:cs="Arial" w:eastAsia="Arial" w:hAnsi="Arial"/>
          <w:sz w:val="14"/>
          <w:szCs w:val="14"/>
          <w:color w:val="auto"/>
        </w:rPr>
        <w:t>Part of our cash and cash equivalents are denominated in foreign currencies. As of December 31, 2022, a 1% change in the value of the U.S. dollar compared to foreign currencies would have caused our cash and cash equivalents to decrease or increase by $0.1 million. As of December 31, 2021, a 1% change in the value of the U.S. dollar compared to foreign currencies would have caused our cash and cash equivalents to decrease or increase by $0.1 million.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4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2"/>
          <w:szCs w:val="12"/>
          <w:color w:val="auto"/>
        </w:rPr>
        <w:t>Inflation generally affects us by increasing our costs of goods and labor costs. As of December 31, 2022, we have seen significant inflation caused by COVID-19 related global supply chain disruptions which put pressure on our costs and margins. More specifically, there was a significant escalation of transportation costs, primarily ocean freight costs due to shipping and ports constraints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in domestic logistics. It is possible that inflation could affect our consumers' and customers' interest in our products but the potential impact is not currently known.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Risk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are exposed to concentration of credit risk from our major customers. As of December 31, 2022, sales to two customers represented approximately 54% of our consolidated net sales. We</w:t>
      </w:r>
    </w:p>
    <w:p>
      <w:pPr>
        <w:spacing w:after="0" w:line="23" w:lineRule="exact"/>
        <w:rPr>
          <w:sz w:val="20"/>
          <w:szCs w:val="20"/>
          <w:color w:val="auto"/>
        </w:rPr>
      </w:pPr>
    </w:p>
    <w:p>
      <w:pPr>
        <w:ind w:right="140"/>
        <w:spacing w:after="0" w:line="292" w:lineRule="auto"/>
        <w:rPr>
          <w:sz w:val="20"/>
          <w:szCs w:val="20"/>
          <w:color w:val="auto"/>
        </w:rPr>
      </w:pPr>
      <w:r>
        <w:rPr>
          <w:rFonts w:ascii="Arial" w:cs="Arial" w:eastAsia="Arial" w:hAnsi="Arial"/>
          <w:sz w:val="12"/>
          <w:szCs w:val="12"/>
          <w:color w:val="auto"/>
        </w:rPr>
        <w:t>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substantial additional charges.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required to be filed pursuant to this Item 8 are appended to this report. An index of those financial statements is set forth below: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NDEX TO</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ONSOLIDATED</w:t>
      </w:r>
      <w:r>
        <w:rPr>
          <w:rFonts w:ascii="Arial" w:cs="Arial" w:eastAsia="Arial" w:hAnsi="Arial"/>
          <w:sz w:val="14"/>
          <w:szCs w:val="14"/>
          <w:b w:val="1"/>
          <w:bCs w:val="1"/>
          <w:color w:val="auto"/>
        </w:rPr>
        <w:t xml:space="preserve"> F</w:t>
      </w:r>
      <w:r>
        <w:rPr>
          <w:rFonts w:ascii="Arial" w:cs="Arial" w:eastAsia="Arial" w:hAnsi="Arial"/>
          <w:sz w:val="11"/>
          <w:szCs w:val="11"/>
          <w:b w:val="1"/>
          <w:bCs w:val="1"/>
          <w:color w:val="auto"/>
        </w:rPr>
        <w:t>INANCIAL</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Audited Consolidated Financial Statements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Page</w:t>
            </w:r>
          </w:p>
        </w:tc>
      </w:tr>
      <w:tr>
        <w:trPr>
          <w:trHeight w:val="159"/>
        </w:trPr>
        <w:tc>
          <w:tcPr>
            <w:tcW w:w="20" w:type="dxa"/>
            <w:vAlign w:val="bottom"/>
          </w:tcPr>
          <w:p>
            <w:pPr>
              <w:spacing w:after="0"/>
              <w:rPr>
                <w:sz w:val="13"/>
                <w:szCs w:val="13"/>
                <w:color w:val="auto"/>
              </w:rPr>
            </w:pPr>
          </w:p>
        </w:tc>
        <w:tc>
          <w:tcPr>
            <w:tcW w:w="10380" w:type="dxa"/>
            <w:vAlign w:val="bottom"/>
            <w:gridSpan w:val="8"/>
          </w:tcPr>
          <w:p>
            <w:pPr>
              <w:spacing w:after="0" w:line="159"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No. 34)</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60</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89"/>
              </w:rPr>
              <w:t>Consolidated Balance Sheets as of December 31, 2022 and 2021</w:t>
            </w:r>
          </w:p>
        </w:tc>
        <w:tc>
          <w:tcPr>
            <w:tcW w:w="6720" w:type="dxa"/>
            <w:vAlign w:val="bottom"/>
            <w:gridSpan w:val="5"/>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2"/>
        </w:trPr>
        <w:tc>
          <w:tcPr>
            <w:tcW w:w="20" w:type="dxa"/>
            <w:vAlign w:val="bottom"/>
          </w:tcPr>
          <w:p>
            <w:pPr>
              <w:spacing w:after="0"/>
              <w:rPr>
                <w:sz w:val="15"/>
                <w:szCs w:val="15"/>
                <w:color w:val="auto"/>
              </w:rPr>
            </w:pPr>
          </w:p>
        </w:tc>
        <w:tc>
          <w:tcPr>
            <w:tcW w:w="1038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for the years ended December 31, 2022, 2021 and 2020</w:t>
            </w: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380" w:type="dxa"/>
            <w:vAlign w:val="bottom"/>
            <w:gridSpan w:val="8"/>
          </w:tcPr>
          <w:p>
            <w:pPr>
              <w:spacing w:after="0"/>
              <w:rPr>
                <w:sz w:val="20"/>
                <w:szCs w:val="20"/>
                <w:color w:val="auto"/>
              </w:rPr>
            </w:pPr>
            <w:r>
              <w:rPr>
                <w:rFonts w:ascii="Arial" w:cs="Arial" w:eastAsia="Arial" w:hAnsi="Arial"/>
                <w:sz w:val="14"/>
                <w:szCs w:val="14"/>
                <w:color w:val="0000FF"/>
              </w:rPr>
              <w:t>Consolidated Statements of Comprehensive Income for the years ended December 31, 2022, 2021 and 2020</w:t>
            </w: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70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1"/>
              </w:rPr>
              <w:t>Consolidated Statements of Non-Controlling Interests and Stockholders’ Equity for the years ended December 31, 2022, 2021 and 2020</w:t>
            </w:r>
          </w:p>
        </w:tc>
        <w:tc>
          <w:tcPr>
            <w:tcW w:w="2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2"/>
        </w:trPr>
        <w:tc>
          <w:tcPr>
            <w:tcW w:w="20" w:type="dxa"/>
            <w:vAlign w:val="bottom"/>
          </w:tcPr>
          <w:p>
            <w:pPr>
              <w:spacing w:after="0"/>
              <w:rPr>
                <w:sz w:val="15"/>
                <w:szCs w:val="15"/>
                <w:color w:val="auto"/>
              </w:rPr>
            </w:pPr>
          </w:p>
        </w:tc>
        <w:tc>
          <w:tcPr>
            <w:tcW w:w="10380" w:type="dxa"/>
            <w:vAlign w:val="bottom"/>
            <w:gridSpan w:val="8"/>
          </w:tcPr>
          <w:p>
            <w:pPr>
              <w:spacing w:after="0"/>
              <w:rPr>
                <w:sz w:val="20"/>
                <w:szCs w:val="20"/>
                <w:color w:val="auto"/>
              </w:rPr>
            </w:pPr>
            <w:r>
              <w:rPr>
                <w:rFonts w:ascii="Arial" w:cs="Arial" w:eastAsia="Arial" w:hAnsi="Arial"/>
                <w:sz w:val="14"/>
                <w:szCs w:val="14"/>
                <w:color w:val="0000FF"/>
              </w:rPr>
              <w:t>Consolidated Statements of Cash Flows for the years ended December 31, 2022, 2021 and 2020</w:t>
            </w: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2"/>
        </w:trPr>
        <w:tc>
          <w:tcPr>
            <w:tcW w:w="20" w:type="dxa"/>
            <w:vAlign w:val="bottom"/>
          </w:tcPr>
          <w:p>
            <w:pPr>
              <w:spacing w:after="0"/>
              <w:rPr>
                <w:sz w:val="15"/>
                <w:szCs w:val="15"/>
                <w:color w:val="auto"/>
              </w:rPr>
            </w:pPr>
          </w:p>
        </w:tc>
        <w:tc>
          <w:tcPr>
            <w:tcW w:w="2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2940" w:type="dxa"/>
            <w:vAlign w:val="bottom"/>
            <w:tcBorders>
              <w:top w:val="single" w:sz="8" w:color="0000FF"/>
            </w:tcBorders>
            <w:gridSpan w:val="4"/>
          </w:tcPr>
          <w:p>
            <w:pPr>
              <w:spacing w:after="0"/>
              <w:rPr>
                <w:sz w:val="15"/>
                <w:szCs w:val="15"/>
                <w:color w:val="auto"/>
              </w:rPr>
            </w:pPr>
          </w:p>
        </w:tc>
        <w:tc>
          <w:tcPr>
            <w:tcW w:w="4960" w:type="dxa"/>
            <w:vAlign w:val="bottom"/>
            <w:gridSpan w:val="3"/>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754"/>
        </w:trPr>
        <w:tc>
          <w:tcPr>
            <w:tcW w:w="6120" w:type="dxa"/>
            <w:vAlign w:val="bottom"/>
            <w:gridSpan w:val="7"/>
          </w:tcPr>
          <w:p>
            <w:pPr>
              <w:jc w:val="right"/>
              <w:ind w:right="400"/>
              <w:spacing w:after="0"/>
              <w:rPr>
                <w:sz w:val="20"/>
                <w:szCs w:val="20"/>
                <w:color w:val="auto"/>
              </w:rPr>
            </w:pPr>
            <w:r>
              <w:rPr>
                <w:rFonts w:ascii="Arial" w:cs="Arial" w:eastAsia="Arial" w:hAnsi="Arial"/>
                <w:sz w:val="14"/>
                <w:szCs w:val="14"/>
                <w:color w:val="auto"/>
              </w:rPr>
              <w:t>59</w:t>
            </w:r>
          </w:p>
        </w:tc>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5"/>
        </w:trPr>
        <w:tc>
          <w:tcPr>
            <w:tcW w:w="20" w:type="dxa"/>
            <w:vAlign w:val="bottom"/>
            <w:tcBorders>
              <w:bottom w:val="single" w:sz="8" w:color="9A9A9A"/>
            </w:tcBorders>
          </w:tcPr>
          <w:p>
            <w:pPr>
              <w:spacing w:after="0"/>
              <w:rPr>
                <w:sz w:val="5"/>
                <w:szCs w:val="5"/>
                <w:color w:val="auto"/>
              </w:rPr>
            </w:pPr>
          </w:p>
        </w:tc>
        <w:tc>
          <w:tcPr>
            <w:tcW w:w="24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26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The Vita Coco Company,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have audited the accompanying consolidated balance sheets of The Vita Coco Company, Inc. and subsidiaries (the "Company") as of December 31, 2022 and 2021, the related consolidated statements of operations, comprehensive income, non-controlling interests and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Basis for Opinion</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14, 2023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AS OF DECEMBER 31, 2022 AND 2021</w:t>
      </w:r>
    </w:p>
    <w:p>
      <w:pPr>
        <w:ind w:left="4440"/>
        <w:spacing w:after="0"/>
        <w:rPr>
          <w:sz w:val="20"/>
          <w:szCs w:val="20"/>
          <w:color w:val="auto"/>
        </w:rPr>
      </w:pPr>
      <w:r>
        <w:rPr>
          <w:rFonts w:ascii="Arial" w:cs="Arial" w:eastAsia="Arial" w:hAnsi="Arial"/>
          <w:sz w:val="14"/>
          <w:szCs w:val="14"/>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Cash and cash equivalents</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28,690</w:t>
            </w:r>
          </w:p>
        </w:tc>
        <w:tc>
          <w:tcPr>
            <w:tcW w:w="0" w:type="dxa"/>
            <w:vAlign w:val="bottom"/>
          </w:tcPr>
          <w:p>
            <w:pPr>
              <w:spacing w:after="0"/>
              <w:rPr>
                <w:sz w:val="1"/>
                <w:szCs w:val="1"/>
                <w:color w:val="auto"/>
              </w:rPr>
            </w:pP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Accounts receivable, net of allowance of $2,898 at December 31, 2022, and $1,301 at December 31, 2021</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43,350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47,195</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Inventory</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75,360</w:t>
            </w:r>
          </w:p>
        </w:tc>
        <w:tc>
          <w:tcPr>
            <w:tcW w:w="0" w:type="dxa"/>
            <w:vAlign w:val="bottom"/>
          </w:tcPr>
          <w:p>
            <w:pPr>
              <w:spacing w:after="0"/>
              <w:rPr>
                <w:sz w:val="1"/>
                <w:szCs w:val="1"/>
                <w:color w:val="auto"/>
              </w:rPr>
            </w:pP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Supplier advances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1,534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1,170</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Derivative assets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Asset held for sale</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Prepaid expenses and other current assets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22,181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20,718</w:t>
            </w:r>
          </w:p>
        </w:tc>
        <w:tc>
          <w:tcPr>
            <w:tcW w:w="0" w:type="dxa"/>
            <w:vAlign w:val="bottom"/>
          </w:tcPr>
          <w:p>
            <w:pPr>
              <w:spacing w:after="0"/>
              <w:rPr>
                <w:sz w:val="1"/>
                <w:szCs w:val="1"/>
                <w:color w:val="auto"/>
              </w:rPr>
            </w:pPr>
          </w:p>
        </w:tc>
      </w:tr>
      <w:tr>
        <w:trPr>
          <w:trHeight w:val="151"/>
        </w:trPr>
        <w:tc>
          <w:tcPr>
            <w:tcW w:w="8220" w:type="dxa"/>
            <w:vAlign w:val="bottom"/>
          </w:tcPr>
          <w:p>
            <w:pPr>
              <w:ind w:left="20"/>
              <w:spacing w:after="0"/>
              <w:rPr>
                <w:sz w:val="20"/>
                <w:szCs w:val="20"/>
                <w:color w:val="auto"/>
              </w:rPr>
            </w:pPr>
            <w:r>
              <w:rPr>
                <w:rFonts w:ascii="Arial" w:cs="Arial" w:eastAsia="Arial" w:hAnsi="Arial"/>
                <w:sz w:val="11"/>
                <w:szCs w:val="11"/>
                <w:color w:val="auto"/>
              </w:rPr>
              <w:t>Total current assets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174,918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173,259</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2,473</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Goodwill</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7,791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7,791</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7,934</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Supplier advances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4,360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2,808</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Deferred tax assets, net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0" w:type="dxa"/>
            <w:vAlign w:val="bottom"/>
          </w:tcPr>
          <w:p>
            <w:pPr>
              <w:spacing w:after="0"/>
              <w:rPr>
                <w:sz w:val="1"/>
                <w:szCs w:val="1"/>
                <w:color w:val="auto"/>
              </w:rPr>
            </w:pPr>
          </w:p>
        </w:tc>
      </w:tr>
      <w:tr>
        <w:trPr>
          <w:trHeight w:val="160"/>
        </w:trPr>
        <w:tc>
          <w:tcPr>
            <w:tcW w:w="8220" w:type="dxa"/>
            <w:vAlign w:val="bottom"/>
          </w:tcPr>
          <w:p>
            <w:pPr>
              <w:ind w:left="40"/>
              <w:spacing w:after="0"/>
              <w:rPr>
                <w:sz w:val="20"/>
                <w:szCs w:val="20"/>
                <w:color w:val="auto"/>
              </w:rPr>
            </w:pPr>
            <w:r>
              <w:rPr>
                <w:rFonts w:ascii="Arial" w:cs="Arial" w:eastAsia="Arial" w:hAnsi="Arial"/>
                <w:sz w:val="11"/>
                <w:szCs w:val="11"/>
                <w:color w:val="auto"/>
              </w:rPr>
              <w:t>Right-of-use asset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2,679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1,954</w:t>
            </w:r>
          </w:p>
        </w:tc>
        <w:tc>
          <w:tcPr>
            <w:tcW w:w="0" w:type="dxa"/>
            <w:vAlign w:val="bottom"/>
          </w:tcPr>
          <w:p>
            <w:pPr>
              <w:spacing w:after="0"/>
              <w:rPr>
                <w:sz w:val="1"/>
                <w:szCs w:val="1"/>
                <w:color w:val="auto"/>
              </w:rPr>
            </w:pPr>
          </w:p>
        </w:tc>
      </w:tr>
      <w:tr>
        <w:trPr>
          <w:trHeight w:val="151"/>
        </w:trPr>
        <w:tc>
          <w:tcPr>
            <w:tcW w:w="8220" w:type="dxa"/>
            <w:vAlign w:val="bottom"/>
          </w:tcPr>
          <w:p>
            <w:pPr>
              <w:ind w:left="520"/>
              <w:spacing w:after="0"/>
              <w:rPr>
                <w:sz w:val="20"/>
                <w:szCs w:val="20"/>
                <w:color w:val="auto"/>
              </w:rPr>
            </w:pPr>
            <w:r>
              <w:rPr>
                <w:rFonts w:ascii="Arial" w:cs="Arial" w:eastAsia="Arial" w:hAnsi="Arial"/>
                <w:sz w:val="11"/>
                <w:szCs w:val="11"/>
                <w:color w:val="auto"/>
              </w:rPr>
              <w:t>Total assets</w:t>
            </w:r>
          </w:p>
        </w:tc>
        <w:tc>
          <w:tcPr>
            <w:tcW w:w="960" w:type="dxa"/>
            <w:vAlign w:val="bottom"/>
            <w:tcBorders>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197,757</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197,484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Liabilities and Stockholders' Equity</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Accounts payable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28,338</w:t>
            </w:r>
          </w:p>
        </w:tc>
        <w:tc>
          <w:tcPr>
            <w:tcW w:w="0" w:type="dxa"/>
            <w:vAlign w:val="bottom"/>
          </w:tcPr>
          <w:p>
            <w:pPr>
              <w:spacing w:after="0"/>
              <w:rPr>
                <w:sz w:val="1"/>
                <w:szCs w:val="1"/>
                <w:color w:val="auto"/>
              </w:rPr>
            </w:pP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Accrued expenses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38,342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42,399</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Notes payable, current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Derivative liabilities</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3,197</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54,346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73,962</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Credit facility</w:t>
            </w:r>
          </w:p>
        </w:tc>
        <w:tc>
          <w:tcPr>
            <w:tcW w:w="9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Notes payable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long-term liabilities</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2,293</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96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56,664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74,311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2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Common stock, $0.01 par value; 500,000,000 shares authorized; and 62,225,250 shares and 61,764,582 shares issued at December 31, 2022 and 2021, respectively; 56,019,050 and</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55,558,382 shares outstanding at December 31, 2022 and 2021, respectively.</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145,210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134,730</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Retained earnings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55,183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47,369</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Accumulated other comprehensive loss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(616)</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Treasury stock, 6,206,200 shares at cost as of December 31, 2022, and December 31, 2021</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(58,928)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(58,928)</w:t>
            </w:r>
          </w:p>
        </w:tc>
        <w:tc>
          <w:tcPr>
            <w:tcW w:w="0" w:type="dxa"/>
            <w:vAlign w:val="bottom"/>
          </w:tcPr>
          <w:p>
            <w:pPr>
              <w:spacing w:after="0"/>
              <w:rPr>
                <w:sz w:val="1"/>
                <w:szCs w:val="1"/>
                <w:color w:val="auto"/>
              </w:rPr>
            </w:pPr>
          </w:p>
        </w:tc>
      </w:tr>
      <w:tr>
        <w:trPr>
          <w:trHeight w:val="151"/>
        </w:trPr>
        <w:tc>
          <w:tcPr>
            <w:tcW w:w="8220" w:type="dxa"/>
            <w:vAlign w:val="bottom"/>
            <w:tcBorders>
              <w:bottom w:val="single" w:sz="8" w:color="CCEEFF"/>
            </w:tcBorders>
          </w:tcPr>
          <w:p>
            <w:pPr>
              <w:ind w:left="540"/>
              <w:spacing w:after="0"/>
              <w:rPr>
                <w:sz w:val="20"/>
                <w:szCs w:val="20"/>
                <w:color w:val="auto"/>
              </w:rPr>
            </w:pPr>
            <w:r>
              <w:rPr>
                <w:rFonts w:ascii="Arial" w:cs="Arial" w:eastAsia="Arial" w:hAnsi="Arial"/>
                <w:sz w:val="11"/>
                <w:szCs w:val="11"/>
                <w:color w:val="auto"/>
              </w:rPr>
              <w:t>Total stockholders' equity attributable to The Vita Coco Company, Inc.</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141,093</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123,173</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9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stockholders' equity</w:t>
            </w:r>
          </w:p>
        </w:tc>
        <w:tc>
          <w:tcPr>
            <w:tcW w:w="96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141,093</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123,173</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96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197,757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197,484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310,644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goods sold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324,426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266,365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205,786</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103,361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113,148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104,858</w:t>
            </w: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74,401</w:t>
            </w: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(16,400)</w:t>
            </w:r>
          </w:p>
        </w:tc>
        <w:tc>
          <w:tcPr>
            <w:tcW w:w="0" w:type="dxa"/>
            <w:vAlign w:val="bottom"/>
          </w:tcPr>
          <w:p>
            <w:pPr>
              <w:spacing w:after="0"/>
              <w:rPr>
                <w:sz w:val="1"/>
                <w:szCs w:val="1"/>
                <w:color w:val="auto"/>
              </w:rPr>
            </w:pPr>
          </w:p>
        </w:tc>
      </w:tr>
      <w:tr>
        <w:trPr>
          <w:trHeight w:val="198"/>
        </w:trPr>
        <w:tc>
          <w:tcPr>
            <w:tcW w:w="66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58,001</w:t>
            </w:r>
          </w:p>
        </w:tc>
        <w:tc>
          <w:tcPr>
            <w:tcW w:w="0" w:type="dxa"/>
            <w:vAlign w:val="bottom"/>
          </w:tcPr>
          <w:p>
            <w:pPr>
              <w:spacing w:after="0"/>
              <w:rPr>
                <w:sz w:val="1"/>
                <w:szCs w:val="1"/>
                <w:color w:val="auto"/>
              </w:rPr>
            </w:pPr>
          </w:p>
        </w:tc>
      </w:tr>
      <w:tr>
        <w:trPr>
          <w:trHeight w:val="18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46,857</w:t>
            </w:r>
          </w:p>
        </w:tc>
        <w:tc>
          <w:tcPr>
            <w:tcW w:w="0" w:type="dxa"/>
            <w:vAlign w:val="bottom"/>
          </w:tcPr>
          <w:p>
            <w:pPr>
              <w:spacing w:after="0"/>
              <w:rPr>
                <w:sz w:val="1"/>
                <w:szCs w:val="1"/>
                <w:color w:val="auto"/>
              </w:rPr>
            </w:pPr>
          </w:p>
        </w:tc>
      </w:tr>
      <w:tr>
        <w:trPr>
          <w:trHeight w:val="18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Unrealized gain (loss) on derivative instruments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gain (loss)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other income (expense)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24,229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(10,913)</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7,814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18,992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32,687</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 attributable to noncontrolling interest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Net income attributable to The Vita Coco Company, Inc.</w:t>
            </w: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19,015</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32,660</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The Vita Coco Company, Inc. per common share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4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55,732,619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53,689,910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58,501,170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4"/>
                <w:szCs w:val="14"/>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56,123,661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54,186,121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58,610,825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0"/>
        </w:trPr>
        <w:tc>
          <w:tcPr>
            <w:tcW w:w="692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Arial" w:cs="Arial" w:eastAsia="Arial" w:hAnsi="Arial"/>
                <w:sz w:val="11"/>
                <w:szCs w:val="11"/>
                <w:b w:val="1"/>
                <w:bCs w:val="1"/>
                <w:color w:val="auto"/>
              </w:rPr>
              <w:t>2022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11"/>
              <w:spacing w:after="0"/>
              <w:rPr>
                <w:sz w:val="20"/>
                <w:szCs w:val="20"/>
                <w:color w:val="auto"/>
              </w:rPr>
            </w:pPr>
            <w:r>
              <w:rPr>
                <w:rFonts w:ascii="Arial" w:cs="Arial" w:eastAsia="Arial" w:hAnsi="Arial"/>
                <w:sz w:val="11"/>
                <w:szCs w:val="11"/>
                <w:b w:val="1"/>
                <w:bCs w:val="1"/>
                <w:color w:val="auto"/>
              </w:rPr>
              <w:t>2020</w:t>
            </w:r>
          </w:p>
        </w:tc>
      </w:tr>
      <w:tr>
        <w:trPr>
          <w:trHeight w:val="19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32,687</w:t>
            </w:r>
          </w:p>
        </w:tc>
      </w:tr>
      <w:tr>
        <w:trPr>
          <w:trHeight w:val="180"/>
        </w:trPr>
        <w:tc>
          <w:tcPr>
            <w:tcW w:w="69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71"/>
        </w:trPr>
        <w:tc>
          <w:tcPr>
            <w:tcW w:w="6920" w:type="dxa"/>
            <w:vAlign w:val="bottom"/>
          </w:tcPr>
          <w:p>
            <w:pPr>
              <w:ind w:left="20"/>
              <w:spacing w:after="0"/>
              <w:rPr>
                <w:sz w:val="20"/>
                <w:szCs w:val="20"/>
                <w:color w:val="auto"/>
              </w:rPr>
            </w:pPr>
            <w:r>
              <w:rPr>
                <w:rFonts w:ascii="Arial" w:cs="Arial" w:eastAsia="Arial" w:hAnsi="Arial"/>
                <w:sz w:val="14"/>
                <w:szCs w:val="14"/>
                <w:color w:val="auto"/>
              </w:rPr>
              <w:t>Total comprehensive income including noncontrolling interest</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33,033</w:t>
            </w:r>
          </w:p>
        </w:tc>
      </w:tr>
      <w:tr>
        <w:trPr>
          <w:trHeight w:val="181"/>
        </w:trPr>
        <w:tc>
          <w:tcPr>
            <w:tcW w:w="6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w:t>
            </w:r>
          </w:p>
        </w:tc>
        <w:tc>
          <w:tcPr>
            <w:tcW w:w="9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692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 attributable to noncontrolling interest</w:t>
            </w:r>
          </w:p>
        </w:tc>
        <w:tc>
          <w:tcPr>
            <w:tcW w:w="9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 attributable to noncontrolling interest</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71"/>
        </w:trPr>
        <w:tc>
          <w:tcPr>
            <w:tcW w:w="6920" w:type="dxa"/>
            <w:vAlign w:val="bottom"/>
          </w:tcPr>
          <w:p>
            <w:pPr>
              <w:ind w:left="20"/>
              <w:spacing w:after="0"/>
              <w:rPr>
                <w:sz w:val="20"/>
                <w:szCs w:val="20"/>
                <w:color w:val="auto"/>
              </w:rPr>
            </w:pPr>
            <w:r>
              <w:rPr>
                <w:rFonts w:ascii="Arial" w:cs="Arial" w:eastAsia="Arial" w:hAnsi="Arial"/>
                <w:sz w:val="14"/>
                <w:szCs w:val="14"/>
                <w:color w:val="auto"/>
              </w:rPr>
              <w:t>Total comprehensive income attributable to The Vita Coco Company, Inc.</w:t>
            </w: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33,001</w:t>
            </w:r>
          </w:p>
        </w:tc>
      </w:tr>
      <w:tr>
        <w:trPr>
          <w:trHeight w:val="20"/>
        </w:trPr>
        <w:tc>
          <w:tcPr>
            <w:tcW w:w="6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4"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CONSOLIDATED STATEMENTS OF NON-CONTROLLING INTERESTS AND STOCKHOLDERS’ EQUITY</w:t>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359"/>
        <w:spacing w:after="0"/>
        <w:rPr>
          <w:sz w:val="20"/>
          <w:szCs w:val="20"/>
          <w:color w:val="auto"/>
        </w:rPr>
      </w:pPr>
      <w:r>
        <w:rPr>
          <w:rFonts w:ascii="Arial" w:cs="Arial" w:eastAsia="Arial" w:hAnsi="Arial"/>
          <w:sz w:val="14"/>
          <w:szCs w:val="14"/>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45085</wp:posOffset>
            </wp:positionV>
            <wp:extent cx="49180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18075" cy="69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5"/>
          </w:tcPr>
          <w:p>
            <w:pPr>
              <w:jc w:val="center"/>
              <w:ind w:right="60"/>
              <w:spacing w:after="0"/>
              <w:rPr>
                <w:sz w:val="20"/>
                <w:szCs w:val="20"/>
                <w:color w:val="auto"/>
              </w:rPr>
            </w:pPr>
            <w:r>
              <w:rPr>
                <w:rFonts w:ascii="Arial" w:cs="Arial" w:eastAsia="Arial" w:hAnsi="Arial"/>
                <w:sz w:val="8"/>
                <w:szCs w:val="8"/>
                <w:b w:val="1"/>
                <w:bCs w:val="1"/>
                <w:color w:val="auto"/>
                <w:w w:val="95"/>
              </w:rPr>
              <w:t>Common Stock</w:t>
            </w:r>
          </w:p>
        </w:tc>
        <w:tc>
          <w:tcPr>
            <w:tcW w:w="1380" w:type="dxa"/>
            <w:vAlign w:val="bottom"/>
            <w:gridSpan w:val="5"/>
            <w:vMerge w:val="restart"/>
          </w:tcPr>
          <w:p>
            <w:pPr>
              <w:ind w:left="380"/>
              <w:spacing w:after="0"/>
              <w:rPr>
                <w:sz w:val="20"/>
                <w:szCs w:val="20"/>
                <w:color w:val="auto"/>
              </w:rPr>
            </w:pPr>
            <w:r>
              <w:rPr>
                <w:rFonts w:ascii="Arial" w:cs="Arial" w:eastAsia="Arial" w:hAnsi="Arial"/>
                <w:sz w:val="8"/>
                <w:szCs w:val="8"/>
                <w:b w:val="1"/>
                <w:bCs w:val="1"/>
                <w:color w:val="auto"/>
              </w:rPr>
              <w:t>Total Common</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5"/>
              </w:rPr>
              <w:t>Total</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center"/>
              <w:ind w:left="378"/>
              <w:spacing w:after="0" w:line="85" w:lineRule="exact"/>
              <w:rPr>
                <w:sz w:val="20"/>
                <w:szCs w:val="20"/>
                <w:color w:val="auto"/>
              </w:rPr>
            </w:pPr>
            <w:r>
              <w:rPr>
                <w:rFonts w:ascii="Arial" w:cs="Arial" w:eastAsia="Arial" w:hAnsi="Arial"/>
                <w:sz w:val="8"/>
                <w:szCs w:val="8"/>
                <w:b w:val="1"/>
                <w:bCs w:val="1"/>
                <w:color w:val="auto"/>
              </w:rPr>
              <w:t>with Exit</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w w:val="94"/>
              </w:rPr>
              <w:t>Retained</w:t>
            </w:r>
          </w:p>
        </w:tc>
        <w:tc>
          <w:tcPr>
            <w:tcW w:w="80" w:type="dxa"/>
            <w:vAlign w:val="bottom"/>
          </w:tcPr>
          <w:p>
            <w:pPr>
              <w:spacing w:after="0"/>
              <w:rPr>
                <w:sz w:val="7"/>
                <w:szCs w:val="7"/>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w w:val="90"/>
              </w:rPr>
              <w:t>Accumulated</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6"/>
              </w:rPr>
              <w:t>Stockholders'</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1080" w:type="dxa"/>
            <w:vAlign w:val="bottom"/>
            <w:gridSpan w:val="5"/>
            <w:vMerge w:val="restart"/>
          </w:tcPr>
          <w:p>
            <w:pPr>
              <w:ind w:left="220"/>
              <w:spacing w:after="0"/>
              <w:rPr>
                <w:sz w:val="20"/>
                <w:szCs w:val="20"/>
                <w:color w:val="auto"/>
              </w:rPr>
            </w:pPr>
            <w:r>
              <w:rPr>
                <w:rFonts w:ascii="Arial" w:cs="Arial" w:eastAsia="Arial" w:hAnsi="Arial"/>
                <w:sz w:val="8"/>
                <w:szCs w:val="8"/>
                <w:b w:val="1"/>
                <w:bCs w:val="1"/>
                <w:color w:val="auto"/>
              </w:rPr>
              <w:t>Common Stock</w:t>
            </w:r>
          </w:p>
        </w:tc>
        <w:tc>
          <w:tcPr>
            <w:tcW w:w="800" w:type="dxa"/>
            <w:vAlign w:val="bottom"/>
            <w:gridSpan w:val="3"/>
            <w:vMerge w:val="restart"/>
          </w:tcPr>
          <w:p>
            <w:pPr>
              <w:jc w:val="center"/>
              <w:ind w:left="398"/>
              <w:spacing w:after="0"/>
              <w:rPr>
                <w:sz w:val="20"/>
                <w:szCs w:val="20"/>
                <w:color w:val="auto"/>
              </w:rPr>
            </w:pPr>
            <w:r>
              <w:rPr>
                <w:rFonts w:ascii="Arial" w:cs="Arial" w:eastAsia="Arial" w:hAnsi="Arial"/>
                <w:sz w:val="8"/>
                <w:szCs w:val="8"/>
                <w:b w:val="1"/>
                <w:bCs w:val="1"/>
                <w:color w:val="auto"/>
              </w:rPr>
              <w:t>Warrants</w:t>
            </w: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Stock</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rPr>
              <w:t>Additional</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380" w:type="dxa"/>
            <w:vAlign w:val="bottom"/>
            <w:gridSpan w:val="5"/>
            <w:vMerge w:val="restart"/>
          </w:tcPr>
          <w:p>
            <w:pPr>
              <w:ind w:left="380"/>
              <w:spacing w:after="0"/>
              <w:rPr>
                <w:sz w:val="20"/>
                <w:szCs w:val="20"/>
                <w:color w:val="auto"/>
              </w:rPr>
            </w:pPr>
            <w:r>
              <w:rPr>
                <w:rFonts w:ascii="Arial" w:cs="Arial" w:eastAsia="Arial" w:hAnsi="Arial"/>
                <w:sz w:val="8"/>
                <w:szCs w:val="8"/>
                <w:b w:val="1"/>
                <w:bCs w:val="1"/>
                <w:color w:val="auto"/>
              </w:rPr>
              <w:t>Treasury Stock</w:t>
            </w:r>
          </w:p>
        </w:tc>
        <w:tc>
          <w:tcPr>
            <w:tcW w:w="60" w:type="dxa"/>
            <w:vAlign w:val="bottom"/>
          </w:tcPr>
          <w:p>
            <w:pPr>
              <w:spacing w:after="0"/>
              <w:rPr>
                <w:sz w:val="3"/>
                <w:szCs w:val="3"/>
                <w:color w:val="auto"/>
              </w:rPr>
            </w:pPr>
          </w:p>
        </w:tc>
        <w:tc>
          <w:tcPr>
            <w:tcW w:w="620" w:type="dxa"/>
            <w:vAlign w:val="bottom"/>
            <w:gridSpan w:val="2"/>
          </w:tcPr>
          <w:p>
            <w:pPr>
              <w:jc w:val="center"/>
              <w:ind w:right="140"/>
              <w:spacing w:after="0" w:line="36" w:lineRule="exact"/>
              <w:rPr>
                <w:sz w:val="20"/>
                <w:szCs w:val="20"/>
                <w:color w:val="auto"/>
              </w:rPr>
            </w:pPr>
            <w:r>
              <w:rPr>
                <w:rFonts w:ascii="Arial" w:cs="Arial" w:eastAsia="Arial" w:hAnsi="Arial"/>
                <w:sz w:val="4"/>
                <w:szCs w:val="4"/>
                <w:b w:val="1"/>
                <w:bCs w:val="1"/>
                <w:color w:val="auto"/>
              </w:rPr>
              <w:t>Equity</w:t>
            </w:r>
          </w:p>
        </w:tc>
        <w:tc>
          <w:tcPr>
            <w:tcW w:w="70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Non- controlling</w:t>
            </w: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
        </w:trPr>
        <w:tc>
          <w:tcPr>
            <w:tcW w:w="96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tcPr>
          <w:p>
            <w:pPr>
              <w:jc w:val="center"/>
              <w:ind w:right="180"/>
              <w:spacing w:after="0" w:line="71" w:lineRule="exact"/>
              <w:rPr>
                <w:sz w:val="20"/>
                <w:szCs w:val="20"/>
                <w:color w:val="auto"/>
              </w:rPr>
            </w:pPr>
            <w:r>
              <w:rPr>
                <w:rFonts w:ascii="Arial" w:cs="Arial" w:eastAsia="Arial" w:hAnsi="Arial"/>
                <w:sz w:val="7"/>
                <w:szCs w:val="7"/>
                <w:b w:val="1"/>
                <w:bCs w:val="1"/>
                <w:color w:val="auto"/>
                <w:w w:val="93"/>
              </w:rPr>
              <w:t>Earnings</w:t>
            </w:r>
          </w:p>
        </w:tc>
        <w:tc>
          <w:tcPr>
            <w:tcW w:w="80" w:type="dxa"/>
            <w:vAlign w:val="bottom"/>
          </w:tcPr>
          <w:p>
            <w:pPr>
              <w:spacing w:after="0"/>
              <w:rPr>
                <w:sz w:val="6"/>
                <w:szCs w:val="6"/>
                <w:color w:val="auto"/>
              </w:rPr>
            </w:pPr>
          </w:p>
        </w:tc>
        <w:tc>
          <w:tcPr>
            <w:tcW w:w="660" w:type="dxa"/>
            <w:vAlign w:val="bottom"/>
            <w:gridSpan w:val="2"/>
          </w:tcPr>
          <w:p>
            <w:pPr>
              <w:jc w:val="center"/>
              <w:ind w:right="160"/>
              <w:spacing w:after="0" w:line="71" w:lineRule="exact"/>
              <w:rPr>
                <w:sz w:val="20"/>
                <w:szCs w:val="20"/>
                <w:color w:val="auto"/>
              </w:rPr>
            </w:pPr>
            <w:r>
              <w:rPr>
                <w:rFonts w:ascii="Arial" w:cs="Arial" w:eastAsia="Arial" w:hAnsi="Arial"/>
                <w:sz w:val="7"/>
                <w:szCs w:val="7"/>
                <w:b w:val="1"/>
                <w:bCs w:val="1"/>
                <w:color w:val="auto"/>
                <w:w w:val="96"/>
              </w:rPr>
              <w:t>Other</w:t>
            </w:r>
          </w:p>
        </w:tc>
        <w:tc>
          <w:tcPr>
            <w:tcW w:w="138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140"/>
              <w:spacing w:after="0" w:line="71" w:lineRule="exact"/>
              <w:rPr>
                <w:sz w:val="20"/>
                <w:szCs w:val="20"/>
                <w:color w:val="auto"/>
              </w:rPr>
            </w:pPr>
            <w:r>
              <w:rPr>
                <w:rFonts w:ascii="Arial" w:cs="Arial" w:eastAsia="Arial" w:hAnsi="Arial"/>
                <w:sz w:val="7"/>
                <w:szCs w:val="7"/>
                <w:b w:val="1"/>
                <w:bCs w:val="1"/>
                <w:color w:val="auto"/>
                <w:w w:val="91"/>
              </w:rPr>
              <w:t>Attributable</w:t>
            </w:r>
          </w:p>
        </w:tc>
        <w:tc>
          <w:tcPr>
            <w:tcW w:w="7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center"/>
              <w:ind w:right="58"/>
              <w:spacing w:after="0" w:line="71" w:lineRule="exact"/>
              <w:rPr>
                <w:sz w:val="20"/>
                <w:szCs w:val="20"/>
                <w:color w:val="auto"/>
              </w:rPr>
            </w:pPr>
            <w:r>
              <w:rPr>
                <w:rFonts w:ascii="Arial" w:cs="Arial" w:eastAsia="Arial" w:hAnsi="Arial"/>
                <w:sz w:val="7"/>
                <w:szCs w:val="7"/>
                <w:b w:val="1"/>
                <w:bCs w:val="1"/>
                <w:color w:val="auto"/>
                <w:w w:val="95"/>
              </w:rPr>
              <w:t>Total</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center"/>
              <w:ind w:right="160"/>
              <w:spacing w:after="0" w:line="74"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line="20" w:lineRule="exact"/>
              <w:rPr>
                <w:sz w:val="1"/>
                <w:szCs w:val="1"/>
                <w:color w:val="auto"/>
              </w:rPr>
            </w:pPr>
          </w:p>
        </w:tc>
        <w:tc>
          <w:tcPr>
            <w:tcW w:w="600" w:type="dxa"/>
            <w:vAlign w:val="bottom"/>
            <w:gridSpan w:val="2"/>
            <w:vMerge w:val="restart"/>
          </w:tcPr>
          <w:p>
            <w:pPr>
              <w:jc w:val="center"/>
              <w:ind w:right="180"/>
              <w:spacing w:after="0" w:line="75" w:lineRule="exact"/>
              <w:rPr>
                <w:sz w:val="20"/>
                <w:szCs w:val="20"/>
                <w:color w:val="auto"/>
              </w:rPr>
            </w:pPr>
            <w:r>
              <w:rPr>
                <w:rFonts w:ascii="Arial" w:cs="Arial" w:eastAsia="Arial" w:hAnsi="Arial"/>
                <w:sz w:val="7"/>
                <w:szCs w:val="7"/>
                <w:b w:val="1"/>
                <w:bCs w:val="1"/>
                <w:color w:val="auto"/>
                <w:w w:val="86"/>
              </w:rPr>
              <w:t>Loan to</w:t>
            </w:r>
          </w:p>
        </w:tc>
        <w:tc>
          <w:tcPr>
            <w:tcW w:w="80" w:type="dxa"/>
            <w:vAlign w:val="bottom"/>
          </w:tcPr>
          <w:p>
            <w:pPr>
              <w:spacing w:after="0" w:line="20" w:lineRule="exact"/>
              <w:rPr>
                <w:sz w:val="1"/>
                <w:szCs w:val="1"/>
                <w:color w:val="auto"/>
              </w:rPr>
            </w:pPr>
          </w:p>
        </w:tc>
        <w:tc>
          <w:tcPr>
            <w:tcW w:w="620" w:type="dxa"/>
            <w:vAlign w:val="bottom"/>
            <w:gridSpan w:val="2"/>
            <w:vMerge w:val="restart"/>
          </w:tcPr>
          <w:p>
            <w:pPr>
              <w:jc w:val="center"/>
              <w:ind w:right="160"/>
              <w:spacing w:after="0" w:line="75" w:lineRule="exact"/>
              <w:rPr>
                <w:sz w:val="20"/>
                <w:szCs w:val="20"/>
                <w:color w:val="auto"/>
              </w:rPr>
            </w:pPr>
            <w:r>
              <w:rPr>
                <w:rFonts w:ascii="Arial" w:cs="Arial" w:eastAsia="Arial" w:hAnsi="Arial"/>
                <w:sz w:val="7"/>
                <w:szCs w:val="7"/>
                <w:b w:val="1"/>
                <w:bCs w:val="1"/>
                <w:color w:val="auto"/>
                <w:w w:val="90"/>
              </w:rPr>
              <w:t>(Accumulated</w:t>
            </w:r>
          </w:p>
        </w:tc>
        <w:tc>
          <w:tcPr>
            <w:tcW w:w="80" w:type="dxa"/>
            <w:vAlign w:val="bottom"/>
          </w:tcPr>
          <w:p>
            <w:pPr>
              <w:spacing w:after="0" w:line="20" w:lineRule="exact"/>
              <w:rPr>
                <w:sz w:val="1"/>
                <w:szCs w:val="1"/>
                <w:color w:val="auto"/>
              </w:rPr>
            </w:pPr>
          </w:p>
        </w:tc>
        <w:tc>
          <w:tcPr>
            <w:tcW w:w="660" w:type="dxa"/>
            <w:vAlign w:val="bottom"/>
            <w:gridSpan w:val="2"/>
            <w:vMerge w:val="restart"/>
          </w:tcPr>
          <w:p>
            <w:pPr>
              <w:jc w:val="center"/>
              <w:ind w:right="160"/>
              <w:spacing w:after="0" w:line="75" w:lineRule="exact"/>
              <w:rPr>
                <w:sz w:val="20"/>
                <w:szCs w:val="20"/>
                <w:color w:val="auto"/>
              </w:rPr>
            </w:pPr>
            <w:r>
              <w:rPr>
                <w:rFonts w:ascii="Arial" w:cs="Arial" w:eastAsia="Arial" w:hAnsi="Arial"/>
                <w:sz w:val="7"/>
                <w:szCs w:val="7"/>
                <w:b w:val="1"/>
                <w:bCs w:val="1"/>
                <w:color w:val="auto"/>
                <w:w w:val="87"/>
              </w:rPr>
              <w:t>Comprehensive</w:t>
            </w: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vMerge w:val="restart"/>
          </w:tcPr>
          <w:p>
            <w:pPr>
              <w:jc w:val="center"/>
              <w:ind w:right="120"/>
              <w:spacing w:after="0" w:line="75" w:lineRule="exact"/>
              <w:rPr>
                <w:sz w:val="20"/>
                <w:szCs w:val="20"/>
                <w:color w:val="auto"/>
              </w:rPr>
            </w:pPr>
            <w:r>
              <w:rPr>
                <w:rFonts w:ascii="Arial" w:cs="Arial" w:eastAsia="Arial" w:hAnsi="Arial"/>
                <w:sz w:val="7"/>
                <w:szCs w:val="7"/>
                <w:b w:val="1"/>
                <w:bCs w:val="1"/>
                <w:color w:val="auto"/>
                <w:w w:val="90"/>
              </w:rPr>
              <w:t>to The Vita Coco</w:t>
            </w:r>
          </w:p>
        </w:tc>
        <w:tc>
          <w:tcPr>
            <w:tcW w:w="100" w:type="dxa"/>
            <w:vAlign w:val="bottom"/>
          </w:tcPr>
          <w:p>
            <w:pPr>
              <w:spacing w:after="0" w:line="20" w:lineRule="exact"/>
              <w:rPr>
                <w:sz w:val="1"/>
                <w:szCs w:val="1"/>
                <w:color w:val="auto"/>
              </w:rPr>
            </w:pPr>
          </w:p>
        </w:tc>
        <w:tc>
          <w:tcPr>
            <w:tcW w:w="600" w:type="dxa"/>
            <w:vAlign w:val="bottom"/>
            <w:gridSpan w:val="2"/>
            <w:vMerge w:val="restart"/>
          </w:tcPr>
          <w:p>
            <w:pPr>
              <w:ind w:left="20"/>
              <w:spacing w:after="0" w:line="74" w:lineRule="exact"/>
              <w:rPr>
                <w:sz w:val="20"/>
                <w:szCs w:val="20"/>
                <w:color w:val="auto"/>
              </w:rPr>
            </w:pPr>
            <w:r>
              <w:rPr>
                <w:rFonts w:ascii="Arial" w:cs="Arial" w:eastAsia="Arial" w:hAnsi="Arial"/>
                <w:sz w:val="8"/>
                <w:szCs w:val="8"/>
                <w:b w:val="1"/>
                <w:bCs w:val="1"/>
                <w:color w:val="auto"/>
              </w:rPr>
              <w:t>Interest in</w:t>
            </w:r>
          </w:p>
        </w:tc>
        <w:tc>
          <w:tcPr>
            <w:tcW w:w="80" w:type="dxa"/>
            <w:vAlign w:val="bottom"/>
          </w:tcPr>
          <w:p>
            <w:pPr>
              <w:spacing w:after="0" w:line="20" w:lineRule="exact"/>
              <w:rPr>
                <w:sz w:val="1"/>
                <w:szCs w:val="1"/>
                <w:color w:val="auto"/>
              </w:rPr>
            </w:pPr>
          </w:p>
        </w:tc>
        <w:tc>
          <w:tcPr>
            <w:tcW w:w="540" w:type="dxa"/>
            <w:vAlign w:val="bottom"/>
            <w:vMerge w:val="restart"/>
          </w:tcPr>
          <w:p>
            <w:pPr>
              <w:jc w:val="center"/>
              <w:ind w:right="58"/>
              <w:spacing w:after="0" w:line="75" w:lineRule="exact"/>
              <w:rPr>
                <w:sz w:val="20"/>
                <w:szCs w:val="20"/>
                <w:color w:val="auto"/>
              </w:rPr>
            </w:pPr>
            <w:r>
              <w:rPr>
                <w:rFonts w:ascii="Arial" w:cs="Arial" w:eastAsia="Arial" w:hAnsi="Arial"/>
                <w:sz w:val="7"/>
                <w:szCs w:val="7"/>
                <w:b w:val="1"/>
                <w:bCs w:val="1"/>
                <w:color w:val="auto"/>
                <w:w w:val="86"/>
              </w:rPr>
              <w:t>Stockholders'</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Shares</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4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620" w:type="dxa"/>
            <w:vAlign w:val="bottom"/>
            <w:gridSpan w:val="2"/>
            <w:vMerge w:val="restart"/>
          </w:tcPr>
          <w:p>
            <w:pPr>
              <w:ind w:left="160"/>
              <w:spacing w:after="0"/>
              <w:rPr>
                <w:sz w:val="20"/>
                <w:szCs w:val="20"/>
                <w:color w:val="auto"/>
              </w:rPr>
            </w:pPr>
            <w:r>
              <w:rPr>
                <w:rFonts w:ascii="Arial" w:cs="Arial" w:eastAsia="Arial" w:hAnsi="Arial"/>
                <w:sz w:val="8"/>
                <w:szCs w:val="8"/>
                <w:b w:val="1"/>
                <w:bCs w:val="1"/>
                <w:color w:val="auto"/>
              </w:rPr>
              <w:t>Shares</w:t>
            </w:r>
          </w:p>
        </w:tc>
        <w:tc>
          <w:tcPr>
            <w:tcW w:w="1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5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vMerge w:val="restart"/>
          </w:tcPr>
          <w:p>
            <w:pPr>
              <w:ind w:left="20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2"/>
                <w:szCs w:val="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2"/>
                <w:szCs w:val="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9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8"/>
              </w:rPr>
              <w:t>Shareholder</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92"/>
              </w:rPr>
              <w:t>Deficit)</w:t>
            </w:r>
          </w:p>
        </w:tc>
        <w:tc>
          <w:tcPr>
            <w:tcW w:w="80" w:type="dxa"/>
            <w:vAlign w:val="bottom"/>
          </w:tcPr>
          <w:p>
            <w:pPr>
              <w:spacing w:after="0"/>
              <w:rPr>
                <w:sz w:val="9"/>
                <w:szCs w:val="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9"/>
              </w:rPr>
              <w:t>Income / (Loss)</w:t>
            </w: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6"/>
              </w:rPr>
              <w:t>Company, Inc.</w:t>
            </w:r>
          </w:p>
        </w:tc>
        <w:tc>
          <w:tcPr>
            <w:tcW w:w="100" w:type="dxa"/>
            <w:vAlign w:val="bottom"/>
          </w:tcPr>
          <w:p>
            <w:pPr>
              <w:spacing w:after="0"/>
              <w:rPr>
                <w:sz w:val="9"/>
                <w:szCs w:val="9"/>
                <w:color w:val="auto"/>
              </w:rPr>
            </w:pPr>
          </w:p>
        </w:tc>
        <w:tc>
          <w:tcPr>
            <w:tcW w:w="600" w:type="dxa"/>
            <w:vAlign w:val="bottom"/>
            <w:gridSpan w:val="2"/>
          </w:tcPr>
          <w:p>
            <w:pPr>
              <w:ind w:left="20"/>
              <w:spacing w:after="0"/>
              <w:rPr>
                <w:sz w:val="20"/>
                <w:szCs w:val="20"/>
                <w:color w:val="auto"/>
              </w:rPr>
            </w:pPr>
            <w:r>
              <w:rPr>
                <w:rFonts w:ascii="Arial" w:cs="Arial" w:eastAsia="Arial" w:hAnsi="Arial"/>
                <w:sz w:val="8"/>
                <w:szCs w:val="8"/>
                <w:b w:val="1"/>
                <w:bCs w:val="1"/>
                <w:color w:val="auto"/>
              </w:rPr>
              <w:t>Subsidiary</w:t>
            </w:r>
          </w:p>
        </w:tc>
        <w:tc>
          <w:tcPr>
            <w:tcW w:w="80" w:type="dxa"/>
            <w:vAlign w:val="bottom"/>
          </w:tcPr>
          <w:p>
            <w:pPr>
              <w:spacing w:after="0"/>
              <w:rPr>
                <w:sz w:val="9"/>
                <w:szCs w:val="9"/>
                <w:color w:val="auto"/>
              </w:rPr>
            </w:pPr>
          </w:p>
        </w:tc>
        <w:tc>
          <w:tcPr>
            <w:tcW w:w="540" w:type="dxa"/>
            <w:vAlign w:val="bottom"/>
          </w:tcPr>
          <w:p>
            <w:pPr>
              <w:jc w:val="center"/>
              <w:ind w:right="38"/>
              <w:spacing w:after="0"/>
              <w:rPr>
                <w:sz w:val="20"/>
                <w:szCs w:val="20"/>
                <w:color w:val="auto"/>
              </w:rPr>
            </w:pPr>
            <w:r>
              <w:rPr>
                <w:rFonts w:ascii="Arial" w:cs="Arial" w:eastAsia="Arial" w:hAnsi="Arial"/>
                <w:sz w:val="7"/>
                <w:szCs w:val="7"/>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b w:val="1"/>
                <w:bCs w:val="1"/>
                <w:color w:val="auto"/>
              </w:rPr>
              <w:t>Balance at January 1,</w:t>
            </w: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b w:val="1"/>
                <w:bCs w:val="1"/>
                <w:color w:val="auto"/>
              </w:rPr>
              <w:t>2020</w:t>
            </w: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50,793,470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508</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8,113,105</w:t>
            </w: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81</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58,906,575</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589</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98,450</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(17,700)</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(4,306)</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(1,295)</w:t>
            </w: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211,575</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(1,985)</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73,753</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46</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73,799</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Net income</w:t>
            </w: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32,660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32,660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32,687</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7"/>
              </w:rPr>
              <w:t>Purchase of treasury stock</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802,620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w w:val="95"/>
              </w:rPr>
              <w:t>Stock-based compensation</w:t>
            </w: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1,517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1,517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1,517</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Exercise of stock options</w:t>
            </w: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177,450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177,450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2</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882</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884</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884</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Exercise of service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warrants</w:t>
            </w:r>
          </w:p>
        </w:tc>
        <w:tc>
          <w:tcPr>
            <w:tcW w:w="500" w:type="dxa"/>
            <w:vAlign w:val="bottom"/>
          </w:tcPr>
          <w:p>
            <w:pPr>
              <w:jc w:val="right"/>
              <w:spacing w:after="0"/>
              <w:rPr>
                <w:sz w:val="20"/>
                <w:szCs w:val="20"/>
                <w:color w:val="auto"/>
              </w:rPr>
            </w:pPr>
            <w:r>
              <w:rPr>
                <w:rFonts w:ascii="Arial" w:cs="Arial" w:eastAsia="Arial" w:hAnsi="Arial"/>
                <w:sz w:val="8"/>
                <w:szCs w:val="8"/>
                <w:color w:val="auto"/>
              </w:rPr>
              <w:t>116,025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116,025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Foreign currency</w:t>
            </w: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color w:val="auto"/>
              </w:rPr>
              <w:t>translation adjustment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346</w:t>
            </w: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346</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351</w:t>
            </w:r>
          </w:p>
        </w:tc>
        <w:tc>
          <w:tcPr>
            <w:tcW w:w="0" w:type="dxa"/>
            <w:vAlign w:val="bottom"/>
          </w:tcPr>
          <w:p>
            <w:pPr>
              <w:spacing w:after="0"/>
              <w:rPr>
                <w:sz w:val="1"/>
                <w:szCs w:val="1"/>
                <w:color w:val="auto"/>
              </w:rPr>
            </w:pPr>
          </w:p>
        </w:tc>
      </w:tr>
      <w:tr>
        <w:trPr>
          <w:trHeight w:val="107"/>
        </w:trPr>
        <w:tc>
          <w:tcPr>
            <w:tcW w:w="960" w:type="dxa"/>
            <w:vAlign w:val="bottom"/>
          </w:tcPr>
          <w:p>
            <w:pPr>
              <w:ind w:left="20"/>
              <w:spacing w:after="0"/>
              <w:rPr>
                <w:sz w:val="20"/>
                <w:szCs w:val="20"/>
                <w:color w:val="auto"/>
              </w:rPr>
            </w:pPr>
            <w:r>
              <w:rPr>
                <w:rFonts w:ascii="Arial" w:cs="Arial" w:eastAsia="Arial" w:hAnsi="Arial"/>
                <w:sz w:val="8"/>
                <w:szCs w:val="8"/>
                <w:b w:val="1"/>
                <w:bCs w:val="1"/>
                <w:color w:val="auto"/>
                <w:w w:val="97"/>
              </w:rPr>
              <w:t>Balance at December 31,</w:t>
            </w:r>
          </w:p>
        </w:tc>
        <w:tc>
          <w:tcPr>
            <w:tcW w:w="5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51,086,945</w:t>
            </w:r>
          </w:p>
        </w:tc>
        <w:tc>
          <w:tcPr>
            <w:tcW w:w="80" w:type="dxa"/>
            <w:vAlign w:val="bottom"/>
          </w:tcPr>
          <w:p>
            <w:pPr>
              <w:spacing w:after="0"/>
              <w:rPr>
                <w:sz w:val="9"/>
                <w:szCs w:val="9"/>
                <w:color w:val="auto"/>
              </w:rPr>
            </w:pPr>
          </w:p>
        </w:tc>
        <w:tc>
          <w:tcPr>
            <w:tcW w:w="80" w:type="dxa"/>
            <w:vAlign w:val="bottom"/>
            <w:vMerge w:val="restart"/>
          </w:tcPr>
          <w:p>
            <w:pPr>
              <w:jc w:val="right"/>
              <w:ind w:right="9"/>
              <w:spacing w:after="0"/>
              <w:rPr>
                <w:sz w:val="20"/>
                <w:szCs w:val="20"/>
                <w:color w:val="auto"/>
              </w:rPr>
            </w:pPr>
            <w:r>
              <w:rPr>
                <w:rFonts w:ascii="Arial" w:cs="Arial" w:eastAsia="Arial" w:hAnsi="Arial"/>
                <w:sz w:val="5"/>
                <w:szCs w:val="5"/>
                <w:b w:val="1"/>
                <w:bCs w:val="1"/>
                <w:color w:val="auto"/>
                <w:w w:val="70"/>
              </w:rPr>
              <w:t>$</w:t>
            </w:r>
          </w:p>
        </w:tc>
        <w:tc>
          <w:tcPr>
            <w:tcW w:w="3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511</w:t>
            </w: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tcPr>
          <w:p>
            <w:pPr>
              <w:spacing w:after="0"/>
              <w:rPr>
                <w:sz w:val="9"/>
                <w:szCs w:val="9"/>
                <w:color w:val="auto"/>
              </w:rPr>
            </w:pPr>
          </w:p>
        </w:tc>
        <w:tc>
          <w:tcPr>
            <w:tcW w:w="18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4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81</w:t>
            </w: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59,200,050</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592</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100,849</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(17,700)</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ind w:right="19"/>
              <w:spacing w:after="0"/>
              <w:rPr>
                <w:sz w:val="20"/>
                <w:szCs w:val="20"/>
                <w:color w:val="auto"/>
              </w:rPr>
            </w:pPr>
            <w:r>
              <w:rPr>
                <w:rFonts w:ascii="Arial" w:cs="Arial" w:eastAsia="Arial" w:hAnsi="Arial"/>
                <w:sz w:val="8"/>
                <w:szCs w:val="8"/>
                <w:b w:val="1"/>
                <w:bCs w:val="1"/>
                <w:color w:val="auto"/>
              </w:rPr>
              <w:t>28,354</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6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(949)</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1,014,195</w:t>
            </w:r>
          </w:p>
        </w:tc>
        <w:tc>
          <w:tcPr>
            <w:tcW w:w="60" w:type="dxa"/>
            <w:vAlign w:val="bottom"/>
          </w:tcPr>
          <w:p>
            <w:pPr>
              <w:spacing w:after="0"/>
              <w:rPr>
                <w:sz w:val="9"/>
                <w:szCs w:val="9"/>
                <w:color w:val="auto"/>
              </w:rPr>
            </w:pPr>
          </w:p>
        </w:tc>
        <w:tc>
          <w:tcPr>
            <w:tcW w:w="1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(8,925)</w:t>
            </w:r>
          </w:p>
        </w:tc>
        <w:tc>
          <w:tcPr>
            <w:tcW w:w="6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102,221</w:t>
            </w:r>
          </w:p>
        </w:tc>
        <w:tc>
          <w:tcPr>
            <w:tcW w:w="6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8"/>
                <w:szCs w:val="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78</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102,299</w:t>
            </w:r>
          </w:p>
        </w:tc>
        <w:tc>
          <w:tcPr>
            <w:tcW w:w="0" w:type="dxa"/>
            <w:vAlign w:val="bottom"/>
          </w:tcPr>
          <w:p>
            <w:pPr>
              <w:spacing w:after="0"/>
              <w:rPr>
                <w:sz w:val="1"/>
                <w:szCs w:val="1"/>
                <w:color w:val="auto"/>
              </w:rPr>
            </w:pPr>
          </w:p>
        </w:tc>
      </w:tr>
      <w:tr>
        <w:trPr>
          <w:trHeight w:val="110"/>
        </w:trPr>
        <w:tc>
          <w:tcPr>
            <w:tcW w:w="960" w:type="dxa"/>
            <w:vAlign w:val="bottom"/>
          </w:tcPr>
          <w:p>
            <w:pPr>
              <w:ind w:left="120"/>
              <w:spacing w:after="0"/>
              <w:rPr>
                <w:sz w:val="20"/>
                <w:szCs w:val="20"/>
                <w:color w:val="auto"/>
              </w:rPr>
            </w:pPr>
            <w:r>
              <w:rPr>
                <w:rFonts w:ascii="Arial" w:cs="Arial" w:eastAsia="Arial" w:hAnsi="Arial"/>
                <w:sz w:val="8"/>
                <w:szCs w:val="8"/>
                <w:b w:val="1"/>
                <w:bCs w:val="1"/>
                <w:color w:val="auto"/>
              </w:rPr>
              <w:t>2020</w:t>
            </w:r>
          </w:p>
        </w:tc>
        <w:tc>
          <w:tcPr>
            <w:tcW w:w="5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60" w:type="dxa"/>
            <w:vAlign w:val="bottom"/>
            <w:shd w:val="clear" w:color="auto" w:fill="CFF0FC"/>
          </w:tcPr>
          <w:p>
            <w:pPr>
              <w:ind w:left="20"/>
              <w:spacing w:after="0" w:line="86" w:lineRule="exact"/>
              <w:rPr>
                <w:sz w:val="20"/>
                <w:szCs w:val="20"/>
                <w:color w:val="auto"/>
              </w:rPr>
            </w:pPr>
            <w:r>
              <w:rPr>
                <w:rFonts w:ascii="Arial" w:cs="Arial" w:eastAsia="Arial" w:hAnsi="Arial"/>
                <w:sz w:val="8"/>
                <w:szCs w:val="8"/>
                <w:color w:val="auto"/>
              </w:rPr>
              <w:t>Net income</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19,015</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19,015</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(23)</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18,992</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w w:val="97"/>
              </w:rPr>
              <w:t>Issuance of common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pursuant to initial</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public offering, net of</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underwriting discounts</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60" w:type="dxa"/>
            <w:vAlign w:val="bottom"/>
          </w:tcPr>
          <w:p>
            <w:pPr>
              <w:ind w:left="120"/>
              <w:spacing w:after="0"/>
              <w:rPr>
                <w:sz w:val="20"/>
                <w:szCs w:val="20"/>
                <w:color w:val="auto"/>
              </w:rPr>
            </w:pPr>
            <w:r>
              <w:rPr>
                <w:rFonts w:ascii="Arial" w:cs="Arial" w:eastAsia="Arial" w:hAnsi="Arial"/>
                <w:sz w:val="8"/>
                <w:szCs w:val="8"/>
                <w:color w:val="auto"/>
              </w:rPr>
              <w:t>and offering costs</w:t>
            </w:r>
          </w:p>
        </w:tc>
        <w:tc>
          <w:tcPr>
            <w:tcW w:w="500" w:type="dxa"/>
            <w:vAlign w:val="bottom"/>
          </w:tcPr>
          <w:p>
            <w:pPr>
              <w:jc w:val="right"/>
              <w:spacing w:after="0"/>
              <w:rPr>
                <w:sz w:val="20"/>
                <w:szCs w:val="20"/>
                <w:color w:val="auto"/>
              </w:rPr>
            </w:pPr>
            <w:r>
              <w:rPr>
                <w:rFonts w:ascii="Arial" w:cs="Arial" w:eastAsia="Arial" w:hAnsi="Arial"/>
                <w:sz w:val="8"/>
                <w:szCs w:val="8"/>
                <w:color w:val="auto"/>
              </w:rPr>
              <w:t>2,500,000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25</w:t>
            </w:r>
          </w:p>
        </w:tc>
        <w:tc>
          <w:tcPr>
            <w:tcW w:w="6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2,500,000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8"/>
              <w:spacing w:after="0"/>
              <w:rPr>
                <w:sz w:val="20"/>
                <w:szCs w:val="20"/>
                <w:color w:val="auto"/>
              </w:rPr>
            </w:pPr>
            <w:r>
              <w:rPr>
                <w:rFonts w:ascii="Arial" w:cs="Arial" w:eastAsia="Arial" w:hAnsi="Arial"/>
                <w:sz w:val="8"/>
                <w:szCs w:val="8"/>
                <w:color w:val="auto"/>
              </w:rPr>
              <w:t>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30,331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30,356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30,356</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7"/>
              </w:rPr>
              <w:t>Purchase of treasury stock</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5,192,005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(50,003)</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(50,003)</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(50,003)</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Loan to Stockholder</w:t>
            </w: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17,700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17,700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17,700</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5"/>
              </w:rPr>
              <w:t>Stock-based compensation</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3,380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3,380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3,380</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8"/>
                <w:szCs w:val="8"/>
                <w:color w:val="auto"/>
              </w:rPr>
              <w:t>20,930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20,930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178</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Acquisition of non-</w:t>
            </w: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color w:val="auto"/>
              </w:rPr>
              <w:t>controlling interest</w:t>
            </w: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43,602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43,602</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(8)</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13</w:t>
            </w: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6</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(59)</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(53)</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Foreign currency</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translation adjustment</w:t>
            </w: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320</w:t>
            </w:r>
          </w:p>
        </w:tc>
        <w:tc>
          <w:tcPr>
            <w:tcW w:w="6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320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324</w:t>
            </w:r>
          </w:p>
        </w:tc>
        <w:tc>
          <w:tcPr>
            <w:tcW w:w="0" w:type="dxa"/>
            <w:vAlign w:val="bottom"/>
          </w:tcPr>
          <w:p>
            <w:pPr>
              <w:spacing w:after="0"/>
              <w:rPr>
                <w:sz w:val="1"/>
                <w:szCs w:val="1"/>
                <w:color w:val="auto"/>
              </w:rPr>
            </w:pPr>
          </w:p>
        </w:tc>
      </w:tr>
      <w:tr>
        <w:trPr>
          <w:trHeight w:val="11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b w:val="1"/>
                <w:bCs w:val="1"/>
                <w:color w:val="auto"/>
              </w:rPr>
              <w:t>Balance at Balance at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53,651,477</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ind w:right="9"/>
              <w:spacing w:after="0"/>
              <w:rPr>
                <w:sz w:val="20"/>
                <w:szCs w:val="20"/>
                <w:color w:val="auto"/>
              </w:rPr>
            </w:pPr>
            <w:r>
              <w:rPr>
                <w:rFonts w:ascii="Arial" w:cs="Arial" w:eastAsia="Arial" w:hAnsi="Arial"/>
                <w:sz w:val="5"/>
                <w:szCs w:val="5"/>
                <w:b w:val="1"/>
                <w:bCs w:val="1"/>
                <w:color w:val="auto"/>
                <w:w w:val="70"/>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537</w:t>
            </w: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81</w:t>
            </w: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61,764,582</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rPr>
              <w:t>618</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134,730</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rPr>
              <w:t>—</w:t>
            </w:r>
          </w:p>
        </w:tc>
        <w:tc>
          <w:tcPr>
            <w:tcW w:w="60" w:type="dxa"/>
            <w:vAlign w:val="bottom"/>
            <w:vMerge w:val="restart"/>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shd w:val="clear" w:color="auto" w:fill="CFF0FC"/>
          </w:tcPr>
          <w:p>
            <w:pPr>
              <w:jc w:val="right"/>
              <w:ind w:right="19"/>
              <w:spacing w:after="0"/>
              <w:rPr>
                <w:sz w:val="20"/>
                <w:szCs w:val="20"/>
                <w:color w:val="auto"/>
              </w:rPr>
            </w:pPr>
            <w:r>
              <w:rPr>
                <w:rFonts w:ascii="Arial" w:cs="Arial" w:eastAsia="Arial" w:hAnsi="Arial"/>
                <w:sz w:val="8"/>
                <w:szCs w:val="8"/>
                <w:b w:val="1"/>
                <w:bCs w:val="1"/>
                <w:color w:val="auto"/>
              </w:rPr>
              <w:t>47,369</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(616)</w:t>
            </w: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6,206,200</w:t>
            </w:r>
          </w:p>
        </w:tc>
        <w:tc>
          <w:tcPr>
            <w:tcW w:w="6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(58,928)</w:t>
            </w:r>
          </w:p>
        </w:tc>
        <w:tc>
          <w:tcPr>
            <w:tcW w:w="6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123,173</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8"/>
                <w:szCs w:val="8"/>
                <w:b w:val="1"/>
                <w:bCs w:val="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w:t>
            </w:r>
          </w:p>
        </w:tc>
        <w:tc>
          <w:tcPr>
            <w:tcW w:w="60" w:type="dxa"/>
            <w:vAlign w:val="bottom"/>
            <w:vMerge w:val="restart"/>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123,173</w:t>
            </w:r>
          </w:p>
        </w:tc>
        <w:tc>
          <w:tcPr>
            <w:tcW w:w="0" w:type="dxa"/>
            <w:vAlign w:val="bottom"/>
          </w:tcPr>
          <w:p>
            <w:pPr>
              <w:spacing w:after="0"/>
              <w:rPr>
                <w:sz w:val="1"/>
                <w:szCs w:val="1"/>
                <w:color w:val="auto"/>
              </w:rPr>
            </w:pPr>
          </w:p>
        </w:tc>
      </w:tr>
      <w:tr>
        <w:trPr>
          <w:trHeight w:val="125"/>
        </w:trPr>
        <w:tc>
          <w:tcPr>
            <w:tcW w:w="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8"/>
                <w:szCs w:val="8"/>
                <w:b w:val="1"/>
                <w:bCs w:val="1"/>
                <w:color w:val="auto"/>
              </w:rPr>
              <w:t>December 31, 2021</w:t>
            </w:r>
          </w:p>
        </w:tc>
        <w:tc>
          <w:tcPr>
            <w:tcW w:w="50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3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vMerge w:val="continue"/>
            <w:shd w:val="clear" w:color="auto" w:fill="CFF0FC"/>
          </w:tcPr>
          <w:p>
            <w:pPr>
              <w:spacing w:after="0"/>
              <w:rPr>
                <w:sz w:val="10"/>
                <w:szCs w:val="10"/>
                <w:color w:val="auto"/>
              </w:rPr>
            </w:pPr>
          </w:p>
        </w:tc>
        <w:tc>
          <w:tcPr>
            <w:tcW w:w="4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ind w:left="20"/>
              <w:spacing w:after="0"/>
              <w:rPr>
                <w:sz w:val="20"/>
                <w:szCs w:val="20"/>
                <w:color w:val="auto"/>
              </w:rPr>
            </w:pPr>
            <w:r>
              <w:rPr>
                <w:rFonts w:ascii="Arial" w:cs="Arial" w:eastAsia="Arial" w:hAnsi="Arial"/>
                <w:sz w:val="8"/>
                <w:szCs w:val="8"/>
                <w:color w:val="auto"/>
              </w:rPr>
              <w:t>Net income</w:t>
            </w: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960" w:type="dxa"/>
            <w:vAlign w:val="bottom"/>
            <w:vMerge w:val="continue"/>
          </w:tcPr>
          <w:p>
            <w:pPr>
              <w:spacing w:after="0"/>
              <w:rPr>
                <w:sz w:val="7"/>
                <w:szCs w:val="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7,814</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7,814</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7,814</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5"/>
              </w:rPr>
              <w:t>Stock-based compensation</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7,384</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7,384</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7,384</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8"/>
                <w:szCs w:val="8"/>
                <w:color w:val="auto"/>
              </w:rPr>
              <w:t>460,668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4</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460,668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8"/>
              <w:spacing w:after="0"/>
              <w:rPr>
                <w:sz w:val="20"/>
                <w:szCs w:val="20"/>
                <w:color w:val="auto"/>
              </w:rPr>
            </w:pPr>
            <w:r>
              <w:rPr>
                <w:rFonts w:ascii="Arial" w:cs="Arial" w:eastAsia="Arial" w:hAnsi="Arial"/>
                <w:sz w:val="8"/>
                <w:szCs w:val="8"/>
                <w:color w:val="auto"/>
              </w:rPr>
              <w:t>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3,096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3,100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3,100</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Foreign currency</w:t>
            </w: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color w:val="auto"/>
              </w:rPr>
              <w:t>translation adjustment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(378)</w:t>
            </w: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(378)</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(378)</w:t>
            </w:r>
          </w:p>
        </w:tc>
        <w:tc>
          <w:tcPr>
            <w:tcW w:w="0" w:type="dxa"/>
            <w:vAlign w:val="bottom"/>
          </w:tcPr>
          <w:p>
            <w:pPr>
              <w:spacing w:after="0"/>
              <w:rPr>
                <w:sz w:val="1"/>
                <w:szCs w:val="1"/>
                <w:color w:val="auto"/>
              </w:rPr>
            </w:pPr>
          </w:p>
        </w:tc>
      </w:tr>
      <w:tr>
        <w:trPr>
          <w:trHeight w:val="107"/>
        </w:trPr>
        <w:tc>
          <w:tcPr>
            <w:tcW w:w="960" w:type="dxa"/>
            <w:vAlign w:val="bottom"/>
          </w:tcPr>
          <w:p>
            <w:pPr>
              <w:ind w:left="20"/>
              <w:spacing w:after="0"/>
              <w:rPr>
                <w:sz w:val="20"/>
                <w:szCs w:val="20"/>
                <w:color w:val="auto"/>
              </w:rPr>
            </w:pPr>
            <w:r>
              <w:rPr>
                <w:rFonts w:ascii="Arial" w:cs="Arial" w:eastAsia="Arial" w:hAnsi="Arial"/>
                <w:sz w:val="8"/>
                <w:szCs w:val="8"/>
                <w:b w:val="1"/>
                <w:bCs w:val="1"/>
                <w:color w:val="auto"/>
                <w:w w:val="97"/>
              </w:rPr>
              <w:t>Balance at December 31,</w:t>
            </w:r>
          </w:p>
        </w:tc>
        <w:tc>
          <w:tcPr>
            <w:tcW w:w="5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54,112,145</w:t>
            </w:r>
          </w:p>
        </w:tc>
        <w:tc>
          <w:tcPr>
            <w:tcW w:w="80" w:type="dxa"/>
            <w:vAlign w:val="bottom"/>
          </w:tcPr>
          <w:p>
            <w:pPr>
              <w:spacing w:after="0"/>
              <w:rPr>
                <w:sz w:val="9"/>
                <w:szCs w:val="9"/>
                <w:color w:val="auto"/>
              </w:rPr>
            </w:pPr>
          </w:p>
        </w:tc>
        <w:tc>
          <w:tcPr>
            <w:tcW w:w="80" w:type="dxa"/>
            <w:vAlign w:val="bottom"/>
            <w:vMerge w:val="restart"/>
          </w:tcPr>
          <w:p>
            <w:pPr>
              <w:jc w:val="right"/>
              <w:ind w:right="9"/>
              <w:spacing w:after="0"/>
              <w:rPr>
                <w:sz w:val="20"/>
                <w:szCs w:val="20"/>
                <w:color w:val="auto"/>
              </w:rPr>
            </w:pPr>
            <w:r>
              <w:rPr>
                <w:rFonts w:ascii="Arial" w:cs="Arial" w:eastAsia="Arial" w:hAnsi="Arial"/>
                <w:sz w:val="5"/>
                <w:szCs w:val="5"/>
                <w:b w:val="1"/>
                <w:bCs w:val="1"/>
                <w:color w:val="auto"/>
                <w:w w:val="70"/>
              </w:rPr>
              <w:t>$</w:t>
            </w:r>
          </w:p>
        </w:tc>
        <w:tc>
          <w:tcPr>
            <w:tcW w:w="3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541</w:t>
            </w: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tcPr>
          <w:p>
            <w:pPr>
              <w:spacing w:after="0"/>
              <w:rPr>
                <w:sz w:val="9"/>
                <w:szCs w:val="9"/>
                <w:color w:val="auto"/>
              </w:rPr>
            </w:pPr>
          </w:p>
        </w:tc>
        <w:tc>
          <w:tcPr>
            <w:tcW w:w="18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4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81</w:t>
            </w: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62,225,250</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622</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145,210</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ind w:right="19"/>
              <w:spacing w:after="0"/>
              <w:rPr>
                <w:sz w:val="20"/>
                <w:szCs w:val="20"/>
                <w:color w:val="auto"/>
              </w:rPr>
            </w:pPr>
            <w:r>
              <w:rPr>
                <w:rFonts w:ascii="Arial" w:cs="Arial" w:eastAsia="Arial" w:hAnsi="Arial"/>
                <w:sz w:val="8"/>
                <w:szCs w:val="8"/>
                <w:b w:val="1"/>
                <w:bCs w:val="1"/>
                <w:color w:val="auto"/>
              </w:rPr>
              <w:t>55,183</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6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(994)</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6,206,200</w:t>
            </w:r>
          </w:p>
        </w:tc>
        <w:tc>
          <w:tcPr>
            <w:tcW w:w="60" w:type="dxa"/>
            <w:vAlign w:val="bottom"/>
          </w:tcPr>
          <w:p>
            <w:pPr>
              <w:spacing w:after="0"/>
              <w:rPr>
                <w:sz w:val="9"/>
                <w:szCs w:val="9"/>
                <w:color w:val="auto"/>
              </w:rPr>
            </w:pPr>
          </w:p>
        </w:tc>
        <w:tc>
          <w:tcPr>
            <w:tcW w:w="1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(58,928)</w:t>
            </w:r>
          </w:p>
        </w:tc>
        <w:tc>
          <w:tcPr>
            <w:tcW w:w="6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141,093</w:t>
            </w:r>
          </w:p>
        </w:tc>
        <w:tc>
          <w:tcPr>
            <w:tcW w:w="6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8"/>
                <w:szCs w:val="8"/>
                <w:b w:val="1"/>
                <w:bCs w:val="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8"/>
                <w:szCs w:val="8"/>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141,093</w:t>
            </w: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rPr>
                <w:sz w:val="20"/>
                <w:szCs w:val="20"/>
                <w:color w:val="auto"/>
              </w:rPr>
            </w:pPr>
            <w:r>
              <w:rPr>
                <w:rFonts w:ascii="Arial" w:cs="Arial" w:eastAsia="Arial" w:hAnsi="Arial"/>
                <w:sz w:val="8"/>
                <w:szCs w:val="8"/>
                <w:b w:val="1"/>
                <w:bCs w:val="1"/>
                <w:color w:val="auto"/>
              </w:rPr>
              <w:t>2022</w:t>
            </w: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118" w:right="67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299"/>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6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2020</w:t>
            </w:r>
          </w:p>
        </w:tc>
      </w:tr>
      <w:tr>
        <w:trPr>
          <w:trHeight w:val="15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0"/>
        </w:trPr>
        <w:tc>
          <w:tcPr>
            <w:tcW w:w="63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7,814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18,992</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32,687</w:t>
            </w:r>
          </w:p>
        </w:tc>
      </w:tr>
      <w:tr>
        <w:trPr>
          <w:trHeight w:val="179"/>
        </w:trPr>
        <w:tc>
          <w:tcPr>
            <w:tcW w:w="632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Depreciation and amortization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1,901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2,069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2,125</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(Gain)/loss on disposal of equipment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Bad debt expense</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2,641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859</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Unrealized (gain)/loss on derivative instruments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(6,606)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4,718</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Stock-based compensation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7,384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3,380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1,517</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Impairment loss on assets held for sale</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619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90</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Impairment of intangible assets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6,714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Deferred tax expense/(benefit)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(1,644)</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6,282</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Noncash lease expense</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1,058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Change in fair value of contingent consideration</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(16,400)</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Loss on extinguishment of debt</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380"/>
              <w:spacing w:after="0"/>
              <w:rPr>
                <w:sz w:val="20"/>
                <w:szCs w:val="20"/>
                <w:color w:val="auto"/>
              </w:rPr>
            </w:pPr>
            <w:r>
              <w:rPr>
                <w:rFonts w:ascii="Arial" w:cs="Arial" w:eastAsia="Arial" w:hAnsi="Arial"/>
                <w:sz w:val="11"/>
                <w:szCs w:val="11"/>
                <w:color w:val="auto"/>
              </w:rPr>
              <w:t>Changes in operating assets and liabilities: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580"/>
              <w:spacing w:after="0"/>
              <w:rPr>
                <w:sz w:val="20"/>
                <w:szCs w:val="20"/>
                <w:color w:val="auto"/>
              </w:rPr>
            </w:pPr>
            <w:r>
              <w:rPr>
                <w:rFonts w:ascii="Arial" w:cs="Arial" w:eastAsia="Arial" w:hAnsi="Arial"/>
                <w:sz w:val="11"/>
                <w:szCs w:val="11"/>
                <w:color w:val="auto"/>
              </w:rPr>
              <w:t>Accounts receivable</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(16,917)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190</w:t>
            </w:r>
          </w:p>
        </w:tc>
      </w:tr>
      <w:tr>
        <w:trPr>
          <w:trHeight w:val="179"/>
        </w:trPr>
        <w:tc>
          <w:tcPr>
            <w:tcW w:w="6320" w:type="dxa"/>
            <w:vAlign w:val="bottom"/>
            <w:shd w:val="clear" w:color="auto" w:fill="CFF0FC"/>
          </w:tcPr>
          <w:p>
            <w:pPr>
              <w:ind w:left="580"/>
              <w:spacing w:after="0"/>
              <w:rPr>
                <w:sz w:val="20"/>
                <w:szCs w:val="20"/>
                <w:color w:val="auto"/>
              </w:rPr>
            </w:pPr>
            <w:r>
              <w:rPr>
                <w:rFonts w:ascii="Arial" w:cs="Arial" w:eastAsia="Arial" w:hAnsi="Arial"/>
                <w:sz w:val="11"/>
                <w:szCs w:val="11"/>
                <w:color w:val="auto"/>
              </w:rPr>
              <w:t>Inventory</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(43,501)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4,978</w:t>
            </w:r>
          </w:p>
        </w:tc>
      </w:tr>
      <w:tr>
        <w:trPr>
          <w:trHeight w:val="160"/>
        </w:trPr>
        <w:tc>
          <w:tcPr>
            <w:tcW w:w="6320" w:type="dxa"/>
            <w:vAlign w:val="bottom"/>
          </w:tcPr>
          <w:p>
            <w:pPr>
              <w:ind w:left="580"/>
              <w:spacing w:after="0"/>
              <w:rPr>
                <w:sz w:val="20"/>
                <w:szCs w:val="20"/>
                <w:color w:val="auto"/>
              </w:rPr>
            </w:pPr>
            <w:r>
              <w:rPr>
                <w:rFonts w:ascii="Arial" w:cs="Arial" w:eastAsia="Arial" w:hAnsi="Arial"/>
                <w:sz w:val="11"/>
                <w:szCs w:val="11"/>
                <w:color w:val="auto"/>
              </w:rPr>
              <w:t>Prepaid expenses, net supplier advances, and other assets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2,725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(16,426)</w:t>
            </w:r>
          </w:p>
        </w:tc>
      </w:tr>
      <w:tr>
        <w:trPr>
          <w:trHeight w:val="179"/>
        </w:trPr>
        <w:tc>
          <w:tcPr>
            <w:tcW w:w="632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Accounts payable, accrued expenses, and other long-term liabilities</w:t>
            </w:r>
          </w:p>
        </w:tc>
        <w:tc>
          <w:tcPr>
            <w:tcW w:w="9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(16,776)</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20,503</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12,708</w:t>
            </w:r>
          </w:p>
        </w:tc>
      </w:tr>
      <w:tr>
        <w:trPr>
          <w:trHeight w:val="151"/>
        </w:trPr>
        <w:tc>
          <w:tcPr>
            <w:tcW w:w="6320" w:type="dxa"/>
            <w:vAlign w:val="bottom"/>
            <w:tcBorders>
              <w:bottom w:val="single" w:sz="8" w:color="CFF0FC"/>
            </w:tcBorders>
          </w:tcPr>
          <w:p>
            <w:pPr>
              <w:jc w:val="right"/>
              <w:ind w:right="43"/>
              <w:spacing w:after="0"/>
              <w:rPr>
                <w:sz w:val="20"/>
                <w:szCs w:val="20"/>
                <w:color w:val="auto"/>
              </w:rPr>
            </w:pPr>
            <w:r>
              <w:rPr>
                <w:rFonts w:ascii="Arial" w:cs="Arial" w:eastAsia="Arial" w:hAnsi="Arial"/>
                <w:sz w:val="11"/>
                <w:szCs w:val="11"/>
                <w:color w:val="auto"/>
              </w:rPr>
              <w:t>Net cash provided by (used in) operating activities</w:t>
            </w: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(10,935)</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(16,166)</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33,323</w:t>
            </w:r>
          </w:p>
        </w:tc>
      </w:tr>
      <w:tr>
        <w:trPr>
          <w:trHeight w:val="15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0"/>
        </w:trPr>
        <w:tc>
          <w:tcPr>
            <w:tcW w:w="6320" w:type="dxa"/>
            <w:vAlign w:val="bottom"/>
          </w:tcPr>
          <w:p>
            <w:pPr>
              <w:ind w:left="280"/>
              <w:spacing w:after="0"/>
              <w:rPr>
                <w:sz w:val="20"/>
                <w:szCs w:val="20"/>
                <w:color w:val="auto"/>
              </w:rPr>
            </w:pPr>
            <w:r>
              <w:rPr>
                <w:rFonts w:ascii="Arial" w:cs="Arial" w:eastAsia="Arial" w:hAnsi="Arial"/>
                <w:sz w:val="11"/>
                <w:szCs w:val="11"/>
                <w:color w:val="auto"/>
              </w:rPr>
              <w:t>Cash paid for property and equipment</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(557)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(392)</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sale of property and equipment</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17</w:t>
            </w:r>
          </w:p>
        </w:tc>
      </w:tr>
      <w:tr>
        <w:trPr>
          <w:trHeight w:val="151"/>
        </w:trPr>
        <w:tc>
          <w:tcPr>
            <w:tcW w:w="6320" w:type="dxa"/>
            <w:vAlign w:val="bottom"/>
            <w:tcBorders>
              <w:bottom w:val="single" w:sz="8" w:color="CFF0FC"/>
            </w:tcBorders>
          </w:tcPr>
          <w:p>
            <w:pPr>
              <w:jc w:val="right"/>
              <w:ind w:right="43"/>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(982)</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(557)</w:t>
            </w: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(375)</w:t>
            </w:r>
          </w:p>
        </w:tc>
      </w:tr>
      <w:tr>
        <w:trPr>
          <w:trHeight w:val="15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Proceeds from issuance of common stock upon initial public offering, net of underwriting discounts and offering costs</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30,356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exercise of stock options/warrants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3,062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885</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Proceeds from settlement of loan to stockholder</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17,700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Borrowings on credit facility</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22,000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25,000</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Repayments of borrowings on credit facility</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(25,000)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the term loan</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30,000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Repayments of the term loan</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Cash received (paid) on notes payable</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(16,895)</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Cash paid to acquire treasury stock</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(50,003)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(6,940)</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Cash paid to acquire portion of non-controlling interest</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w:t>
            </w:r>
          </w:p>
        </w:tc>
      </w:tr>
      <w:tr>
        <w:trPr>
          <w:trHeight w:val="151"/>
        </w:trPr>
        <w:tc>
          <w:tcPr>
            <w:tcW w:w="6320" w:type="dxa"/>
            <w:vAlign w:val="bottom"/>
            <w:tcBorders>
              <w:bottom w:val="single" w:sz="8" w:color="CFF0FC"/>
            </w:tcBorders>
          </w:tcPr>
          <w:p>
            <w:pPr>
              <w:jc w:val="right"/>
              <w:ind w:right="43"/>
              <w:spacing w:after="0"/>
              <w:rPr>
                <w:sz w:val="20"/>
                <w:szCs w:val="20"/>
                <w:color w:val="auto"/>
              </w:rPr>
            </w:pPr>
            <w:r>
              <w:rPr>
                <w:rFonts w:ascii="Arial" w:cs="Arial" w:eastAsia="Arial" w:hAnsi="Arial"/>
                <w:sz w:val="11"/>
                <w:szCs w:val="11"/>
                <w:color w:val="auto"/>
              </w:rPr>
              <w:t>Net cash (used in) provided by financing activities</w:t>
            </w:r>
          </w:p>
        </w:tc>
        <w:tc>
          <w:tcPr>
            <w:tcW w:w="9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3,034</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(26,803)</w:t>
            </w: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2,050</w:t>
            </w:r>
          </w:p>
        </w:tc>
      </w:tr>
      <w:tr>
        <w:trPr>
          <w:trHeight w:val="170"/>
        </w:trPr>
        <w:tc>
          <w:tcPr>
            <w:tcW w:w="6320" w:type="dxa"/>
            <w:vAlign w:val="bottom"/>
            <w:shd w:val="clear" w:color="auto" w:fill="CFF0FC"/>
          </w:tcPr>
          <w:p>
            <w:pPr>
              <w:ind w:left="3500"/>
              <w:spacing w:after="0"/>
              <w:rPr>
                <w:sz w:val="20"/>
                <w:szCs w:val="20"/>
                <w:color w:val="auto"/>
              </w:rPr>
            </w:pPr>
            <w:r>
              <w:rPr>
                <w:rFonts w:ascii="Arial" w:cs="Arial" w:eastAsia="Arial" w:hAnsi="Arial"/>
                <w:sz w:val="11"/>
                <w:szCs w:val="11"/>
                <w:color w:val="auto"/>
                <w:w w:val="89"/>
              </w:rPr>
              <w:t>Effects of exchange rate changes on cash and cash equivalents</w:t>
            </w: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(178)</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443</w:t>
            </w:r>
          </w:p>
        </w:tc>
      </w:tr>
      <w:tr>
        <w:trPr>
          <w:trHeight w:val="151"/>
        </w:trPr>
        <w:tc>
          <w:tcPr>
            <w:tcW w:w="6320" w:type="dxa"/>
            <w:vAlign w:val="bottom"/>
          </w:tcPr>
          <w:p>
            <w:pPr>
              <w:ind w:left="20"/>
              <w:spacing w:after="0"/>
              <w:rPr>
                <w:sz w:val="20"/>
                <w:szCs w:val="20"/>
                <w:color w:val="auto"/>
              </w:rPr>
            </w:pPr>
            <w:r>
              <w:rPr>
                <w:rFonts w:ascii="Arial" w:cs="Arial" w:eastAsia="Arial" w:hAnsi="Arial"/>
                <w:sz w:val="11"/>
                <w:szCs w:val="11"/>
                <w:color w:val="auto"/>
              </w:rPr>
              <w:t>Net (decrease) increase in cash and cash equivalents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(43,491)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35,441</w:t>
            </w:r>
          </w:p>
        </w:tc>
      </w:tr>
      <w:tr>
        <w:trPr>
          <w:trHeight w:val="17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and cash equivalents at beginning of the period</w:t>
            </w:r>
          </w:p>
        </w:tc>
        <w:tc>
          <w:tcPr>
            <w:tcW w:w="9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28,690</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72,181</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36,740</w:t>
            </w:r>
          </w:p>
        </w:tc>
      </w:tr>
      <w:tr>
        <w:trPr>
          <w:trHeight w:val="151"/>
        </w:trPr>
        <w:tc>
          <w:tcPr>
            <w:tcW w:w="6320" w:type="dxa"/>
            <w:vAlign w:val="bottom"/>
          </w:tcPr>
          <w:p>
            <w:pPr>
              <w:ind w:left="20"/>
              <w:spacing w:after="0"/>
              <w:rPr>
                <w:sz w:val="20"/>
                <w:szCs w:val="20"/>
                <w:color w:val="auto"/>
              </w:rPr>
            </w:pPr>
            <w:r>
              <w:rPr>
                <w:rFonts w:ascii="Arial" w:cs="Arial" w:eastAsia="Arial" w:hAnsi="Arial"/>
                <w:sz w:val="11"/>
                <w:szCs w:val="11"/>
                <w:color w:val="auto"/>
              </w:rPr>
              <w:t>Cash and cash equivalents at end of the period</w:t>
            </w:r>
          </w:p>
        </w:tc>
        <w:tc>
          <w:tcPr>
            <w:tcW w:w="980" w:type="dxa"/>
            <w:vAlign w:val="bottom"/>
            <w:tcBorders>
              <w:bottom w:val="single" w:sz="8" w:color="auto"/>
            </w:tcBorders>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19,629</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28,690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72,181</w:t>
            </w:r>
          </w:p>
        </w:tc>
      </w:tr>
      <w:tr>
        <w:trPr>
          <w:trHeight w:val="20"/>
        </w:trPr>
        <w:tc>
          <w:tcPr>
            <w:tcW w:w="63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0"/>
        </w:trPr>
        <w:tc>
          <w:tcPr>
            <w:tcW w:w="6320" w:type="dxa"/>
            <w:vAlign w:val="bottom"/>
          </w:tcPr>
          <w:p>
            <w:pPr>
              <w:ind w:left="20"/>
              <w:spacing w:after="0"/>
              <w:rPr>
                <w:sz w:val="20"/>
                <w:szCs w:val="20"/>
                <w:color w:val="auto"/>
              </w:rPr>
            </w:pPr>
            <w:r>
              <w:rPr>
                <w:rFonts w:ascii="Arial" w:cs="Arial" w:eastAsia="Arial" w:hAnsi="Arial"/>
                <w:sz w:val="11"/>
                <w:szCs w:val="11"/>
                <w:color w:val="auto"/>
              </w:rPr>
              <w:t>Cash paid for income taxes</w:t>
            </w: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4,624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1"/>
                <w:szCs w:val="11"/>
                <w:color w:val="auto"/>
              </w:rPr>
              <w:t>2,440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9,718</w:t>
            </w:r>
          </w:p>
        </w:tc>
      </w:tr>
      <w:tr>
        <w:trPr>
          <w:trHeight w:val="17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paid for interest</w:t>
            </w:r>
          </w:p>
        </w:tc>
        <w:tc>
          <w:tcPr>
            <w:tcW w:w="980" w:type="dxa"/>
            <w:vAlign w:val="bottom"/>
            <w:shd w:val="clear" w:color="auto" w:fill="CFF0FC"/>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217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349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812</w:t>
            </w:r>
          </w:p>
        </w:tc>
      </w:tr>
    </w:tbl>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18" w:right="6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9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9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BUSINESS AND BASIS OF PRESENTATION</w:t>
      </w:r>
    </w:p>
    <w:p>
      <w:pPr>
        <w:spacing w:after="0" w:line="172" w:lineRule="exact"/>
        <w:rPr>
          <w:sz w:val="20"/>
          <w:szCs w:val="20"/>
          <w:color w:val="auto"/>
        </w:rPr>
      </w:pPr>
    </w:p>
    <w:p>
      <w:pPr>
        <w:ind w:firstLine="433"/>
        <w:spacing w:after="0" w:line="259" w:lineRule="auto"/>
        <w:rPr>
          <w:sz w:val="20"/>
          <w:szCs w:val="20"/>
          <w:color w:val="auto"/>
        </w:rPr>
      </w:pPr>
      <w:r>
        <w:rPr>
          <w:rFonts w:ascii="Arial" w:cs="Arial" w:eastAsia="Arial" w:hAnsi="Arial"/>
          <w:sz w:val="14"/>
          <w:szCs w:val="14"/>
          <w:color w:val="auto"/>
        </w:rPr>
        <w:t xml:space="preserve">The Vita Coco Company, Inc. and subsidiaries (the “Company”) develops, markets, and distributes various coconut water products under the brand name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and for retailers own brands, predominantly in the United States. Other products include coconut milk, natural energy drinks (under the brand name </w:t>
      </w:r>
      <w:r>
        <w:rPr>
          <w:rFonts w:ascii="Arial" w:cs="Arial" w:eastAsia="Arial" w:hAnsi="Arial"/>
          <w:sz w:val="14"/>
          <w:szCs w:val="14"/>
          <w:i w:val="1"/>
          <w:iCs w:val="1"/>
          <w:color w:val="auto"/>
        </w:rPr>
        <w:t>Runa</w:t>
      </w:r>
      <w:r>
        <w:rPr>
          <w:rFonts w:ascii="Arial" w:cs="Arial" w:eastAsia="Arial" w:hAnsi="Arial"/>
          <w:sz w:val="14"/>
          <w:szCs w:val="14"/>
          <w:color w:val="auto"/>
        </w:rPr>
        <w:t xml:space="preserve">), coconut oil, water (under the brand name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protein infused fitness drinks (under the brand name </w:t>
      </w:r>
      <w:r>
        <w:rPr>
          <w:rFonts w:ascii="Arial" w:cs="Arial" w:eastAsia="Arial" w:hAnsi="Arial"/>
          <w:sz w:val="14"/>
          <w:szCs w:val="14"/>
          <w:i w:val="1"/>
          <w:iCs w:val="1"/>
          <w:color w:val="auto"/>
        </w:rPr>
        <w:t>PWR LIFT)</w:t>
      </w:r>
      <w:r>
        <w:rPr>
          <w:rFonts w:ascii="Arial" w:cs="Arial" w:eastAsia="Arial" w:hAnsi="Arial"/>
          <w:sz w:val="14"/>
          <w:szCs w:val="14"/>
          <w:color w:val="auto"/>
        </w:rPr>
        <w:t xml:space="preserve"> and coconut as a commodity.</w:t>
      </w:r>
    </w:p>
    <w:p>
      <w:pPr>
        <w:spacing w:after="0" w:line="105" w:lineRule="exact"/>
        <w:rPr>
          <w:sz w:val="20"/>
          <w:szCs w:val="20"/>
          <w:color w:val="auto"/>
        </w:rPr>
      </w:pPr>
    </w:p>
    <w:p>
      <w:pPr>
        <w:jc w:val="both"/>
        <w:ind w:right="80" w:firstLine="433"/>
        <w:spacing w:after="0" w:line="215" w:lineRule="auto"/>
        <w:rPr>
          <w:sz w:val="20"/>
          <w:szCs w:val="20"/>
          <w:color w:val="auto"/>
        </w:rPr>
      </w:pPr>
      <w:r>
        <w:rPr>
          <w:rFonts w:ascii="Arial" w:cs="Arial" w:eastAsia="Arial" w:hAnsi="Arial"/>
          <w:sz w:val="14"/>
          <w:szCs w:val="14"/>
          <w:color w:val="auto"/>
        </w:rPr>
        <w:t>The Company was incorporated in Delaware as All Market Inc. on January 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2007. On September 9, 2021, we changed our name to The Vita Coco Company, Inc. In 2018, the Company purchased certain assets and liabilities of </w:t>
      </w:r>
      <w:r>
        <w:rPr>
          <w:rFonts w:ascii="Arial" w:cs="Arial" w:eastAsia="Arial" w:hAnsi="Arial"/>
          <w:sz w:val="14"/>
          <w:szCs w:val="14"/>
          <w:i w:val="1"/>
          <w:iCs w:val="1"/>
          <w:color w:val="auto"/>
        </w:rPr>
        <w:t>Runa</w:t>
      </w:r>
      <w:r>
        <w:rPr>
          <w:rFonts w:ascii="Arial" w:cs="Arial" w:eastAsia="Arial" w:hAnsi="Arial"/>
          <w:sz w:val="14"/>
          <w:szCs w:val="14"/>
          <w:color w:val="auto"/>
        </w:rPr>
        <w:t>, which is marketed and distributed primarily in the United States.</w:t>
      </w:r>
    </w:p>
    <w:p>
      <w:pPr>
        <w:spacing w:after="0" w:line="160" w:lineRule="exact"/>
        <w:rPr>
          <w:sz w:val="20"/>
          <w:szCs w:val="20"/>
          <w:color w:val="auto"/>
        </w:rPr>
      </w:pPr>
    </w:p>
    <w:p>
      <w:pPr>
        <w:jc w:val="both"/>
        <w:ind w:right="60" w:firstLine="433"/>
        <w:spacing w:after="0" w:line="251" w:lineRule="auto"/>
        <w:rPr>
          <w:sz w:val="20"/>
          <w:szCs w:val="20"/>
          <w:color w:val="auto"/>
        </w:rPr>
      </w:pPr>
      <w:r>
        <w:rPr>
          <w:rFonts w:ascii="Arial" w:cs="Arial" w:eastAsia="Arial" w:hAnsi="Arial"/>
          <w:sz w:val="14"/>
          <w:szCs w:val="14"/>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53"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The Company has nine wholly-owned subsidiaries including four wholly-owned Asian subsidiaries established between fiscal years 2012 and 2015, one North American subsidiary established in 2015, as well as majority ownership in All Market Europe, Ltd. ("AME") in the United Kingdom until the Company reacquired the minority stockholders' shares and became wholly-owned as of December 31, 2021. The noncontrolling interest in AME represented minority stockholders’ proportionate share of the equity in AME. The noncontrolling interest is presented in the equity section of the Company’s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accompanying consolidated financial statements are presented in accordance with accounting principles generally accepted in the United States of America (“U.S. GAAP”).</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83" w:lineRule="exact"/>
        <w:rPr>
          <w:sz w:val="20"/>
          <w:szCs w:val="20"/>
          <w:color w:val="auto"/>
        </w:rPr>
      </w:pPr>
    </w:p>
    <w:p>
      <w:pPr>
        <w:ind w:right="20" w:firstLine="433"/>
        <w:spacing w:after="0" w:line="259" w:lineRule="auto"/>
        <w:rPr>
          <w:sz w:val="20"/>
          <w:szCs w:val="20"/>
          <w:color w:val="auto"/>
        </w:rPr>
      </w:pPr>
      <w:r>
        <w:rPr>
          <w:rFonts w:ascii="Arial" w:cs="Arial" w:eastAsia="Arial" w:hAnsi="Arial"/>
          <w:sz w:val="14"/>
          <w:szCs w:val="14"/>
          <w:color w:val="auto"/>
        </w:rPr>
        <w:t>The consolidated financial statements include all the accounts of the wholly owned subsidiaries. All intercompany accounts and transactions have been eliminated in consolidation; the noncontrolling interest in consolidated subsidiaries presented in the accompanying consolidated financial statements represents the portion of AME stockholders’ equity, which is not directly owned by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 (“IPO”)</w:t>
      </w:r>
    </w:p>
    <w:p>
      <w:pPr>
        <w:spacing w:after="0" w:line="189" w:lineRule="exact"/>
        <w:rPr>
          <w:sz w:val="20"/>
          <w:szCs w:val="20"/>
          <w:color w:val="auto"/>
        </w:rPr>
      </w:pPr>
    </w:p>
    <w:p>
      <w:pPr>
        <w:ind w:right="40" w:firstLine="446"/>
        <w:spacing w:after="0" w:line="247" w:lineRule="auto"/>
        <w:rPr>
          <w:sz w:val="20"/>
          <w:szCs w:val="20"/>
          <w:color w:val="auto"/>
        </w:rPr>
      </w:pPr>
      <w:r>
        <w:rPr>
          <w:rFonts w:ascii="Arial" w:cs="Arial" w:eastAsia="Arial" w:hAnsi="Arial"/>
          <w:sz w:val="14"/>
          <w:szCs w:val="14"/>
          <w:color w:val="auto"/>
        </w:rPr>
        <w:t>The Company’s registration statement on Form S-1, as amended, was declared effective by the SEC on October 20, 2021 related to the IPO of its common stock in the prospectus dated October 20, 2021, filed with the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$30,000, after deducting the underwriting discount and commissions of approximately $2,000 and offering expenses of approximately $5,000. Additionally, certain selling stockholders sold an aggregate of 9,000,000 shares. The Company did not receive any proceeds from the sale of these shares by certain selling stockholders. On October 27, 2021, the Company used the net proceeds from the IPO to repay the outstanding balance on the 2021 Term Loan. See Note 10 for additional information on the repayment of the 2021 Term Loan.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Concurrent with the IPO, various agreements were amended or newly effective, which are further described in our Prospectus, which include:</w:t>
      </w:r>
    </w:p>
    <w:p>
      <w:pPr>
        <w:spacing w:after="0" w:line="179"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Registration Rights agreement;</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Investor Rights agreement;</w:t>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Amendments to the employment agreements for the Executive Chairman, Mike Kirban and CEO, Martin Roper;</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Adoption of the new 2021 Stock Incentive Award Plan and new grants of awards to employees and directors;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Adoption of a new 2021 Employee Stock Purchase Plan.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Impact of the COVID-19 Pandemic and Current Geopolitical Instability</w:t>
      </w:r>
    </w:p>
    <w:p>
      <w:pPr>
        <w:spacing w:after="0" w:line="94"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Disruptions in the worldwide economy may affect our business, and the macroeconomic environment continues to be affected by the COVID-19 pandemic and the current geopolitical instability (including the effects of the conflict between Ukraine and Russia). As a result, the Company has seen significant cost inflation to domestic and international shipping costs and some inflationary pressures on other cost elements; only some of which have been covered by pricing actions to date. The Company is continuing to monitor the situation carefully to understand any future potential impact on its people and business. As a result, it is not currently possible to ascertain the overall impact of COVID-19 or the ongoing economic and geopolitical instability on the Company’s business, results of operations, financial condition or liquidity. Future events and effects related to COVID-19 or the ongoing geopolitical instability cannot be determined with precision and actual results could significantly differ from estimates or forecasts. The Company has also seen greater volatility on foreign exchange rates. A strong dollar generally benefits the Company's supply chain activities while negatively impacting our reported international revenues.</w:t>
      </w:r>
    </w:p>
    <w:p>
      <w:pPr>
        <w:spacing w:after="0" w:line="200" w:lineRule="exact"/>
        <w:rPr>
          <w:sz w:val="20"/>
          <w:szCs w:val="20"/>
          <w:color w:val="auto"/>
        </w:rPr>
      </w:pPr>
    </w:p>
    <w:p>
      <w:pPr>
        <w:spacing w:after="0" w:line="223" w:lineRule="exact"/>
        <w:rPr>
          <w:sz w:val="20"/>
          <w:szCs w:val="20"/>
          <w:color w:val="auto"/>
        </w:rPr>
      </w:pPr>
    </w:p>
    <w:p>
      <w:pPr>
        <w:ind w:right="7420" w:firstLine="5"/>
        <w:spacing w:after="0" w:line="374" w:lineRule="auto"/>
        <w:tabs>
          <w:tab w:leader="none" w:pos="141"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Use of Estimates</w:t>
      </w:r>
    </w:p>
    <w:p>
      <w:pPr>
        <w:spacing w:after="0" w:line="1" w:lineRule="exact"/>
        <w:rPr>
          <w:sz w:val="20"/>
          <w:szCs w:val="20"/>
          <w:color w:val="auto"/>
        </w:rPr>
      </w:pPr>
    </w:p>
    <w:p>
      <w:pPr>
        <w:ind w:firstLine="433"/>
        <w:spacing w:after="0" w:line="244" w:lineRule="auto"/>
        <w:rPr>
          <w:sz w:val="20"/>
          <w:szCs w:val="20"/>
          <w:color w:val="auto"/>
        </w:rPr>
      </w:pPr>
      <w:r>
        <w:rPr>
          <w:rFonts w:ascii="Arial" w:cs="Arial" w:eastAsia="Arial" w:hAnsi="Arial"/>
          <w:sz w:val="14"/>
          <w:szCs w:val="14"/>
          <w:color w:val="auto"/>
        </w:rPr>
        <w:t>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consolidated financial statements. Management must apply significant judgement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consolidated financial statements relate to share-based compensation, assessing long-lived assets for impairment, estimating the net realizable value of inventories, the determination of accounts receivables reserve, assessing goodwill for impairment, the determination of the value of trade promotions and assessing the realizability of deferred income taxes. Actual results could differ from those estimates.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3" w:lineRule="exact"/>
        <w:rPr>
          <w:sz w:val="20"/>
          <w:szCs w:val="20"/>
          <w:color w:val="auto"/>
        </w:rPr>
      </w:pPr>
    </w:p>
    <w:p>
      <w:pPr>
        <w:jc w:val="both"/>
        <w:ind w:right="20" w:firstLine="433"/>
        <w:spacing w:after="0" w:line="294" w:lineRule="auto"/>
        <w:rPr>
          <w:sz w:val="20"/>
          <w:szCs w:val="20"/>
          <w:color w:val="auto"/>
        </w:rPr>
      </w:pPr>
      <w:r>
        <w:rPr>
          <w:rFonts w:ascii="Arial" w:cs="Arial" w:eastAsia="Arial" w:hAnsi="Arial"/>
          <w:sz w:val="12"/>
          <w:szCs w:val="12"/>
          <w:color w:val="auto"/>
        </w:rPr>
        <w:t xml:space="preserve">The Company recognizes revenue in accordance with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ASC 606 defines a five-step model that requires entities exercise judgment when considering the terms of contract(s), which include (1) identifying the contract or agreement with a customer, (2) identifying the performance obligations in the contract or agreement,</w:t>
      </w:r>
    </w:p>
    <w:p>
      <w:pPr>
        <w:spacing w:after="0" w:line="1" w:lineRule="exact"/>
        <w:rPr>
          <w:sz w:val="20"/>
          <w:szCs w:val="20"/>
          <w:color w:val="auto"/>
        </w:rPr>
      </w:pPr>
    </w:p>
    <w:p>
      <w:pPr>
        <w:ind w:right="120" w:firstLine="5"/>
        <w:spacing w:after="0" w:line="243" w:lineRule="auto"/>
        <w:tabs>
          <w:tab w:leader="none" w:pos="2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w:t>
      </w:r>
    </w:p>
    <w:p>
      <w:pPr>
        <w:spacing w:after="0" w:line="159" w:lineRule="exact"/>
        <w:rPr>
          <w:sz w:val="20"/>
          <w:szCs w:val="20"/>
          <w:color w:val="auto"/>
        </w:rPr>
      </w:pPr>
    </w:p>
    <w:p>
      <w:pPr>
        <w:ind w:right="120" w:firstLine="433"/>
        <w:spacing w:after="0" w:line="251" w:lineRule="auto"/>
        <w:rPr>
          <w:sz w:val="20"/>
          <w:szCs w:val="20"/>
          <w:color w:val="auto"/>
        </w:rPr>
      </w:pPr>
      <w:r>
        <w:rPr>
          <w:rFonts w:ascii="Arial" w:cs="Arial" w:eastAsia="Arial" w:hAnsi="Arial"/>
          <w:sz w:val="14"/>
          <w:szCs w:val="14"/>
          <w:color w:val="auto"/>
        </w:rPr>
        <w:t xml:space="preserve">For the Company’s various products in the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and Other product categories (refer to Note 3, </w:t>
      </w:r>
      <w:r>
        <w:rPr>
          <w:rFonts w:ascii="Arial" w:cs="Arial" w:eastAsia="Arial" w:hAnsi="Arial"/>
          <w:sz w:val="14"/>
          <w:szCs w:val="14"/>
          <w:i w:val="1"/>
          <w:iCs w:val="1"/>
          <w:color w:val="auto"/>
        </w:rPr>
        <w:t>Revenue Recognition</w:t>
      </w:r>
      <w:r>
        <w:rPr>
          <w:rFonts w:ascii="Arial" w:cs="Arial" w:eastAsia="Arial" w:hAnsi="Arial"/>
          <w:sz w:val="14"/>
          <w:szCs w:val="14"/>
          <w:color w:val="auto"/>
        </w:rPr>
        <w:t>),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340"/>
        <w:spacing w:after="0" w:line="304" w:lineRule="auto"/>
        <w:rPr>
          <w:sz w:val="20"/>
          <w:szCs w:val="20"/>
          <w:color w:val="auto"/>
        </w:rPr>
      </w:pPr>
      <w:r>
        <w:rPr>
          <w:rFonts w:ascii="Arial" w:cs="Arial" w:eastAsia="Arial" w:hAnsi="Arial"/>
          <w:sz w:val="13"/>
          <w:szCs w:val="13"/>
          <w:color w:val="auto"/>
        </w:rPr>
        <w:t>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20" w:lineRule="exact"/>
        <w:rPr>
          <w:sz w:val="20"/>
          <w:szCs w:val="20"/>
          <w:color w:val="auto"/>
        </w:rPr>
      </w:pPr>
    </w:p>
    <w:p>
      <w:pPr>
        <w:jc w:val="both"/>
        <w:ind w:right="420" w:firstLine="433"/>
        <w:spacing w:after="0" w:line="279" w:lineRule="auto"/>
        <w:rPr>
          <w:sz w:val="20"/>
          <w:szCs w:val="20"/>
          <w:color w:val="auto"/>
        </w:rPr>
      </w:pPr>
      <w:r>
        <w:rPr>
          <w:rFonts w:ascii="Arial" w:cs="Arial" w:eastAsia="Arial" w:hAnsi="Arial"/>
          <w:sz w:val="13"/>
          <w:szCs w:val="13"/>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36"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The Company provides trade promotions to its customers. These discounts do not meet the criteria for a distinct good or service and therefore, the Company reduces revenue for the discounts associated with meeting this obligation based on the expected value method. These consolidated financial statements include trade promotion accruals. Trade promotion accruals are made for invoices that have not yet been received as of year-end and are recorded as a reduction of sales. This promotion accrual is a management estimate based upon the known price of retail promotions and estimates of the sales volume during the promotion period.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83" w:lineRule="exact"/>
        <w:rPr>
          <w:sz w:val="20"/>
          <w:szCs w:val="20"/>
          <w:color w:val="auto"/>
        </w:rPr>
      </w:pPr>
    </w:p>
    <w:p>
      <w:pPr>
        <w:ind w:right="580" w:firstLine="433"/>
        <w:spacing w:after="0" w:line="281" w:lineRule="auto"/>
        <w:rPr>
          <w:sz w:val="20"/>
          <w:szCs w:val="20"/>
          <w:color w:val="auto"/>
        </w:rPr>
      </w:pPr>
      <w:r>
        <w:rPr>
          <w:rFonts w:ascii="Arial" w:cs="Arial" w:eastAsia="Arial" w:hAnsi="Arial"/>
          <w:sz w:val="14"/>
          <w:szCs w:val="14"/>
          <w:color w:val="auto"/>
        </w:rPr>
        <w:t>Costs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Shipping and Handling Costs</w:t>
      </w:r>
    </w:p>
    <w:p>
      <w:pPr>
        <w:spacing w:after="0" w:line="83" w:lineRule="exact"/>
        <w:rPr>
          <w:sz w:val="20"/>
          <w:szCs w:val="20"/>
          <w:color w:val="auto"/>
        </w:rPr>
      </w:pPr>
    </w:p>
    <w:p>
      <w:pPr>
        <w:ind w:right="100" w:firstLine="433"/>
        <w:spacing w:after="0" w:line="281" w:lineRule="auto"/>
        <w:rPr>
          <w:sz w:val="20"/>
          <w:szCs w:val="20"/>
          <w:color w:val="auto"/>
        </w:rPr>
      </w:pPr>
      <w:r>
        <w:rPr>
          <w:rFonts w:ascii="Arial" w:cs="Arial" w:eastAsia="Arial" w:hAnsi="Arial"/>
          <w:sz w:val="14"/>
          <w:szCs w:val="14"/>
          <w:color w:val="auto"/>
        </w:rPr>
        <w:t>Shipping and handling costs related to the sale of inventory represent outbound distribution costs, and are included in cost of goods sold in the consolidated statement of operations. Shipping and handling costs were $13,387, $9,331 and $7,353 for the years ended December 31,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Expenses</w:t>
      </w:r>
    </w:p>
    <w:p>
      <w:pPr>
        <w:spacing w:after="0" w:line="83" w:lineRule="exact"/>
        <w:rPr>
          <w:sz w:val="20"/>
          <w:szCs w:val="20"/>
          <w:color w:val="auto"/>
        </w:rPr>
      </w:pPr>
    </w:p>
    <w:p>
      <w:pPr>
        <w:ind w:right="20" w:firstLine="433"/>
        <w:spacing w:after="0" w:line="281" w:lineRule="auto"/>
        <w:rPr>
          <w:sz w:val="20"/>
          <w:szCs w:val="20"/>
          <w:color w:val="auto"/>
        </w:rPr>
      </w:pPr>
      <w:r>
        <w:rPr>
          <w:rFonts w:ascii="Arial" w:cs="Arial" w:eastAsia="Arial" w:hAnsi="Arial"/>
          <w:sz w:val="14"/>
          <w:szCs w:val="14"/>
          <w:color w:val="auto"/>
        </w:rPr>
        <w:t>Advertising expenses are charged to expense in the period they are incurred and are recorded in selling, general and administrative expenses. Advertising expenses were $14,404, $13,755, and $12,862 for the years ended December 31,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83" w:lineRule="exact"/>
        <w:rPr>
          <w:sz w:val="20"/>
          <w:szCs w:val="20"/>
          <w:color w:val="auto"/>
        </w:rPr>
      </w:pPr>
    </w:p>
    <w:p>
      <w:pPr>
        <w:ind w:right="320" w:firstLine="433"/>
        <w:spacing w:after="0" w:line="281" w:lineRule="auto"/>
        <w:rPr>
          <w:sz w:val="20"/>
          <w:szCs w:val="20"/>
          <w:color w:val="auto"/>
        </w:rPr>
      </w:pPr>
      <w:r>
        <w:rPr>
          <w:rFonts w:ascii="Arial" w:cs="Arial" w:eastAsia="Arial" w:hAnsi="Arial"/>
          <w:sz w:val="14"/>
          <w:szCs w:val="14"/>
          <w:color w:val="auto"/>
        </w:rPr>
        <w:t>Research and development costs are charged to expense in the period incurred and are recorded in selling, general and administrative expenses. Research and development expenses were $541, $477, and $313 for the years ended December 31,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3" w:lineRule="exact"/>
        <w:rPr>
          <w:sz w:val="20"/>
          <w:szCs w:val="20"/>
          <w:color w:val="auto"/>
        </w:rPr>
      </w:pPr>
    </w:p>
    <w:p>
      <w:pPr>
        <w:ind w:right="60" w:firstLine="433"/>
        <w:spacing w:after="0" w:line="281" w:lineRule="auto"/>
        <w:rPr>
          <w:sz w:val="20"/>
          <w:szCs w:val="20"/>
          <w:color w:val="auto"/>
        </w:rPr>
      </w:pPr>
      <w:r>
        <w:rPr>
          <w:rFonts w:ascii="Arial" w:cs="Arial" w:eastAsia="Arial" w:hAnsi="Arial"/>
          <w:sz w:val="14"/>
          <w:szCs w:val="14"/>
          <w:color w:val="auto"/>
        </w:rPr>
        <w:t xml:space="preserve">The Company accounts for stock-based compensation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("ASC 718") for awards issued under the 2014 Stock Option and Restricted Stock Plan and the 2021 Stock Incentive Award Plan.</w:t>
      </w:r>
    </w:p>
    <w:p>
      <w:pPr>
        <w:spacing w:after="0" w:line="122" w:lineRule="exact"/>
        <w:rPr>
          <w:sz w:val="20"/>
          <w:szCs w:val="20"/>
          <w:color w:val="auto"/>
        </w:rPr>
      </w:pPr>
    </w:p>
    <w:p>
      <w:pPr>
        <w:ind w:right="100" w:firstLine="433"/>
        <w:spacing w:after="0" w:line="248" w:lineRule="auto"/>
        <w:rPr>
          <w:sz w:val="20"/>
          <w:szCs w:val="20"/>
          <w:color w:val="auto"/>
        </w:rPr>
      </w:pPr>
      <w:r>
        <w:rPr>
          <w:rFonts w:ascii="Arial" w:cs="Arial" w:eastAsia="Arial" w:hAnsi="Arial"/>
          <w:sz w:val="14"/>
          <w:szCs w:val="14"/>
          <w:color w:val="auto"/>
        </w:rPr>
        <w:t>The Company measures all awards based on their fair value on the date of the grant and recognizes compensation expense for those awards over the requisite service period of each stock award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Company defers the recognition of compensation expense for the stock awards that vest upon qualifying liquidity events until the qualifying events are probable of occurrence. Stock awards are equity-classified, as they do not contain a cash settlement option or other features requiring them to be liability-classified.</w:t>
      </w:r>
    </w:p>
    <w:p>
      <w:pPr>
        <w:spacing w:after="0" w:line="143" w:lineRule="exact"/>
        <w:rPr>
          <w:sz w:val="20"/>
          <w:szCs w:val="20"/>
          <w:color w:val="auto"/>
        </w:rPr>
      </w:pPr>
    </w:p>
    <w:p>
      <w:pPr>
        <w:ind w:right="140" w:firstLine="433"/>
        <w:spacing w:after="0" w:line="304" w:lineRule="auto"/>
        <w:rPr>
          <w:sz w:val="20"/>
          <w:szCs w:val="20"/>
          <w:color w:val="auto"/>
        </w:rPr>
      </w:pPr>
      <w:r>
        <w:rPr>
          <w:rFonts w:ascii="Arial" w:cs="Arial" w:eastAsia="Arial" w:hAnsi="Arial"/>
          <w:sz w:val="13"/>
          <w:szCs w:val="13"/>
          <w:color w:val="auto"/>
        </w:rPr>
        <w:t>The Company uses the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109" w:lineRule="exact"/>
        <w:rPr>
          <w:sz w:val="20"/>
          <w:szCs w:val="20"/>
          <w:color w:val="auto"/>
        </w:rPr>
      </w:pPr>
    </w:p>
    <w:p>
      <w:pPr>
        <w:ind w:right="240" w:firstLine="433"/>
        <w:spacing w:after="0" w:line="251" w:lineRule="auto"/>
        <w:rPr>
          <w:sz w:val="20"/>
          <w:szCs w:val="20"/>
          <w:color w:val="auto"/>
        </w:rPr>
      </w:pPr>
      <w:r>
        <w:rPr>
          <w:rFonts w:ascii="Arial" w:cs="Arial" w:eastAsia="Arial" w:hAnsi="Arial"/>
          <w:sz w:val="14"/>
          <w:szCs w:val="14"/>
          <w:color w:val="auto"/>
        </w:rPr>
        <w:t xml:space="preserve">The Company has classified most of its stock-based compensation expense in its consolidated statements of operations in selling, general, and administrative expenses, reflecting the same manner in which the award recipient’s payroll costs are classified or in which the award recipient’s service payments are classified. There are restricted stock units previously granted to entities affiliated with a major customer, which was recognized as a stock-based sales incentive based on guidance in ASC 606 and reflected as a reduction in the transaction price revenue. See Note 14, </w:t>
      </w:r>
      <w:r>
        <w:rPr>
          <w:rFonts w:ascii="Arial" w:cs="Arial" w:eastAsia="Arial" w:hAnsi="Arial"/>
          <w:sz w:val="14"/>
          <w:szCs w:val="14"/>
          <w:i w:val="1"/>
          <w:iCs w:val="1"/>
          <w:color w:val="auto"/>
        </w:rPr>
        <w:t xml:space="preserve">Stockholders' Equity </w:t>
      </w:r>
      <w:r>
        <w:rPr>
          <w:rFonts w:ascii="Arial" w:cs="Arial" w:eastAsia="Arial" w:hAnsi="Arial"/>
          <w:sz w:val="14"/>
          <w:szCs w:val="14"/>
          <w:color w:val="auto"/>
        </w:rPr>
        <w:t>for further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3" w:lineRule="exact"/>
        <w:rPr>
          <w:sz w:val="20"/>
          <w:szCs w:val="20"/>
          <w:color w:val="auto"/>
        </w:rPr>
      </w:pPr>
    </w:p>
    <w:p>
      <w:pPr>
        <w:ind w:firstLine="433"/>
        <w:spacing w:after="0" w:line="269" w:lineRule="auto"/>
        <w:rPr>
          <w:sz w:val="20"/>
          <w:szCs w:val="20"/>
          <w:color w:val="auto"/>
        </w:rPr>
      </w:pPr>
      <w:r>
        <w:rPr>
          <w:rFonts w:ascii="Arial" w:cs="Arial" w:eastAsia="Arial" w:hAnsi="Arial"/>
          <w:sz w:val="13"/>
          <w:szCs w:val="13"/>
          <w:color w:val="auto"/>
        </w:rPr>
        <w:t>The Company accounts for income taxes under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per Common Share</w:t>
      </w:r>
    </w:p>
    <w:p>
      <w:pPr>
        <w:spacing w:after="0" w:line="94" w:lineRule="exact"/>
        <w:rPr>
          <w:sz w:val="20"/>
          <w:szCs w:val="20"/>
          <w:color w:val="auto"/>
        </w:rPr>
      </w:pPr>
    </w:p>
    <w:p>
      <w:pPr>
        <w:ind w:right="80" w:firstLine="433"/>
        <w:spacing w:after="0" w:line="277" w:lineRule="auto"/>
        <w:rPr>
          <w:sz w:val="20"/>
          <w:szCs w:val="20"/>
          <w:color w:val="auto"/>
        </w:rPr>
      </w:pPr>
      <w:r>
        <w:rPr>
          <w:rFonts w:ascii="Arial" w:cs="Arial" w:eastAsia="Arial" w:hAnsi="Arial"/>
          <w:sz w:val="13"/>
          <w:szCs w:val="13"/>
          <w:color w:val="auto"/>
        </w:rPr>
        <w:t xml:space="preserve">In accordance with ASC Topic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("ASC 260"), net income per common share, on a basic and diluted basis, is presented for all periods, calculated using the treasury stock method. Basic net income per share is computed by dividing net income by the weighted average number of common shares and service warrants outstanding during each period. Diluted net income per share is computed by dividing net income by the weighted average number of common and dilutive common equivalent shares outstanding. The calculation of common equivalent shares assumes the exercise of dilutive in-the-money stock options, net of assumed treasury share repurchases at average market prices, as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Cash and cash equivalents include cash on hand and money market instruments with maturities of three months or less.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83" w:lineRule="exact"/>
        <w:rPr>
          <w:sz w:val="20"/>
          <w:szCs w:val="20"/>
          <w:color w:val="auto"/>
        </w:rPr>
      </w:pPr>
    </w:p>
    <w:p>
      <w:pPr>
        <w:ind w:right="140" w:firstLine="433"/>
        <w:spacing w:after="0" w:line="265" w:lineRule="auto"/>
        <w:rPr>
          <w:sz w:val="20"/>
          <w:szCs w:val="20"/>
          <w:color w:val="auto"/>
        </w:rPr>
      </w:pPr>
      <w:r>
        <w:rPr>
          <w:rFonts w:ascii="Arial" w:cs="Arial" w:eastAsia="Arial" w:hAnsi="Arial"/>
          <w:sz w:val="14"/>
          <w:szCs w:val="14"/>
          <w:color w:val="auto"/>
        </w:rPr>
        <w:t>Accounts receivable are reported net of an allowance for doubtful accounts. In determining such an allowance, the Company considers historical losses and existing economic conditions, as well as the credit quality of each customer. Accounts receivable are charged off when the Company deems amounts to be uncollectible.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83" w:lineRule="exact"/>
        <w:rPr>
          <w:sz w:val="20"/>
          <w:szCs w:val="20"/>
          <w:color w:val="auto"/>
        </w:rPr>
      </w:pPr>
    </w:p>
    <w:p>
      <w:pPr>
        <w:ind w:right="80" w:firstLine="433"/>
        <w:spacing w:after="0" w:line="259" w:lineRule="auto"/>
        <w:rPr>
          <w:sz w:val="20"/>
          <w:szCs w:val="20"/>
          <w:color w:val="auto"/>
        </w:rPr>
      </w:pPr>
      <w:r>
        <w:rPr>
          <w:rFonts w:ascii="Arial" w:cs="Arial" w:eastAsia="Arial" w:hAnsi="Arial"/>
          <w:sz w:val="14"/>
          <w:szCs w:val="14"/>
          <w:color w:val="auto"/>
        </w:rPr>
        <w:t>Inventory represents raw materials, finished goods, packaging, and inbound shipping and handling and is reported at the lower of cost or net realizable value being determined using the first-in, first-out method. Net realizable value is the estimated selling price in the ordinary course of business, less reasonably predictable costs of completion, disposal and transportation. The Company reserves for finished goods that are close to the date of expiration.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3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83" w:lineRule="exact"/>
        <w:rPr>
          <w:sz w:val="20"/>
          <w:szCs w:val="20"/>
          <w:color w:val="auto"/>
        </w:rPr>
      </w:pPr>
    </w:p>
    <w:p>
      <w:pPr>
        <w:ind w:right="80" w:firstLine="433"/>
        <w:spacing w:after="0" w:line="304" w:lineRule="auto"/>
        <w:rPr>
          <w:sz w:val="20"/>
          <w:szCs w:val="20"/>
          <w:color w:val="auto"/>
        </w:rPr>
      </w:pPr>
      <w:r>
        <w:rPr>
          <w:rFonts w:ascii="Arial" w:cs="Arial" w:eastAsia="Arial" w:hAnsi="Arial"/>
          <w:sz w:val="12"/>
          <w:szCs w:val="12"/>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If an in-process equity financing is abandoned, the deferred offering costs will be expensed immediately as a charge to operating expenses in the consolidated statements of operations. As a result of the completion of the IPO on October 25, 2021 as described in Note 1, deferred offering costs recorded during the period were netted against the proceeds of the offering and reflected as a component of additional paid-in-capital in the quarter ended December 31, 2021. As of December 31, 2022 and 2021, the Company had no deferred offering costs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83" w:lineRule="exact"/>
        <w:rPr>
          <w:sz w:val="20"/>
          <w:szCs w:val="20"/>
          <w:color w:val="auto"/>
        </w:rPr>
      </w:pPr>
    </w:p>
    <w:p>
      <w:pPr>
        <w:ind w:right="120" w:firstLine="433"/>
        <w:spacing w:after="0" w:line="321" w:lineRule="auto"/>
        <w:rPr>
          <w:sz w:val="20"/>
          <w:szCs w:val="20"/>
          <w:color w:val="auto"/>
        </w:rPr>
      </w:pPr>
      <w:r>
        <w:rPr>
          <w:rFonts w:ascii="Arial" w:cs="Arial" w:eastAsia="Arial" w:hAnsi="Arial"/>
          <w:sz w:val="13"/>
          <w:szCs w:val="13"/>
          <w:color w:val="auto"/>
        </w:rPr>
        <w:t>Property and equipment are stated at cost and are depreciated over the estimated useful lives of the related assets or in the case of leasehold improvements, the lease term if shorter, using the straight-line method of depreciation. Repairs and maintenance are charged to expense as incurred. The estimated useful lives of the Company’s property and equipment are as follows:</w:t>
      </w:r>
    </w:p>
    <w:p>
      <w:pPr>
        <w:spacing w:after="0" w:line="14" w:lineRule="exact"/>
        <w:rPr>
          <w:sz w:val="20"/>
          <w:szCs w:val="20"/>
          <w:color w:val="auto"/>
        </w:rPr>
      </w:pPr>
    </w:p>
    <w:p>
      <w:pPr>
        <w:ind w:left="640" w:hanging="19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Equipment and computer software and hardware – 3-7 years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Leasehold improvements – The lesser of the life of the asset or the term of the lease</w:t>
      </w:r>
    </w:p>
    <w:p>
      <w:pPr>
        <w:spacing w:after="0" w:line="93" w:lineRule="exact"/>
        <w:rPr>
          <w:rFonts w:ascii="Arial" w:cs="Arial" w:eastAsia="Arial" w:hAnsi="Arial"/>
          <w:sz w:val="14"/>
          <w:szCs w:val="14"/>
          <w:color w:val="auto"/>
        </w:rPr>
      </w:pPr>
    </w:p>
    <w:p>
      <w:pPr>
        <w:ind w:left="640" w:hanging="19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Vehicles – 5 years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Furniture and fixtures – 3-5 years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94" w:lineRule="exact"/>
        <w:rPr>
          <w:sz w:val="20"/>
          <w:szCs w:val="20"/>
          <w:color w:val="auto"/>
        </w:rPr>
      </w:pPr>
    </w:p>
    <w:p>
      <w:pPr>
        <w:ind w:firstLine="433"/>
        <w:spacing w:after="0" w:line="279" w:lineRule="auto"/>
        <w:rPr>
          <w:sz w:val="20"/>
          <w:szCs w:val="20"/>
          <w:color w:val="auto"/>
        </w:rPr>
      </w:pPr>
      <w:r>
        <w:rPr>
          <w:rFonts w:ascii="Arial" w:cs="Arial" w:eastAsia="Arial" w:hAnsi="Arial"/>
          <w:sz w:val="13"/>
          <w:szCs w:val="13"/>
          <w:color w:val="auto"/>
        </w:rPr>
        <w:t>The Company evaluates the recoverability of its long-lived assets, principally intangibles and property and equipment, by comparing asset group’s carrying value to the expected undiscounted future cash flows to be generated from such assets when events or circumstances indicate that an impairment may have occurred. If the estimated undiscounted future cash flows are less than the carrying amount, an impairment loss is recorded based upon the difference between the carrying amount and the fair value of the asset.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83" w:lineRule="exact"/>
        <w:rPr>
          <w:sz w:val="20"/>
          <w:szCs w:val="20"/>
          <w:color w:val="auto"/>
        </w:rPr>
      </w:pPr>
    </w:p>
    <w:p>
      <w:pPr>
        <w:ind w:right="20" w:firstLine="433"/>
        <w:spacing w:after="0" w:line="272" w:lineRule="auto"/>
        <w:rPr>
          <w:sz w:val="20"/>
          <w:szCs w:val="20"/>
          <w:color w:val="auto"/>
        </w:rPr>
      </w:pPr>
      <w:r>
        <w:rPr>
          <w:rFonts w:ascii="Arial" w:cs="Arial" w:eastAsia="Arial" w:hAnsi="Arial"/>
          <w:sz w:val="13"/>
          <w:szCs w:val="13"/>
          <w:color w:val="auto"/>
        </w:rPr>
        <w:t xml:space="preserve">The Company evaluates each of its acquisitions under the accounting framework in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("ASC 805").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consolidated financial statements from the date of the acquisition. The Company allocated the purchase price, including the fair value of any non-cash and contingent consideration, to the identifiable assets and liabilities of the relevant acquired business at their acquisition date fair values. Any excess consideration over the fair value of assets acquired and liabilities assumed is recognized as goodwill.</w:t>
      </w:r>
    </w:p>
    <w:p>
      <w:pPr>
        <w:spacing w:after="0" w:line="140" w:lineRule="exact"/>
        <w:rPr>
          <w:sz w:val="20"/>
          <w:szCs w:val="20"/>
          <w:color w:val="auto"/>
        </w:rPr>
      </w:pPr>
    </w:p>
    <w:p>
      <w:pPr>
        <w:ind w:right="60" w:firstLine="433"/>
        <w:spacing w:after="0" w:line="251" w:lineRule="auto"/>
        <w:rPr>
          <w:sz w:val="20"/>
          <w:szCs w:val="20"/>
          <w:color w:val="auto"/>
        </w:rPr>
      </w:pPr>
      <w:r>
        <w:rPr>
          <w:rFonts w:ascii="Arial" w:cs="Arial" w:eastAsia="Arial" w:hAnsi="Arial"/>
          <w:sz w:val="14"/>
          <w:szCs w:val="14"/>
          <w:color w:val="auto"/>
        </w:rPr>
        <w:t>Contingent consideration payable in cash or a fixed dollar amount settleable in a variable number of shares is classified as a liability and recorded at fair value, with changes in fair value recorded as a component of operating expenses in the accompanying consolidated statements of operations. Transaction costs associated with business combinations are expensed as incurred and are included in selling, general and administrative expense in the consolidated statements of operations.</w:t>
      </w:r>
    </w:p>
    <w:p>
      <w:pPr>
        <w:spacing w:after="0" w:line="153" w:lineRule="exact"/>
        <w:rPr>
          <w:sz w:val="20"/>
          <w:szCs w:val="20"/>
          <w:color w:val="auto"/>
        </w:rPr>
      </w:pPr>
    </w:p>
    <w:p>
      <w:pPr>
        <w:jc w:val="both"/>
        <w:ind w:right="80" w:firstLine="433"/>
        <w:spacing w:after="0" w:line="313" w:lineRule="auto"/>
        <w:rPr>
          <w:sz w:val="20"/>
          <w:szCs w:val="20"/>
          <w:color w:val="auto"/>
        </w:rPr>
      </w:pPr>
      <w:r>
        <w:rPr>
          <w:rFonts w:ascii="Arial" w:cs="Arial" w:eastAsia="Arial" w:hAnsi="Arial"/>
          <w:sz w:val="12"/>
          <w:szCs w:val="12"/>
          <w:color w:val="auto"/>
        </w:rPr>
        <w:t>The Company performs valuations of assets acquired, liabilities assumed, and contingent consideration and allocates the purchase price to its respective assets and liabilities. Determining the fair value of assets acquired, liabilities assumed, and contingent consideration requires the use of significant judgment and estimates including the selection of valuation methodologies, estimates of future revenue, costs and cash flows, discount rates, the probability of the achievement of specified milestones, and selection of comparable companies. The Company engages the assistance of</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660"/>
        <w:spacing w:after="0" w:line="265" w:lineRule="auto"/>
        <w:rPr>
          <w:sz w:val="20"/>
          <w:szCs w:val="20"/>
          <w:color w:val="auto"/>
        </w:rPr>
      </w:pPr>
      <w:r>
        <w:rPr>
          <w:rFonts w:ascii="Arial" w:cs="Arial" w:eastAsia="Arial" w:hAnsi="Arial"/>
          <w:sz w:val="14"/>
          <w:szCs w:val="14"/>
          <w:color w:val="auto"/>
        </w:rPr>
        <w:t>valuation specialists in concluding on fair value measurements in connection with determining fair values of assets acquired, liabilities assumed, and contingent consideration in a business combination.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83" w:lineRule="exact"/>
        <w:rPr>
          <w:sz w:val="20"/>
          <w:szCs w:val="20"/>
          <w:color w:val="auto"/>
        </w:rPr>
      </w:pPr>
    </w:p>
    <w:p>
      <w:pPr>
        <w:ind w:right="20" w:firstLine="433"/>
        <w:spacing w:after="0" w:line="247" w:lineRule="auto"/>
        <w:rPr>
          <w:sz w:val="20"/>
          <w:szCs w:val="20"/>
          <w:color w:val="auto"/>
        </w:rPr>
      </w:pPr>
      <w:r>
        <w:rPr>
          <w:rFonts w:ascii="Arial" w:cs="Arial" w:eastAsia="Arial" w:hAnsi="Arial"/>
          <w:sz w:val="14"/>
          <w:szCs w:val="14"/>
          <w:color w:val="auto"/>
        </w:rPr>
        <w:t>Intangible assets consist primarily of acquired trade names and distributor relationships. The Company determines the appropriate useful life of the intangible assets by performing an analysis of expected cash flows of the acquired assets. Intangible assets are amortized over their estimated useful lives of ten years, using the straight-line method, which approximates the pattern in which the economic benefits are consumed. The Company’s intangible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 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 from royalty method. The fair value of the distributor relationships is determined through an income approach using the excess earnings method.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 xml:space="preserve">Goodwill represents the excess of the purchase price paid in excess of the fair value of net identifiable tangible and intangible assets acquired in a business combination and is measured in accordance with the provisions of ASC 350, </w:t>
      </w:r>
      <w:r>
        <w:rPr>
          <w:rFonts w:ascii="Arial" w:cs="Arial" w:eastAsia="Arial" w:hAnsi="Arial"/>
          <w:sz w:val="14"/>
          <w:szCs w:val="14"/>
          <w:i w:val="1"/>
          <w:iCs w:val="1"/>
          <w:color w:val="auto"/>
        </w:rPr>
        <w:t>Intangibles – Goodwill and Other</w:t>
      </w:r>
      <w:r>
        <w:rPr>
          <w:rFonts w:ascii="Arial" w:cs="Arial" w:eastAsia="Arial" w:hAnsi="Arial"/>
          <w:sz w:val="14"/>
          <w:szCs w:val="14"/>
          <w:color w:val="auto"/>
        </w:rPr>
        <w:t xml:space="preserve"> ("ASC 350"). Goodwill is not amortized; instead goodwill is tested for impairment on an annual basis on December 31, or more frequently if the Company believes indicators of impairment exist.</w:t>
      </w:r>
    </w:p>
    <w:p>
      <w:pPr>
        <w:spacing w:after="0" w:line="153" w:lineRule="exact"/>
        <w:rPr>
          <w:sz w:val="20"/>
          <w:szCs w:val="20"/>
          <w:color w:val="auto"/>
        </w:rPr>
      </w:pPr>
    </w:p>
    <w:p>
      <w:pPr>
        <w:ind w:firstLine="433"/>
        <w:spacing w:after="0" w:line="246" w:lineRule="auto"/>
        <w:rPr>
          <w:sz w:val="20"/>
          <w:szCs w:val="20"/>
          <w:color w:val="auto"/>
        </w:rPr>
      </w:pPr>
      <w:r>
        <w:rPr>
          <w:rFonts w:ascii="Arial" w:cs="Arial" w:eastAsia="Arial" w:hAnsi="Arial"/>
          <w:sz w:val="14"/>
          <w:szCs w:val="14"/>
          <w:color w:val="auto"/>
        </w:rPr>
        <w:t>The Company has determined that there are three reporting units for purposes of testing goodwill for impairment: (i) the Americas reporting unit, (ii) the Europe reporting unit, and (iii) the Asia reporting unit. All of the Company’s goodwill is allocated to the Americas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56" w:lineRule="exact"/>
        <w:rPr>
          <w:sz w:val="20"/>
          <w:szCs w:val="20"/>
          <w:color w:val="auto"/>
        </w:rPr>
      </w:pPr>
    </w:p>
    <w:p>
      <w:pPr>
        <w:ind w:right="20" w:firstLine="433"/>
        <w:spacing w:after="0" w:line="265" w:lineRule="auto"/>
        <w:rPr>
          <w:sz w:val="20"/>
          <w:szCs w:val="20"/>
          <w:color w:val="auto"/>
        </w:rPr>
      </w:pPr>
      <w:r>
        <w:rPr>
          <w:rFonts w:ascii="Arial" w:cs="Arial" w:eastAsia="Arial" w:hAnsi="Arial"/>
          <w:sz w:val="13"/>
          <w:szCs w:val="13"/>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the Company’s industry, and require to make certain assumptions and estimates regarding industry economic factors and future profitability of the Company’s business. It is the Company’s policy to conduct impairment testing based on its most current business plans, projected future revenues and cash flows, which reflect changes anticipated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the Company’s reporting unit. The Company will recognize an impairment for the amount by which the carrying amount exceeds a reporting unit’s fair value. For the years ended December 31, 2022, 2021 and 2020, there were no impairments recorded.</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Supplier Advances</w:t>
      </w:r>
    </w:p>
    <w:p>
      <w:pPr>
        <w:spacing w:after="0" w:line="83" w:lineRule="exact"/>
        <w:rPr>
          <w:sz w:val="20"/>
          <w:szCs w:val="20"/>
          <w:color w:val="auto"/>
        </w:rPr>
      </w:pPr>
    </w:p>
    <w:p>
      <w:pPr>
        <w:ind w:firstLine="433"/>
        <w:spacing w:after="0" w:line="259" w:lineRule="auto"/>
        <w:rPr>
          <w:sz w:val="20"/>
          <w:szCs w:val="20"/>
          <w:color w:val="auto"/>
        </w:rPr>
      </w:pPr>
      <w:r>
        <w:rPr>
          <w:rFonts w:ascii="Arial" w:cs="Arial" w:eastAsia="Arial" w:hAnsi="Arial"/>
          <w:sz w:val="14"/>
          <w:szCs w:val="14"/>
          <w:color w:val="auto"/>
        </w:rPr>
        <w:t>The Company issues advances to certain manufacturers with interest at rates between 0% and 4% with terms extending to February 2028</w:t>
      </w:r>
      <w:r>
        <w:rPr>
          <w:rFonts w:ascii="Arial" w:cs="Arial" w:eastAsia="Arial" w:hAnsi="Arial"/>
          <w:sz w:val="14"/>
          <w:szCs w:val="14"/>
          <w:i w:val="1"/>
          <w:iCs w:val="1"/>
          <w:color w:val="auto"/>
        </w:rPr>
        <w:t>.</w:t>
      </w:r>
      <w:r>
        <w:rPr>
          <w:rFonts w:ascii="Arial" w:cs="Arial" w:eastAsia="Arial" w:hAnsi="Arial"/>
          <w:sz w:val="14"/>
          <w:szCs w:val="14"/>
          <w:color w:val="auto"/>
        </w:rPr>
        <w:t xml:space="preserve"> These advances are assessed for collectability and an allowance for credit losses is recognized when it is probable that the Company will be unable to collect all amounts due according to the contractual terms. There was no allowance recorded as of December 31, 2022 and December 31, 2021.</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w:t>
      </w:r>
    </w:p>
    <w:p>
      <w:pPr>
        <w:spacing w:after="0" w:line="83" w:lineRule="exact"/>
        <w:rPr>
          <w:sz w:val="20"/>
          <w:szCs w:val="20"/>
          <w:color w:val="auto"/>
        </w:rPr>
      </w:pPr>
    </w:p>
    <w:p>
      <w:pPr>
        <w:jc w:val="both"/>
        <w:ind w:right="20" w:firstLine="433"/>
        <w:spacing w:after="0" w:line="251" w:lineRule="auto"/>
        <w:rPr>
          <w:sz w:val="20"/>
          <w:szCs w:val="20"/>
          <w:color w:val="auto"/>
        </w:rPr>
      </w:pPr>
      <w:r>
        <w:rPr>
          <w:rFonts w:ascii="Arial" w:cs="Arial" w:eastAsia="Arial" w:hAnsi="Arial"/>
          <w:sz w:val="14"/>
          <w:szCs w:val="14"/>
          <w:color w:val="auto"/>
        </w:rPr>
        <w:t>The Company’s reporting currency is the U.S. dollar. The Company maintains the financial statements of each entity within the group in its local currency, which is also the entity’s functional currency. Gains and losses on transactions denominated in currencies other than the functional currency are included in determining net income for the period. All assets and liabilities denominated in a foreign currency are translated into U.S. dollars at the exchange rate on the balance sheet date. Revenue and expenses are translated at the average exchange rate applicable during the period. Translation gains and losses are included as a component of accumulated other comprehensive income in stockholders’ equity.</w:t>
      </w:r>
    </w:p>
    <w:p>
      <w:pPr>
        <w:spacing w:after="0" w:line="154" w:lineRule="exact"/>
        <w:rPr>
          <w:sz w:val="20"/>
          <w:szCs w:val="20"/>
          <w:color w:val="auto"/>
        </w:rPr>
      </w:pPr>
    </w:p>
    <w:p>
      <w:pPr>
        <w:ind w:right="360" w:firstLine="433"/>
        <w:spacing w:after="0" w:line="265" w:lineRule="auto"/>
        <w:rPr>
          <w:sz w:val="20"/>
          <w:szCs w:val="20"/>
          <w:color w:val="auto"/>
        </w:rPr>
      </w:pPr>
      <w:r>
        <w:rPr>
          <w:rFonts w:ascii="Arial" w:cs="Arial" w:eastAsia="Arial" w:hAnsi="Arial"/>
          <w:sz w:val="14"/>
          <w:szCs w:val="14"/>
          <w:color w:val="auto"/>
        </w:rPr>
        <w:t>Transaction gains and losses that arise from exchange rate fluctuations on transactions denominated in a currency other than the functional currency are included as a component of other income (expense) in the accompanying consolidated statements of operations when incurred.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Instruments</w:t>
      </w:r>
    </w:p>
    <w:p>
      <w:pPr>
        <w:spacing w:after="0" w:line="94" w:lineRule="exact"/>
        <w:rPr>
          <w:sz w:val="20"/>
          <w:szCs w:val="20"/>
          <w:color w:val="auto"/>
        </w:rPr>
      </w:pPr>
    </w:p>
    <w:p>
      <w:pPr>
        <w:ind w:right="180" w:firstLine="433"/>
        <w:spacing w:after="0" w:line="251" w:lineRule="auto"/>
        <w:rPr>
          <w:sz w:val="20"/>
          <w:szCs w:val="20"/>
          <w:color w:val="auto"/>
        </w:rPr>
      </w:pPr>
      <w:r>
        <w:rPr>
          <w:rFonts w:ascii="Arial" w:cs="Arial" w:eastAsia="Arial" w:hAnsi="Arial"/>
          <w:sz w:val="14"/>
          <w:szCs w:val="14"/>
          <w:color w:val="auto"/>
        </w:rPr>
        <w:t>The Company periodically enters into forward foreign currency exchange contracts to hedge its foreign currency exposure. The fair value of these contracts is recorded in the consolidated balance sheets with a corresponding adjustment to the consolidated statements of operations for the change in fair value of the derivative instruments, as the contracts have not been designated as a hedge instrument. Refer to Note 12, Derivative Instruments, for more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83" w:lineRule="exact"/>
        <w:rPr>
          <w:sz w:val="20"/>
          <w:szCs w:val="20"/>
          <w:color w:val="auto"/>
        </w:rPr>
      </w:pPr>
    </w:p>
    <w:p>
      <w:pPr>
        <w:ind w:right="220" w:firstLine="433"/>
        <w:spacing w:after="0" w:line="304" w:lineRule="auto"/>
        <w:rPr>
          <w:sz w:val="20"/>
          <w:szCs w:val="20"/>
          <w:color w:val="auto"/>
        </w:rPr>
      </w:pPr>
      <w:r>
        <w:rPr>
          <w:rFonts w:ascii="Arial" w:cs="Arial" w:eastAsia="Arial" w:hAnsi="Arial"/>
          <w:sz w:val="13"/>
          <w:szCs w:val="13"/>
          <w:color w:val="auto"/>
        </w:rPr>
        <w:t>The Company operates as two operating and reportable segments: (i) Americas segment, which is comprised of the Company’s operations in the Americas region, primarily in the U.S. and Canada, and (ii) International segment, which is comprised of the Company’s operations primarily in Europe, Middle East, Africa and the Asia Pacific regions.</w:t>
      </w:r>
    </w:p>
    <w:p>
      <w:pPr>
        <w:spacing w:after="0" w:line="120" w:lineRule="exact"/>
        <w:rPr>
          <w:sz w:val="20"/>
          <w:szCs w:val="20"/>
          <w:color w:val="auto"/>
        </w:rPr>
      </w:pPr>
    </w:p>
    <w:p>
      <w:pPr>
        <w:ind w:right="120" w:firstLine="433"/>
        <w:spacing w:after="0" w:line="279" w:lineRule="auto"/>
        <w:rPr>
          <w:sz w:val="20"/>
          <w:szCs w:val="20"/>
          <w:color w:val="auto"/>
        </w:rPr>
      </w:pPr>
      <w:r>
        <w:rPr>
          <w:rFonts w:ascii="Arial" w:cs="Arial" w:eastAsia="Arial" w:hAnsi="Arial"/>
          <w:sz w:val="13"/>
          <w:szCs w:val="13"/>
          <w:color w:val="auto"/>
        </w:rPr>
        <w:t>The Company’s Chief Executive Officer, as the chief operating decision maker (CODM), manages and allocates resources between the Americas and International segments. Consistent with this decision-making process, the CEO uses financial information disaggregated between the Americas and International segment for purposes of evaluating performance, forecasting future period financial results, allocating resources and setting incentive targets. The CEO evaluates segment business performance based primarily on net sales and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83" w:lineRule="exact"/>
        <w:rPr>
          <w:sz w:val="20"/>
          <w:szCs w:val="20"/>
          <w:color w:val="auto"/>
        </w:rPr>
      </w:pPr>
    </w:p>
    <w:p>
      <w:pPr>
        <w:jc w:val="both"/>
        <w:ind w:right="120" w:firstLine="433"/>
        <w:spacing w:after="0" w:line="322" w:lineRule="auto"/>
        <w:rPr>
          <w:sz w:val="20"/>
          <w:szCs w:val="20"/>
          <w:color w:val="auto"/>
        </w:rPr>
      </w:pPr>
      <w:r>
        <w:rPr>
          <w:rFonts w:ascii="Arial" w:cs="Arial" w:eastAsia="Arial" w:hAnsi="Arial"/>
          <w:sz w:val="12"/>
          <w:szCs w:val="12"/>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could be invested in overnight money market treasury deposits in widely diversified accounts.</w:t>
      </w:r>
    </w:p>
    <w:p>
      <w:pPr>
        <w:spacing w:after="0" w:line="18" w:lineRule="exact"/>
        <w:rPr>
          <w:sz w:val="20"/>
          <w:szCs w:val="20"/>
          <w:color w:val="auto"/>
        </w:rPr>
      </w:pPr>
    </w:p>
    <w:p>
      <w:pPr>
        <w:ind w:firstLine="433"/>
        <w:spacing w:after="0" w:line="248" w:lineRule="auto"/>
        <w:rPr>
          <w:sz w:val="20"/>
          <w:szCs w:val="20"/>
          <w:color w:val="auto"/>
        </w:rPr>
      </w:pPr>
      <w:r>
        <w:rPr>
          <w:rFonts w:ascii="Arial" w:cs="Arial" w:eastAsia="Arial" w:hAnsi="Arial"/>
          <w:sz w:val="14"/>
          <w:szCs w:val="14"/>
          <w:color w:val="auto"/>
        </w:rPr>
        <w:t>Substantially, all of the Company’s customers are either wholesalers or retailers of beverages. A material default in payment, a material reduction in purchase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represented 54%, 53%, and 54% of total net sales during the years ended December 31, 2022, 2021 and 2020, respectively. In addition, the two customers also accounted for 39% and 37% of total accounts receivable as of December 31, 2022 and 2021, respectively. The Company has not experienced credit issues with these customers.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83" w:lineRule="exact"/>
        <w:rPr>
          <w:sz w:val="20"/>
          <w:szCs w:val="20"/>
          <w:color w:val="auto"/>
        </w:rPr>
      </w:pPr>
    </w:p>
    <w:p>
      <w:pPr>
        <w:ind w:right="120" w:firstLine="433"/>
        <w:spacing w:after="0" w:line="248" w:lineRule="auto"/>
        <w:rPr>
          <w:sz w:val="20"/>
          <w:szCs w:val="20"/>
          <w:color w:val="auto"/>
        </w:rPr>
      </w:pPr>
      <w:r>
        <w:rPr>
          <w:rFonts w:ascii="Arial" w:cs="Arial" w:eastAsia="Arial" w:hAnsi="Arial"/>
          <w:sz w:val="14"/>
          <w:szCs w:val="14"/>
          <w:color w:val="auto"/>
        </w:rPr>
        <w:t xml:space="preserve">In August 2018, the Financial Accounting Standards Board ("FASB") issued ASU 2018-15, </w:t>
      </w:r>
      <w:r>
        <w:rPr>
          <w:rFonts w:ascii="Arial" w:cs="Arial" w:eastAsia="Arial" w:hAnsi="Arial"/>
          <w:sz w:val="14"/>
          <w:szCs w:val="14"/>
          <w:i w:val="1"/>
          <w:iCs w:val="1"/>
          <w:color w:val="auto"/>
        </w:rPr>
        <w:t>Intangibles—Goodwill and Other—Internal-Use Software</w:t>
      </w:r>
      <w:r>
        <w:rPr>
          <w:rFonts w:ascii="Arial" w:cs="Arial" w:eastAsia="Arial" w:hAnsi="Arial"/>
          <w:sz w:val="14"/>
          <w:szCs w:val="14"/>
          <w:color w:val="auto"/>
        </w:rPr>
        <w:t xml:space="preserve"> (Subtopic 350-40). The update is associated with customer’s accounting for implementation costs incurred in a cloud computing arrangement that is a service contract. The standard aligns the requirements for capitalizing implementation costs incurred in a hosting arrangement that is a service contract with the requirements for capitalizing implementation costs incurred to develop or obtain internal-use software. The amendments in this update require that a customer in a hosting arrangement that is a service contract follow the guidance in Subtopic 350-40 to determine which implementation costs should be capitalized as an asset and which costs should be expensed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states that any capitalized implementation costs should be expensed over the term of the hosting arrangement. The guidance is effective for the Company for fiscal years beginning after December 15, 2020, and interim periods within annual periods beginning after December 15, 2021. The Company adopted the guidance in this amendment using a prospective approach effective January 1, 2021 for the fiscal year ended December 31, 2021. The adoption of ASU 2018-15 did not have a material impact on the consolidated financial statements.</w:t>
      </w:r>
    </w:p>
    <w:p>
      <w:pPr>
        <w:spacing w:after="0" w:line="109" w:lineRule="exact"/>
        <w:rPr>
          <w:sz w:val="20"/>
          <w:szCs w:val="20"/>
          <w:color w:val="auto"/>
        </w:rPr>
      </w:pPr>
    </w:p>
    <w:p>
      <w:pPr>
        <w:jc w:val="both"/>
        <w:ind w:right="40" w:firstLine="433"/>
        <w:spacing w:after="0" w:line="237"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w:t>
      </w:r>
      <w:r>
        <w:rPr>
          <w:rFonts w:ascii="Arial" w:cs="Arial" w:eastAsia="Arial" w:hAnsi="Arial"/>
          <w:sz w:val="14"/>
          <w:szCs w:val="14"/>
          <w:color w:val="auto"/>
        </w:rPr>
        <w:t xml:space="preserve"> (“ASU 2019-12”) that simplify the accounting for income taxes by removing certain exceptions for recognizing deferred taxes for investments, performing intra-period allocation and calculating incomes taxes in interim periods. ASU 2019-12 also adds guidance to reduce complexity in certain areas, including recognizing deferred taxes for tax goodwill and allocating taxes to members of consolidated group. ASU 2019-12 is effective for fiscal years beginning after December 15, 2021. The adoption of this standard did not have a material impact on the Company’s consolidated financial statements.</w:t>
      </w:r>
    </w:p>
    <w:p>
      <w:pPr>
        <w:spacing w:after="0" w:line="139" w:lineRule="exact"/>
        <w:rPr>
          <w:sz w:val="20"/>
          <w:szCs w:val="20"/>
          <w:color w:val="auto"/>
        </w:rPr>
      </w:pPr>
    </w:p>
    <w:p>
      <w:pPr>
        <w:jc w:val="both"/>
        <w:ind w:right="340" w:firstLine="433"/>
        <w:spacing w:after="0" w:line="243" w:lineRule="auto"/>
        <w:rPr>
          <w:sz w:val="20"/>
          <w:szCs w:val="20"/>
          <w:color w:val="auto"/>
        </w:rPr>
      </w:pPr>
      <w:r>
        <w:rPr>
          <w:rFonts w:ascii="Arial" w:cs="Arial" w:eastAsia="Arial" w:hAnsi="Arial"/>
          <w:sz w:val="14"/>
          <w:szCs w:val="14"/>
          <w:color w:val="auto"/>
        </w:rPr>
        <w:t xml:space="preserve">In November 2021, the FASB issued ASU 2021-10, </w:t>
      </w:r>
      <w:r>
        <w:rPr>
          <w:rFonts w:ascii="Arial" w:cs="Arial" w:eastAsia="Arial" w:hAnsi="Arial"/>
          <w:sz w:val="14"/>
          <w:szCs w:val="14"/>
          <w:i w:val="1"/>
          <w:iCs w:val="1"/>
          <w:color w:val="auto"/>
        </w:rPr>
        <w:t>Government Assistance (Topic 832): Disclosures by Business Entities about Government Assistance</w:t>
      </w:r>
      <w:r>
        <w:rPr>
          <w:rFonts w:ascii="Arial" w:cs="Arial" w:eastAsia="Arial" w:hAnsi="Arial"/>
          <w:sz w:val="14"/>
          <w:szCs w:val="14"/>
          <w:color w:val="auto"/>
        </w:rPr>
        <w:t>, which requires disclosure about certain government assistance they receive. ASU 2021-10 is effective for all entities for annual periods beginning after December 15, 2021. The adoption of this standard did not have a material impact on the Company's consolidated financial statements.</w:t>
      </w:r>
    </w:p>
    <w:p>
      <w:pPr>
        <w:spacing w:after="0" w:line="52" w:lineRule="exact"/>
        <w:rPr>
          <w:sz w:val="20"/>
          <w:szCs w:val="20"/>
          <w:color w:val="auto"/>
        </w:rPr>
      </w:pPr>
    </w:p>
    <w:p>
      <w:pPr>
        <w:ind w:firstLine="433"/>
        <w:spacing w:after="0" w:line="237" w:lineRule="auto"/>
        <w:rPr>
          <w:sz w:val="20"/>
          <w:szCs w:val="20"/>
          <w:color w:val="auto"/>
        </w:rPr>
      </w:pPr>
      <w:r>
        <w:rPr>
          <w:rFonts w:ascii="Arial" w:cs="Arial" w:eastAsia="Arial" w:hAnsi="Arial"/>
          <w:sz w:val="14"/>
          <w:szCs w:val="14"/>
          <w:color w:val="auto"/>
        </w:rPr>
        <w:t xml:space="preserve">In October 2021, the FASB issued ASU 2021-08, </w:t>
      </w:r>
      <w:r>
        <w:rPr>
          <w:rFonts w:ascii="Arial" w:cs="Arial" w:eastAsia="Arial" w:hAnsi="Arial"/>
          <w:sz w:val="14"/>
          <w:szCs w:val="14"/>
          <w:i w:val="1"/>
          <w:iCs w:val="1"/>
          <w:color w:val="auto"/>
        </w:rPr>
        <w:t>Business Combinations (Topic 805) - Accounting for Contract Assets and Contract Liabilities from Contracts with Customers</w:t>
      </w:r>
      <w:r>
        <w:rPr>
          <w:rFonts w:ascii="Arial" w:cs="Arial" w:eastAsia="Arial" w:hAnsi="Arial"/>
          <w:sz w:val="14"/>
          <w:szCs w:val="14"/>
          <w:color w:val="auto"/>
        </w:rPr>
        <w:t>,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is permitted. The Company adopted this standard for all prospective acquisitions after the effective date.</w:t>
      </w:r>
    </w:p>
    <w:p>
      <w:pPr>
        <w:spacing w:after="0" w:line="64" w:lineRule="exact"/>
        <w:rPr>
          <w:sz w:val="20"/>
          <w:szCs w:val="20"/>
          <w:color w:val="auto"/>
        </w:rPr>
      </w:pPr>
    </w:p>
    <w:p>
      <w:pPr>
        <w:ind w:right="20" w:firstLine="382"/>
        <w:spacing w:after="0" w:line="276" w:lineRule="auto"/>
        <w:rPr>
          <w:sz w:val="20"/>
          <w:szCs w:val="20"/>
          <w:color w:val="auto"/>
        </w:rPr>
      </w:pPr>
      <w:r>
        <w:rPr>
          <w:rFonts w:ascii="Arial" w:cs="Arial" w:eastAsia="Arial" w:hAnsi="Arial"/>
          <w:sz w:val="13"/>
          <w:szCs w:val="13"/>
          <w:color w:val="auto"/>
        </w:rPr>
        <w:t xml:space="preserve">In February 2016, the FASB issued </w:t>
      </w:r>
      <w:r>
        <w:rPr>
          <w:rFonts w:ascii="Arial" w:cs="Arial" w:eastAsia="Arial" w:hAnsi="Arial"/>
          <w:sz w:val="13"/>
          <w:szCs w:val="13"/>
          <w:i w:val="1"/>
          <w:iCs w:val="1"/>
          <w:color w:val="auto"/>
        </w:rPr>
        <w:t>ASC 842</w:t>
      </w:r>
      <w:r>
        <w:rPr>
          <w:rFonts w:ascii="Arial" w:cs="Arial" w:eastAsia="Arial" w:hAnsi="Arial"/>
          <w:sz w:val="13"/>
          <w:szCs w:val="13"/>
          <w:color w:val="auto"/>
        </w:rPr>
        <w:t xml:space="preserve">, </w:t>
      </w:r>
      <w:r>
        <w:rPr>
          <w:rFonts w:ascii="Arial" w:cs="Arial" w:eastAsia="Arial" w:hAnsi="Arial"/>
          <w:sz w:val="13"/>
          <w:szCs w:val="13"/>
          <w:i w:val="1"/>
          <w:iCs w:val="1"/>
          <w:color w:val="auto"/>
        </w:rPr>
        <w:t>ASU 2016-02</w:t>
      </w:r>
      <w:r>
        <w:rPr>
          <w:rFonts w:ascii="Arial" w:cs="Arial" w:eastAsia="Arial" w:hAnsi="Arial"/>
          <w:sz w:val="13"/>
          <w:szCs w:val="13"/>
          <w:color w:val="auto"/>
        </w:rPr>
        <w:t xml:space="preserve">, Leases (Topic 842), which was amended by subsequent Accounting Standard Updates ("ASUs"), to enhance the comparability and usefulness of financial reporting around leasing activity. The new standard supersedes the existing authoritative literature for lease accounting under </w:t>
      </w:r>
      <w:r>
        <w:rPr>
          <w:rFonts w:ascii="Arial" w:cs="Arial" w:eastAsia="Arial" w:hAnsi="Arial"/>
          <w:sz w:val="13"/>
          <w:szCs w:val="13"/>
          <w:i w:val="1"/>
          <w:iCs w:val="1"/>
          <w:color w:val="auto"/>
        </w:rPr>
        <w:t>ASC 840</w:t>
      </w:r>
      <w:r>
        <w:rPr>
          <w:rFonts w:ascii="Arial" w:cs="Arial" w:eastAsia="Arial" w:hAnsi="Arial"/>
          <w:sz w:val="13"/>
          <w:szCs w:val="13"/>
          <w:color w:val="auto"/>
        </w:rPr>
        <w:t xml:space="preserve">, with a focus on applying a “right-of-use model.” The guidance for leases under </w:t>
      </w:r>
      <w:r>
        <w:rPr>
          <w:rFonts w:ascii="Arial" w:cs="Arial" w:eastAsia="Arial" w:hAnsi="Arial"/>
          <w:sz w:val="13"/>
          <w:szCs w:val="13"/>
          <w:i w:val="1"/>
          <w:iCs w:val="1"/>
          <w:color w:val="auto"/>
        </w:rPr>
        <w:t>ASC 842</w:t>
      </w:r>
      <w:r>
        <w:rPr>
          <w:rFonts w:ascii="Arial" w:cs="Arial" w:eastAsia="Arial" w:hAnsi="Arial"/>
          <w:sz w:val="13"/>
          <w:szCs w:val="13"/>
          <w:color w:val="auto"/>
        </w:rPr>
        <w:t xml:space="preserve"> results in a right-of-use asset (“ROU asset”) and lease liability being reported on the balance sheet for leases with a lease term greater than twelve months. In June 2020, the FASB issued </w:t>
      </w:r>
      <w:r>
        <w:rPr>
          <w:rFonts w:ascii="Arial" w:cs="Arial" w:eastAsia="Arial" w:hAnsi="Arial"/>
          <w:sz w:val="13"/>
          <w:szCs w:val="13"/>
          <w:i w:val="1"/>
          <w:iCs w:val="1"/>
          <w:color w:val="auto"/>
        </w:rPr>
        <w:t>ASU 2020-05</w:t>
      </w:r>
      <w:r>
        <w:rPr>
          <w:rFonts w:ascii="Arial" w:cs="Arial" w:eastAsia="Arial" w:hAnsi="Arial"/>
          <w:sz w:val="13"/>
          <w:szCs w:val="13"/>
          <w:color w:val="auto"/>
        </w:rPr>
        <w:t xml:space="preserve">,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(Topic 606) and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Effective Dates for certain entities, which deferred the effective date of </w:t>
      </w:r>
      <w:r>
        <w:rPr>
          <w:rFonts w:ascii="Arial" w:cs="Arial" w:eastAsia="Arial" w:hAnsi="Arial"/>
          <w:sz w:val="13"/>
          <w:szCs w:val="13"/>
          <w:i w:val="1"/>
          <w:iCs w:val="1"/>
          <w:color w:val="auto"/>
        </w:rPr>
        <w:t>ASU 2016-02</w:t>
      </w:r>
      <w:r>
        <w:rPr>
          <w:rFonts w:ascii="Arial" w:cs="Arial" w:eastAsia="Arial" w:hAnsi="Arial"/>
          <w:sz w:val="13"/>
          <w:szCs w:val="13"/>
          <w:color w:val="auto"/>
        </w:rPr>
        <w:t xml:space="preserve"> for certain entities. </w:t>
      </w:r>
      <w:r>
        <w:rPr>
          <w:rFonts w:ascii="Arial" w:cs="Arial" w:eastAsia="Arial" w:hAnsi="Arial"/>
          <w:sz w:val="13"/>
          <w:szCs w:val="13"/>
          <w:i w:val="1"/>
          <w:iCs w:val="1"/>
          <w:color w:val="auto"/>
        </w:rPr>
        <w:t>ASC 842</w:t>
      </w:r>
      <w:r>
        <w:rPr>
          <w:rFonts w:ascii="Arial" w:cs="Arial" w:eastAsia="Arial" w:hAnsi="Arial"/>
          <w:sz w:val="13"/>
          <w:szCs w:val="13"/>
          <w:color w:val="auto"/>
        </w:rPr>
        <w:t xml:space="preserve"> is effective for the Company, as an Emerging Growth Company (“EGC”), for annual reporting periods beginning after December 15, 2021 and for interim periods beginning after December 15, 2022. The Company adopted the standard on January 1, 2022 using the alternative modified retrospective transition approach in accordance with </w:t>
      </w:r>
      <w:r>
        <w:rPr>
          <w:rFonts w:ascii="Arial" w:cs="Arial" w:eastAsia="Arial" w:hAnsi="Arial"/>
          <w:sz w:val="13"/>
          <w:szCs w:val="13"/>
          <w:i w:val="1"/>
          <w:iCs w:val="1"/>
          <w:color w:val="auto"/>
        </w:rPr>
        <w:t>ASU</w:t>
      </w:r>
      <w:r>
        <w:rPr>
          <w:rFonts w:ascii="Arial" w:cs="Arial" w:eastAsia="Arial" w:hAnsi="Arial"/>
          <w:sz w:val="13"/>
          <w:szCs w:val="13"/>
          <w:color w:val="auto"/>
        </w:rPr>
        <w:t xml:space="preserve"> </w:t>
      </w:r>
      <w:r>
        <w:rPr>
          <w:rFonts w:ascii="Arial" w:cs="Arial" w:eastAsia="Arial" w:hAnsi="Arial"/>
          <w:sz w:val="13"/>
          <w:szCs w:val="13"/>
          <w:i w:val="1"/>
          <w:iCs w:val="1"/>
          <w:color w:val="auto"/>
        </w:rPr>
        <w:t>2018-11</w:t>
      </w:r>
      <w:r>
        <w:rPr>
          <w:rFonts w:ascii="Arial" w:cs="Arial" w:eastAsia="Arial" w:hAnsi="Arial"/>
          <w:sz w:val="13"/>
          <w:szCs w:val="13"/>
          <w:color w:val="auto"/>
        </w:rPr>
        <w:t>,</w:t>
      </w:r>
      <w:r>
        <w:rPr>
          <w:rFonts w:ascii="Arial" w:cs="Arial" w:eastAsia="Arial" w:hAnsi="Arial"/>
          <w:sz w:val="13"/>
          <w:szCs w:val="13"/>
          <w:i w:val="1"/>
          <w:iCs w:val="1"/>
          <w:color w:val="auto"/>
        </w:rPr>
        <w:t xml:space="preserve"> Leases </w:t>
      </w:r>
      <w:r>
        <w:rPr>
          <w:rFonts w:ascii="Arial" w:cs="Arial" w:eastAsia="Arial" w:hAnsi="Arial"/>
          <w:sz w:val="13"/>
          <w:szCs w:val="13"/>
          <w:color w:val="auto"/>
        </w:rPr>
        <w:t>(Topic 842): Targeted Improvements, where the adoption date represents the initial date of application. As part of its adoption, the Company elected to apply the package of practical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permits the exclusion of leases considered to be short-term. Under the alternative modified retrospective transition approach, the reported results for 2022 reflect the application of </w:t>
      </w:r>
      <w:r>
        <w:rPr>
          <w:rFonts w:ascii="Arial" w:cs="Arial" w:eastAsia="Arial" w:hAnsi="Arial"/>
          <w:sz w:val="13"/>
          <w:szCs w:val="13"/>
          <w:i w:val="1"/>
          <w:iCs w:val="1"/>
          <w:color w:val="auto"/>
        </w:rPr>
        <w:t>ASC 842</w:t>
      </w:r>
      <w:r>
        <w:rPr>
          <w:rFonts w:ascii="Arial" w:cs="Arial" w:eastAsia="Arial" w:hAnsi="Arial"/>
          <w:sz w:val="13"/>
          <w:szCs w:val="13"/>
          <w:color w:val="auto"/>
        </w:rPr>
        <w:t xml:space="preserve"> guidance, whereas comparative periods and the respective disclosures prior to the adoption of </w:t>
      </w:r>
      <w:r>
        <w:rPr>
          <w:rFonts w:ascii="Arial" w:cs="Arial" w:eastAsia="Arial" w:hAnsi="Arial"/>
          <w:sz w:val="13"/>
          <w:szCs w:val="13"/>
          <w:i w:val="1"/>
          <w:iCs w:val="1"/>
          <w:color w:val="auto"/>
        </w:rPr>
        <w:t>ASC 842</w:t>
      </w:r>
      <w:r>
        <w:rPr>
          <w:rFonts w:ascii="Arial" w:cs="Arial" w:eastAsia="Arial" w:hAnsi="Arial"/>
          <w:sz w:val="13"/>
          <w:szCs w:val="13"/>
          <w:color w:val="auto"/>
        </w:rPr>
        <w:t xml:space="preserve"> are presented using the legacy guidance of </w:t>
      </w:r>
      <w:r>
        <w:rPr>
          <w:rFonts w:ascii="Arial" w:cs="Arial" w:eastAsia="Arial" w:hAnsi="Arial"/>
          <w:sz w:val="13"/>
          <w:szCs w:val="13"/>
          <w:i w:val="1"/>
          <w:iCs w:val="1"/>
          <w:color w:val="auto"/>
        </w:rPr>
        <w:t>ASC 840</w:t>
      </w:r>
      <w:r>
        <w:rPr>
          <w:rFonts w:ascii="Arial" w:cs="Arial" w:eastAsia="Arial" w:hAnsi="Arial"/>
          <w:sz w:val="13"/>
          <w:szCs w:val="13"/>
          <w:color w:val="auto"/>
        </w:rPr>
        <w:t>. As a result of adopting the new standard, the Company recognized right-of-use assets and 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83" w:lineRule="exact"/>
        <w:rPr>
          <w:sz w:val="20"/>
          <w:szCs w:val="20"/>
          <w:color w:val="auto"/>
        </w:rPr>
      </w:pPr>
    </w:p>
    <w:p>
      <w:pPr>
        <w:ind w:right="20" w:firstLine="433"/>
        <w:spacing w:after="0" w:line="277" w:lineRule="auto"/>
        <w:rPr>
          <w:sz w:val="20"/>
          <w:szCs w:val="20"/>
          <w:color w:val="auto"/>
        </w:rPr>
      </w:pPr>
      <w:r>
        <w:rPr>
          <w:rFonts w:ascii="Arial" w:cs="Arial" w:eastAsia="Arial" w:hAnsi="Arial"/>
          <w:sz w:val="13"/>
          <w:szCs w:val="13"/>
          <w:color w:val="auto"/>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80" w:firstLine="433"/>
        <w:spacing w:after="0" w:line="249"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Instruments—Credit Losses (Topic 326): Measurement of Credit Losses on Financial Instruments</w:t>
      </w:r>
      <w:r>
        <w:rPr>
          <w:rFonts w:ascii="Arial" w:cs="Arial" w:eastAsia="Arial" w:hAnsi="Arial"/>
          <w:sz w:val="14"/>
          <w:szCs w:val="14"/>
          <w:color w:val="auto"/>
        </w:rPr>
        <w:t xml:space="preserve"> (“ASU 2016-13”),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ASU 2016-13 is effective for fiscal years beginning after December 15, 2022, including interim periods with those fiscal years, for nonpublic entities. Early adoption is permitted. This standard will be effective for the Company in the first quarter of its fiscal year ending December 31, 2023. The Company is assessing the impact of adoption on the consolidated financial statements, but does not expect the adoption of this standard to have a material impact on the Company's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 RECOGNITION</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Revenues are accounted for in accordance with ASC 606. The Company disaggregates revenue into the following product categories:</w:t>
      </w:r>
    </w:p>
    <w:p>
      <w:pPr>
        <w:spacing w:after="0" w:line="94" w:lineRule="exact"/>
        <w:rPr>
          <w:sz w:val="20"/>
          <w:szCs w:val="20"/>
          <w:color w:val="auto"/>
        </w:rPr>
      </w:pPr>
    </w:p>
    <w:p>
      <w:pPr>
        <w:ind w:left="640" w:right="120" w:hanging="190"/>
        <w:spacing w:after="0" w:line="251"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Vita Coco Coconut Water </w:t>
      </w:r>
      <w:r>
        <w:rPr>
          <w:rFonts w:ascii="Arial" w:cs="Arial" w:eastAsia="Arial" w:hAnsi="Arial"/>
          <w:sz w:val="14"/>
          <w:szCs w:val="14"/>
          <w:color w:val="auto"/>
        </w:rPr>
        <w:t>– This product category consists of all branded coconut water product offerings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labels, where the majority ingredient is coconut water.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58" w:lineRule="exact"/>
        <w:rPr>
          <w:rFonts w:ascii="Arial" w:cs="Arial" w:eastAsia="Arial" w:hAnsi="Arial"/>
          <w:sz w:val="14"/>
          <w:szCs w:val="14"/>
          <w:color w:val="auto"/>
        </w:rPr>
      </w:pPr>
    </w:p>
    <w:p>
      <w:pPr>
        <w:ind w:left="640" w:right="80" w:hanging="190"/>
        <w:spacing w:after="0" w:line="251"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Private Label </w:t>
      </w:r>
      <w:r>
        <w:rPr>
          <w:rFonts w:ascii="Arial" w:cs="Arial" w:eastAsia="Arial" w:hAnsi="Arial"/>
          <w:sz w:val="14"/>
          <w:szCs w:val="14"/>
          <w:color w:val="auto"/>
        </w:rPr>
        <w:t>– This product category consists of all private label product offerings, which includes coconut water and oil. The Company determined the production and distribution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8" w:lineRule="exact"/>
        <w:rPr>
          <w:rFonts w:ascii="Arial" w:cs="Arial" w:eastAsia="Arial" w:hAnsi="Arial"/>
          <w:sz w:val="14"/>
          <w:szCs w:val="14"/>
          <w:color w:val="auto"/>
        </w:rPr>
      </w:pPr>
    </w:p>
    <w:p>
      <w:pPr>
        <w:jc w:val="both"/>
        <w:ind w:left="640" w:right="280" w:hanging="190"/>
        <w:spacing w:after="0" w:line="259"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Other – </w:t>
      </w:r>
      <w:r>
        <w:rPr>
          <w:rFonts w:ascii="Arial" w:cs="Arial" w:eastAsia="Arial" w:hAnsi="Arial"/>
          <w:sz w:val="14"/>
          <w:szCs w:val="14"/>
          <w:color w:val="auto"/>
        </w:rPr>
        <w:t>This product category consists of all other products, which includes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Runa, Ever &amp; Ever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PWR LIFT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extensions beyond coconut water,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such as </w:t>
      </w:r>
      <w:r>
        <w:rPr>
          <w:rFonts w:ascii="Arial" w:cs="Arial" w:eastAsia="Arial" w:hAnsi="Arial"/>
          <w:sz w:val="14"/>
          <w:szCs w:val="14"/>
          <w:i w:val="1"/>
          <w:iCs w:val="1"/>
          <w:color w:val="auto"/>
        </w:rPr>
        <w:t>Vita Coco Sparkling</w:t>
      </w:r>
      <w:r>
        <w:rPr>
          <w:rFonts w:ascii="Arial" w:cs="Arial" w:eastAsia="Arial" w:hAnsi="Arial"/>
          <w:sz w:val="14"/>
          <w:szCs w:val="14"/>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excludes from revenues all taxes assessed by a governmental authority that are imposed on the sale of its products and collected from customers.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disaggregates net revenue by product type and reportable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2022</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275,964</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38,570</w:t>
            </w: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314,534</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88,173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12,855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101,029</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9,485</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2,740</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12,224</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373,622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427,787</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2021</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231,858</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266,497</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80,639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94,646</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11,394</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6,976</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18,370</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323,891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379,513</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3"/>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2020</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164,786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191,953</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83,449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12,596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96,045</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22,646</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262,899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310,644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ACCOUNTS RECEIVABLE, NET</w:t>
      </w:r>
    </w:p>
    <w:p>
      <w:pPr>
        <w:spacing w:after="0" w:line="87" w:lineRule="exact"/>
        <w:rPr>
          <w:sz w:val="20"/>
          <w:szCs w:val="20"/>
          <w:color w:val="auto"/>
        </w:rPr>
      </w:pPr>
    </w:p>
    <w:p>
      <w:pPr>
        <w:ind w:right="240" w:firstLine="433"/>
        <w:spacing w:after="0" w:line="281" w:lineRule="auto"/>
        <w:rPr>
          <w:sz w:val="20"/>
          <w:szCs w:val="20"/>
          <w:color w:val="auto"/>
        </w:rPr>
      </w:pPr>
      <w:r>
        <w:rPr>
          <w:rFonts w:ascii="Arial" w:cs="Arial" w:eastAsia="Arial" w:hAnsi="Arial"/>
          <w:sz w:val="14"/>
          <w:szCs w:val="14"/>
          <w:color w:val="auto"/>
        </w:rPr>
        <w:t>Accounts receivable, net was $43,350 and $47,195 as of December 31, 2022 and 2021, respectively. The Company recorded an allowance for doubtful accounts of $2,898 and $1,301 as of December 31, 2022 and 2021, respectively.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the allowance for doubtful accounts for the periods presented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January 1, 2021</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96"/>
        </w:trPr>
        <w:tc>
          <w:tcPr>
            <w:tcW w:w="8220" w:type="dxa"/>
            <w:vAlign w:val="bottom"/>
          </w:tcPr>
          <w:p>
            <w:pPr>
              <w:ind w:left="440"/>
              <w:spacing w:after="0"/>
              <w:rPr>
                <w:sz w:val="20"/>
                <w:szCs w:val="20"/>
                <w:color w:val="auto"/>
              </w:rPr>
            </w:pPr>
            <w:r>
              <w:rPr>
                <w:rFonts w:ascii="Arial" w:cs="Arial" w:eastAsia="Arial" w:hAnsi="Arial"/>
                <w:sz w:val="14"/>
                <w:szCs w:val="14"/>
                <w:color w:val="auto"/>
              </w:rPr>
              <w:t>Provision charged to operating results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7"/>
        </w:trPr>
        <w:tc>
          <w:tcPr>
            <w:tcW w:w="82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Account write-offs and other deductions, net of recoveries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7"/>
        </w:trPr>
        <w:tc>
          <w:tcPr>
            <w:tcW w:w="822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07"/>
        </w:trPr>
        <w:tc>
          <w:tcPr>
            <w:tcW w:w="82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Provision charged to operating results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2,641</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tcPr>
          <w:p>
            <w:pPr>
              <w:ind w:left="400"/>
              <w:spacing w:after="0"/>
              <w:rPr>
                <w:sz w:val="20"/>
                <w:szCs w:val="20"/>
                <w:color w:val="auto"/>
              </w:rPr>
            </w:pPr>
            <w:r>
              <w:rPr>
                <w:rFonts w:ascii="Arial" w:cs="Arial" w:eastAsia="Arial" w:hAnsi="Arial"/>
                <w:sz w:val="14"/>
                <w:szCs w:val="14"/>
                <w:color w:val="auto"/>
              </w:rPr>
              <w:t>Account write-offs and other deductions, net of recoveries</w:t>
            </w:r>
          </w:p>
        </w:tc>
        <w:tc>
          <w:tcPr>
            <w:tcW w:w="940" w:type="dxa"/>
            <w:vAlign w:val="bottom"/>
            <w:tcBorders>
              <w:bottom w:val="single" w:sz="8" w:color="CFF0FC"/>
            </w:tcBorders>
          </w:tcPr>
          <w:p>
            <w:pPr>
              <w:spacing w:after="0"/>
              <w:rPr>
                <w:sz w:val="17"/>
                <w:szCs w:val="17"/>
                <w:color w:val="auto"/>
              </w:rPr>
            </w:pPr>
          </w:p>
        </w:tc>
        <w:tc>
          <w:tcPr>
            <w:tcW w:w="5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 2022</w:t>
            </w:r>
          </w:p>
        </w:tc>
        <w:tc>
          <w:tcPr>
            <w:tcW w:w="9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5. INVENTORY</w:t>
            </w:r>
          </w:p>
        </w:tc>
        <w:tc>
          <w:tcPr>
            <w:tcW w:w="9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220" w:type="dxa"/>
            <w:vAlign w:val="bottom"/>
          </w:tcPr>
          <w:p>
            <w:pPr>
              <w:ind w:left="440"/>
              <w:spacing w:after="0"/>
              <w:rPr>
                <w:sz w:val="20"/>
                <w:szCs w:val="20"/>
                <w:color w:val="auto"/>
              </w:rPr>
            </w:pPr>
            <w:r>
              <w:rPr>
                <w:rFonts w:ascii="Arial" w:cs="Arial" w:eastAsia="Arial" w:hAnsi="Arial"/>
                <w:sz w:val="14"/>
                <w:szCs w:val="14"/>
                <w:color w:val="auto"/>
              </w:rPr>
              <w:t>Inventory consists of the following:</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Raw materials and packaging</w:t>
            </w:r>
          </w:p>
        </w:tc>
        <w:tc>
          <w:tcPr>
            <w:tcW w:w="940" w:type="dxa"/>
            <w:vAlign w:val="bottom"/>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5,771</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Finished goods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78,344</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70,492</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Inventory</w:t>
            </w:r>
          </w:p>
        </w:tc>
        <w:tc>
          <w:tcPr>
            <w:tcW w:w="94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84,115</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75,360</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40" w:right="7080" w:hanging="435"/>
        <w:spacing w:after="0" w:line="464" w:lineRule="auto"/>
        <w:tabs>
          <w:tab w:leader="none" w:pos="148"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PREPAID EXPENSES AND OTHER CURRENT ASSETS </w:t>
      </w:r>
      <w:r>
        <w:rPr>
          <w:rFonts w:ascii="Arial" w:cs="Arial" w:eastAsia="Arial" w:hAnsi="Arial"/>
          <w:sz w:val="13"/>
          <w:szCs w:val="13"/>
          <w:color w:val="auto"/>
        </w:rPr>
        <w:t>Prepaid expenses and other current assets consist of the following: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receivables</w:t>
            </w: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7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527</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VAT receivables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Arial" w:cs="Arial" w:eastAsia="Arial" w:hAnsi="Arial"/>
                <w:sz w:val="14"/>
                <w:szCs w:val="14"/>
                <w:color w:val="auto"/>
              </w:rPr>
              <w:t>Supplier prepaid</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4,018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6,182</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insurance</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Arial" w:cs="Arial" w:eastAsia="Arial" w:hAnsi="Arial"/>
                <w:sz w:val="14"/>
                <w:szCs w:val="14"/>
                <w:color w:val="auto"/>
              </w:rPr>
              <w:t>Other prepaid expenses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receivables</w:t>
            </w: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gridSpan w:val="2"/>
            <w:shd w:val="clear" w:color="auto" w:fill="CFF0FC"/>
          </w:tcPr>
          <w:p>
            <w:pPr>
              <w:jc w:val="right"/>
              <w:ind w:right="1"/>
              <w:spacing w:after="0"/>
              <w:rPr>
                <w:sz w:val="20"/>
                <w:szCs w:val="20"/>
                <w:color w:val="auto"/>
              </w:rPr>
            </w:pPr>
            <w:r>
              <w:rPr>
                <w:rFonts w:ascii="Arial" w:cs="Arial" w:eastAsia="Arial" w:hAnsi="Arial"/>
                <w:sz w:val="14"/>
                <w:szCs w:val="14"/>
                <w:color w:val="auto"/>
              </w:rPr>
              <w:t>2,290</w:t>
            </w:r>
          </w:p>
        </w:tc>
        <w:tc>
          <w:tcPr>
            <w:tcW w:w="1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83"/>
        </w:trPr>
        <w:tc>
          <w:tcPr>
            <w:tcW w:w="2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67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22,181</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20,718</w:t>
            </w: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7. PROPERTY AND EQUIPMENT, NET</w:t>
            </w: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2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00" w:type="dxa"/>
            <w:vAlign w:val="bottom"/>
            <w:gridSpan w:val="2"/>
          </w:tcPr>
          <w:p>
            <w:pPr>
              <w:ind w:left="360"/>
              <w:spacing w:after="0"/>
              <w:rPr>
                <w:sz w:val="20"/>
                <w:szCs w:val="20"/>
                <w:color w:val="auto"/>
              </w:rPr>
            </w:pPr>
            <w:r>
              <w:rPr>
                <w:rFonts w:ascii="Arial" w:cs="Arial" w:eastAsia="Arial" w:hAnsi="Arial"/>
                <w:sz w:val="14"/>
                <w:szCs w:val="14"/>
                <w:color w:val="auto"/>
              </w:rPr>
              <w:t>Property and equipment, net consist of the following:</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8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7"/>
              </w:rPr>
              <w:t>Equipment and computer software and hardware</w:t>
            </w: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7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5,137</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Arial" w:cs="Arial" w:eastAsia="Arial" w:hAnsi="Arial"/>
                <w:sz w:val="14"/>
                <w:szCs w:val="14"/>
                <w:color w:val="auto"/>
              </w:rPr>
              <w:t>Leasehold improvement</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Vehicles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Arial" w:cs="Arial" w:eastAsia="Arial" w:hAnsi="Arial"/>
                <w:sz w:val="14"/>
                <w:szCs w:val="14"/>
                <w:color w:val="auto"/>
              </w:rPr>
              <w:t>Land and improvements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1"/>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7"/>
        </w:trPr>
        <w:tc>
          <w:tcPr>
            <w:tcW w:w="2980" w:type="dxa"/>
            <w:vAlign w:val="bottom"/>
          </w:tcPr>
          <w:p>
            <w:pPr>
              <w:ind w:left="440"/>
              <w:spacing w:after="0"/>
              <w:rPr>
                <w:sz w:val="20"/>
                <w:szCs w:val="20"/>
                <w:color w:val="auto"/>
              </w:rPr>
            </w:pPr>
            <w:r>
              <w:rPr>
                <w:rFonts w:ascii="Arial" w:cs="Arial" w:eastAsia="Arial" w:hAnsi="Arial"/>
                <w:sz w:val="14"/>
                <w:szCs w:val="14"/>
                <w:color w:val="auto"/>
              </w:rPr>
              <w:t>Total Property Plant &amp; Equipment</w:t>
            </w: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4"/>
                <w:szCs w:val="14"/>
                <w:color w:val="auto"/>
              </w:rPr>
              <w:t>6,661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7"/>
              </w:rPr>
              <w:t>Less accumulated depreciation and amortization</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(4,585)</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187"/>
        </w:trPr>
        <w:tc>
          <w:tcPr>
            <w:tcW w:w="2980" w:type="dxa"/>
            <w:vAlign w:val="bottom"/>
          </w:tcPr>
          <w:p>
            <w:pPr>
              <w:ind w:left="80"/>
              <w:spacing w:after="0"/>
              <w:rPr>
                <w:sz w:val="20"/>
                <w:szCs w:val="20"/>
                <w:color w:val="auto"/>
              </w:rPr>
            </w:pPr>
            <w:r>
              <w:rPr>
                <w:rFonts w:ascii="Arial" w:cs="Arial" w:eastAsia="Arial" w:hAnsi="Arial"/>
                <w:sz w:val="14"/>
                <w:szCs w:val="14"/>
                <w:color w:val="auto"/>
              </w:rPr>
              <w:t>Property and equipment-net</w:t>
            </w: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20"/>
        </w:trPr>
        <w:tc>
          <w:tcPr>
            <w:tcW w:w="42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700" w:type="dxa"/>
            <w:vAlign w:val="bottom"/>
            <w:gridSpan w:val="19"/>
          </w:tcPr>
          <w:p>
            <w:pPr>
              <w:ind w:left="440"/>
              <w:spacing w:after="0"/>
              <w:rPr>
                <w:sz w:val="20"/>
                <w:szCs w:val="20"/>
                <w:color w:val="auto"/>
              </w:rPr>
            </w:pPr>
            <w:r>
              <w:rPr>
                <w:rFonts w:ascii="Arial" w:cs="Arial" w:eastAsia="Arial" w:hAnsi="Arial"/>
                <w:sz w:val="14"/>
                <w:szCs w:val="14"/>
                <w:color w:val="auto"/>
                <w:w w:val="94"/>
              </w:rPr>
              <w:t>Depreciation expense related to property and equipment, net for the years ended December 31, 2022, 2021 and 2020 was $681, $849 and $905, respectively.</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0"/>
                <w:szCs w:val="20"/>
                <w:color w:val="auto"/>
              </w:rPr>
            </w:pPr>
            <w:r>
              <w:rPr>
                <w:rFonts w:ascii="Arial" w:cs="Arial" w:eastAsia="Arial" w:hAnsi="Arial"/>
                <w:sz w:val="14"/>
                <w:szCs w:val="14"/>
                <w:b w:val="1"/>
                <w:bCs w:val="1"/>
                <w:color w:val="auto"/>
              </w:rPr>
              <w:t>8. GOODWILL AND INTANGIBLE ASSETS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00" w:type="dxa"/>
            <w:vAlign w:val="bottom"/>
            <w:gridSpan w:val="2"/>
          </w:tcPr>
          <w:p>
            <w:pPr>
              <w:ind w:left="440"/>
              <w:spacing w:after="0"/>
              <w:rPr>
                <w:sz w:val="20"/>
                <w:szCs w:val="20"/>
                <w:color w:val="auto"/>
              </w:rPr>
            </w:pPr>
            <w:r>
              <w:rPr>
                <w:rFonts w:ascii="Arial" w:cs="Arial" w:eastAsia="Arial" w:hAnsi="Arial"/>
                <w:sz w:val="14"/>
                <w:szCs w:val="14"/>
                <w:color w:val="auto"/>
                <w:w w:val="93"/>
              </w:rPr>
              <w:t>Goodwill and Intangible Assets, net consist of the following:</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8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9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1"/>
              <w:spacing w:after="0"/>
              <w:rPr>
                <w:sz w:val="20"/>
                <w:szCs w:val="20"/>
                <w:color w:val="auto"/>
              </w:rPr>
            </w:pPr>
            <w:r>
              <w:rPr>
                <w:rFonts w:ascii="Arial" w:cs="Arial" w:eastAsia="Arial" w:hAnsi="Arial"/>
                <w:sz w:val="14"/>
                <w:szCs w:val="14"/>
                <w:color w:val="auto"/>
              </w:rPr>
              <w:t>7,791</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23"/>
              <w:spacing w:after="0"/>
              <w:rPr>
                <w:sz w:val="20"/>
                <w:szCs w:val="20"/>
                <w:color w:val="auto"/>
              </w:rPr>
            </w:pPr>
            <w:r>
              <w:rPr>
                <w:rFonts w:ascii="Arial" w:cs="Arial" w:eastAsia="Arial" w:hAnsi="Arial"/>
                <w:sz w:val="11"/>
                <w:szCs w:val="11"/>
                <w:b w:val="1"/>
                <w:bCs w:val="1"/>
                <w:color w:val="auto"/>
                <w:w w:val="92"/>
              </w:rPr>
              <w:t>December 31, 2022</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1380" w:type="dxa"/>
            <w:vAlign w:val="bottom"/>
            <w:gridSpan w:val="3"/>
          </w:tcPr>
          <w:p>
            <w:pPr>
              <w:ind w:left="260"/>
              <w:spacing w:after="0" w:line="110" w:lineRule="exact"/>
              <w:rPr>
                <w:sz w:val="20"/>
                <w:szCs w:val="20"/>
                <w:color w:val="auto"/>
              </w:rPr>
            </w:pPr>
            <w:r>
              <w:rPr>
                <w:rFonts w:ascii="Arial" w:cs="Arial" w:eastAsia="Arial" w:hAnsi="Arial"/>
                <w:sz w:val="11"/>
                <w:szCs w:val="11"/>
                <w:b w:val="1"/>
                <w:bCs w:val="1"/>
                <w:color w:val="auto"/>
              </w:rPr>
              <w:t>Gross Carrying</w:t>
            </w:r>
          </w:p>
        </w:tc>
        <w:tc>
          <w:tcPr>
            <w:tcW w:w="160" w:type="dxa"/>
            <w:vAlign w:val="bottom"/>
          </w:tcPr>
          <w:p>
            <w:pPr>
              <w:spacing w:after="0"/>
              <w:rPr>
                <w:sz w:val="9"/>
                <w:szCs w:val="9"/>
                <w:color w:val="auto"/>
              </w:rPr>
            </w:pPr>
          </w:p>
        </w:tc>
        <w:tc>
          <w:tcPr>
            <w:tcW w:w="1120" w:type="dxa"/>
            <w:vAlign w:val="bottom"/>
            <w:gridSpan w:val="2"/>
          </w:tcPr>
          <w:p>
            <w:pPr>
              <w:ind w:left="100"/>
              <w:spacing w:after="0" w:line="110"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Impairment</w:t>
            </w:r>
          </w:p>
        </w:tc>
        <w:tc>
          <w:tcPr>
            <w:tcW w:w="220" w:type="dxa"/>
            <w:vAlign w:val="bottom"/>
          </w:tcPr>
          <w:p>
            <w:pPr>
              <w:spacing w:after="0"/>
              <w:rPr>
                <w:sz w:val="9"/>
                <w:szCs w:val="9"/>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Net</w:t>
            </w:r>
          </w:p>
        </w:tc>
        <w:tc>
          <w:tcPr>
            <w:tcW w:w="1100" w:type="dxa"/>
            <w:vAlign w:val="bottom"/>
            <w:gridSpan w:val="3"/>
          </w:tcPr>
          <w:p>
            <w:pPr>
              <w:jc w:val="right"/>
              <w:ind w:right="280"/>
              <w:spacing w:after="0" w:line="110" w:lineRule="exact"/>
              <w:rPr>
                <w:sz w:val="20"/>
                <w:szCs w:val="20"/>
                <w:color w:val="auto"/>
              </w:rPr>
            </w:pPr>
            <w:r>
              <w:rPr>
                <w:rFonts w:ascii="Arial" w:cs="Arial" w:eastAsia="Arial" w:hAnsi="Arial"/>
                <w:sz w:val="11"/>
                <w:szCs w:val="11"/>
                <w:b w:val="1"/>
                <w:bCs w:val="1"/>
                <w:color w:val="auto"/>
                <w:w w:val="99"/>
              </w:rPr>
              <w:t>Gross Carrying</w:t>
            </w:r>
          </w:p>
        </w:tc>
        <w:tc>
          <w:tcPr>
            <w:tcW w:w="40" w:type="dxa"/>
            <w:vAlign w:val="bottom"/>
          </w:tcPr>
          <w:p>
            <w:pPr>
              <w:spacing w:after="0"/>
              <w:rPr>
                <w:sz w:val="9"/>
                <w:szCs w:val="9"/>
                <w:color w:val="auto"/>
              </w:rPr>
            </w:pPr>
          </w:p>
        </w:tc>
        <w:tc>
          <w:tcPr>
            <w:tcW w:w="1100" w:type="dxa"/>
            <w:vAlign w:val="bottom"/>
            <w:gridSpan w:val="4"/>
          </w:tcPr>
          <w:p>
            <w:pPr>
              <w:ind w:left="160"/>
              <w:spacing w:after="0" w:line="11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Amortization</w:t>
            </w:r>
          </w:p>
        </w:tc>
        <w:tc>
          <w:tcPr>
            <w:tcW w:w="2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3"/>
                <w:szCs w:val="13"/>
                <w:color w:val="auto"/>
              </w:rPr>
            </w:pPr>
          </w:p>
        </w:tc>
        <w:tc>
          <w:tcPr>
            <w:tcW w:w="1100" w:type="dxa"/>
            <w:vAlign w:val="bottom"/>
            <w:gridSpan w:val="4"/>
          </w:tcPr>
          <w:p>
            <w:pPr>
              <w:ind w:left="180"/>
              <w:spacing w:after="0"/>
              <w:rPr>
                <w:sz w:val="20"/>
                <w:szCs w:val="20"/>
                <w:color w:val="auto"/>
              </w:rPr>
            </w:pPr>
            <w:r>
              <w:rPr>
                <w:rFonts w:ascii="Arial" w:cs="Arial" w:eastAsia="Arial" w:hAnsi="Arial"/>
                <w:sz w:val="11"/>
                <w:szCs w:val="11"/>
                <w:b w:val="1"/>
                <w:bCs w:val="1"/>
                <w:color w:val="auto"/>
              </w:rPr>
              <w:t>Amortization</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Intangible assets, net</w:t>
            </w:r>
          </w:p>
        </w:tc>
        <w:tc>
          <w:tcPr>
            <w:tcW w:w="9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ind w:left="200"/>
              <w:spacing w:after="0"/>
              <w:rPr>
                <w:sz w:val="20"/>
                <w:szCs w:val="20"/>
                <w:color w:val="auto"/>
              </w:rPr>
            </w:pPr>
            <w:r>
              <w:rPr>
                <w:rFonts w:ascii="Arial" w:cs="Arial" w:eastAsia="Arial" w:hAnsi="Arial"/>
                <w:sz w:val="11"/>
                <w:szCs w:val="11"/>
                <w:color w:val="auto"/>
              </w:rPr>
              <w:t>Trade names</w:t>
            </w: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6,200</w:t>
            </w: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center"/>
              <w:ind w:left="623"/>
              <w:spacing w:after="0"/>
              <w:rPr>
                <w:sz w:val="20"/>
                <w:szCs w:val="20"/>
                <w:color w:val="auto"/>
              </w:rPr>
            </w:pPr>
            <w:r>
              <w:rPr>
                <w:rFonts w:ascii="Arial" w:cs="Arial" w:eastAsia="Arial" w:hAnsi="Arial"/>
                <w:sz w:val="11"/>
                <w:szCs w:val="11"/>
                <w:color w:val="auto"/>
                <w:w w:val="91"/>
              </w:rPr>
              <w:t>(2,807)</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(3,393)</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ind w:left="560"/>
              <w:spacing w:after="0"/>
              <w:rPr>
                <w:sz w:val="20"/>
                <w:szCs w:val="20"/>
                <w:color w:val="auto"/>
              </w:rPr>
            </w:pPr>
            <w:r>
              <w:rPr>
                <w:rFonts w:ascii="Arial" w:cs="Arial" w:eastAsia="Arial" w:hAnsi="Arial"/>
                <w:sz w:val="11"/>
                <w:szCs w:val="11"/>
                <w:color w:val="auto"/>
              </w:rPr>
              <w:t>—   $</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6,200</w:t>
            </w:r>
          </w:p>
        </w:tc>
        <w:tc>
          <w:tcPr>
            <w:tcW w:w="60" w:type="dxa"/>
            <w:vAlign w:val="bottom"/>
          </w:tcPr>
          <w:p>
            <w:pPr>
              <w:spacing w:after="0"/>
              <w:rPr>
                <w:sz w:val="13"/>
                <w:szCs w:val="13"/>
                <w:color w:val="auto"/>
              </w:rPr>
            </w:pPr>
          </w:p>
        </w:tc>
        <w:tc>
          <w:tcPr>
            <w:tcW w:w="600" w:type="dxa"/>
            <w:vAlign w:val="bottom"/>
            <w:gridSpan w:val="2"/>
          </w:tcPr>
          <w:p>
            <w:pPr>
              <w:jc w:val="right"/>
              <w:ind w:right="421"/>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w w:val="91"/>
              </w:rPr>
              <w:t>(2,187)</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4,013</w:t>
            </w:r>
          </w:p>
        </w:tc>
        <w:tc>
          <w:tcPr>
            <w:tcW w:w="0" w:type="dxa"/>
            <w:vAlign w:val="bottom"/>
          </w:tcPr>
          <w:p>
            <w:pPr>
              <w:spacing w:after="0"/>
              <w:rPr>
                <w:sz w:val="1"/>
                <w:szCs w:val="1"/>
                <w:color w:val="auto"/>
              </w:rPr>
            </w:pPr>
          </w:p>
        </w:tc>
      </w:tr>
      <w:tr>
        <w:trPr>
          <w:trHeight w:val="179"/>
        </w:trPr>
        <w:tc>
          <w:tcPr>
            <w:tcW w:w="29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Distributor relationships</w:t>
            </w:r>
          </w:p>
        </w:tc>
        <w:tc>
          <w:tcPr>
            <w:tcW w:w="9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center"/>
              <w:ind w:left="623"/>
              <w:spacing w:after="0"/>
              <w:rPr>
                <w:sz w:val="20"/>
                <w:szCs w:val="20"/>
                <w:color w:val="auto"/>
              </w:rPr>
            </w:pPr>
            <w:r>
              <w:rPr>
                <w:rFonts w:ascii="Arial" w:cs="Arial" w:eastAsia="Arial" w:hAnsi="Arial"/>
                <w:sz w:val="11"/>
                <w:szCs w:val="11"/>
                <w:color w:val="auto"/>
                <w:w w:val="91"/>
              </w:rPr>
              <w:t>(2,717)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(3,283)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6,000</w:t>
            </w: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w w:val="91"/>
              </w:rPr>
              <w:t>(2,117)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3,883</w:t>
            </w:r>
          </w:p>
        </w:tc>
        <w:tc>
          <w:tcPr>
            <w:tcW w:w="0" w:type="dxa"/>
            <w:vAlign w:val="bottom"/>
          </w:tcPr>
          <w:p>
            <w:pPr>
              <w:spacing w:after="0"/>
              <w:rPr>
                <w:sz w:val="1"/>
                <w:szCs w:val="1"/>
                <w:color w:val="auto"/>
              </w:rPr>
            </w:pPr>
          </w:p>
        </w:tc>
      </w:tr>
      <w:tr>
        <w:trPr>
          <w:trHeight w:val="160"/>
        </w:trPr>
        <w:tc>
          <w:tcPr>
            <w:tcW w:w="2980" w:type="dxa"/>
            <w:vAlign w:val="bottom"/>
            <w:tcBorders>
              <w:bottom w:val="single" w:sz="8" w:color="CFF0FC"/>
            </w:tcBorders>
          </w:tcPr>
          <w:p>
            <w:pPr>
              <w:ind w:left="200"/>
              <w:spacing w:after="0"/>
              <w:rPr>
                <w:sz w:val="20"/>
                <w:szCs w:val="20"/>
                <w:color w:val="auto"/>
              </w:rPr>
            </w:pPr>
            <w:r>
              <w:rPr>
                <w:rFonts w:ascii="Arial" w:cs="Arial" w:eastAsia="Arial" w:hAnsi="Arial"/>
                <w:sz w:val="11"/>
                <w:szCs w:val="11"/>
                <w:color w:val="auto"/>
              </w:rPr>
              <w:t>Other</w:t>
            </w: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38</w:t>
            </w: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70"/>
        </w:trPr>
        <w:tc>
          <w:tcPr>
            <w:tcW w:w="29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Intangible assets subject to amortization &amp; impairment</w:t>
            </w:r>
          </w:p>
        </w:tc>
        <w:tc>
          <w:tcPr>
            <w:tcW w:w="920" w:type="dxa"/>
            <w:vAlign w:val="bottom"/>
            <w:shd w:val="clear" w:color="auto" w:fill="CFF0FC"/>
          </w:tcPr>
          <w:p>
            <w:pPr>
              <w:jc w:val="right"/>
              <w:ind w:right="78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12,238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center"/>
              <w:ind w:left="623"/>
              <w:spacing w:after="0"/>
              <w:rPr>
                <w:sz w:val="20"/>
                <w:szCs w:val="20"/>
                <w:color w:val="auto"/>
              </w:rPr>
            </w:pPr>
            <w:r>
              <w:rPr>
                <w:rFonts w:ascii="Arial" w:cs="Arial" w:eastAsia="Arial" w:hAnsi="Arial"/>
                <w:sz w:val="11"/>
                <w:szCs w:val="11"/>
                <w:color w:val="auto"/>
                <w:w w:val="91"/>
              </w:rPr>
              <w:t>(5,524)</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(6,714)</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12,238</w:t>
            </w:r>
          </w:p>
        </w:tc>
        <w:tc>
          <w:tcPr>
            <w:tcW w:w="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21"/>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w w:val="91"/>
              </w:rPr>
              <w:t>(4,304)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Annual Goodwill Impairment Testing</w:t>
      </w:r>
    </w:p>
    <w:p>
      <w:pPr>
        <w:spacing w:after="0" w:line="83" w:lineRule="exact"/>
        <w:rPr>
          <w:sz w:val="20"/>
          <w:szCs w:val="20"/>
          <w:color w:val="auto"/>
        </w:rPr>
      </w:pPr>
    </w:p>
    <w:p>
      <w:pPr>
        <w:ind w:firstLine="433"/>
        <w:spacing w:after="0" w:line="304" w:lineRule="auto"/>
        <w:rPr>
          <w:sz w:val="20"/>
          <w:szCs w:val="20"/>
          <w:color w:val="auto"/>
        </w:rPr>
      </w:pPr>
      <w:r>
        <w:rPr>
          <w:rFonts w:ascii="Arial" w:cs="Arial" w:eastAsia="Arial" w:hAnsi="Arial"/>
          <w:sz w:val="12"/>
          <w:szCs w:val="12"/>
          <w:color w:val="auto"/>
        </w:rPr>
        <w:t xml:space="preserve">All of the Company’s goodwill is associated with the acquisition of </w:t>
      </w:r>
      <w:r>
        <w:rPr>
          <w:rFonts w:ascii="Arial" w:cs="Arial" w:eastAsia="Arial" w:hAnsi="Arial"/>
          <w:sz w:val="12"/>
          <w:szCs w:val="12"/>
          <w:i w:val="1"/>
          <w:iCs w:val="1"/>
          <w:color w:val="auto"/>
        </w:rPr>
        <w:t>Runa</w:t>
      </w:r>
      <w:r>
        <w:rPr>
          <w:rFonts w:ascii="Arial" w:cs="Arial" w:eastAsia="Arial" w:hAnsi="Arial"/>
          <w:sz w:val="12"/>
          <w:szCs w:val="12"/>
          <w:color w:val="auto"/>
        </w:rPr>
        <w:t>, which was acquired in June 2018. The goodwill is allocated to the Americas reporting unit and is tax deductible. In assessing whether goodwill was impaired in connection with its annual impairment testing performed at December 31, 2020, the Company elected to bypass the qualitative assessment and, performed a quantitative assessment in accordance with ASC 350. Refer to Note 2, Summary of Significant Accounting Policies, for further discussion of the quantitative analysis. In December 31, 2022, the Company performed the qualitative assessment only, which did not indicate that it is more likely than not that the carrying value of each of the reporting units exceeds their fair value, resulting in no further quantitative testing. Based on the results of the annual impairment test, the Company concluded that no impairment to goodwill existed as of December 31, 2022,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Intangible Assets, net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The intangible assets, net associated with the acquisition of </w:t>
      </w:r>
      <w:r>
        <w:rPr>
          <w:rFonts w:ascii="Arial" w:cs="Arial" w:eastAsia="Arial" w:hAnsi="Arial"/>
          <w:sz w:val="14"/>
          <w:szCs w:val="14"/>
          <w:i w:val="1"/>
          <w:iCs w:val="1"/>
          <w:color w:val="auto"/>
        </w:rPr>
        <w:t>Runa</w:t>
      </w:r>
      <w:r>
        <w:rPr>
          <w:rFonts w:ascii="Arial" w:cs="Arial" w:eastAsia="Arial" w:hAnsi="Arial"/>
          <w:sz w:val="14"/>
          <w:szCs w:val="14"/>
          <w:color w:val="auto"/>
        </w:rPr>
        <w:t xml:space="preserve"> was $0 and $7,934 as of December 31, 2022 and 2021, respectively.</w:t>
      </w:r>
    </w:p>
    <w:p>
      <w:pPr>
        <w:spacing w:after="0" w:line="179" w:lineRule="exact"/>
        <w:rPr>
          <w:sz w:val="20"/>
          <w:szCs w:val="20"/>
          <w:color w:val="auto"/>
        </w:rPr>
      </w:pPr>
    </w:p>
    <w:p>
      <w:pPr>
        <w:ind w:firstLine="433"/>
        <w:spacing w:after="0" w:line="272" w:lineRule="auto"/>
        <w:rPr>
          <w:sz w:val="20"/>
          <w:szCs w:val="20"/>
          <w:color w:val="auto"/>
        </w:rPr>
      </w:pPr>
      <w:r>
        <w:rPr>
          <w:rFonts w:ascii="Arial" w:cs="Arial" w:eastAsia="Arial" w:hAnsi="Arial"/>
          <w:sz w:val="13"/>
          <w:szCs w:val="13"/>
          <w:color w:val="auto"/>
        </w:rPr>
        <w:t xml:space="preserve">All the intangible assets are amortized over their useful life. Since the intangibles are subject to amortization, they are reviewed for impairment in accordance with ASC 360, </w:t>
      </w:r>
      <w:r>
        <w:rPr>
          <w:rFonts w:ascii="Arial" w:cs="Arial" w:eastAsia="Arial" w:hAnsi="Arial"/>
          <w:sz w:val="13"/>
          <w:szCs w:val="13"/>
          <w:i w:val="1"/>
          <w:iCs w:val="1"/>
          <w:color w:val="auto"/>
        </w:rPr>
        <w:t>Property, Plant,</w:t>
      </w:r>
      <w:r>
        <w:rPr>
          <w:rFonts w:ascii="Arial" w:cs="Arial" w:eastAsia="Arial" w:hAnsi="Arial"/>
          <w:sz w:val="13"/>
          <w:szCs w:val="13"/>
          <w:color w:val="auto"/>
        </w:rPr>
        <w:t xml:space="preserve"> </w:t>
      </w:r>
      <w:r>
        <w:rPr>
          <w:rFonts w:ascii="Arial" w:cs="Arial" w:eastAsia="Arial" w:hAnsi="Arial"/>
          <w:sz w:val="13"/>
          <w:szCs w:val="13"/>
          <w:i w:val="1"/>
          <w:iCs w:val="1"/>
          <w:color w:val="auto"/>
        </w:rPr>
        <w:t>and Equipment</w:t>
      </w:r>
      <w:r>
        <w:rPr>
          <w:rFonts w:ascii="Arial" w:cs="Arial" w:eastAsia="Arial" w:hAnsi="Arial"/>
          <w:sz w:val="13"/>
          <w:szCs w:val="13"/>
          <w:color w:val="auto"/>
        </w:rPr>
        <w:t>. Under ASC 360, long-lived assets are tested for recoverability at the asset group level whenever events or changes in circumstances indicate that their carrying amounts may not be</w:t>
      </w:r>
      <w:r>
        <w:rPr>
          <w:rFonts w:ascii="Arial" w:cs="Arial" w:eastAsia="Arial" w:hAnsi="Arial"/>
          <w:sz w:val="13"/>
          <w:szCs w:val="13"/>
          <w:i w:val="1"/>
          <w:iCs w:val="1"/>
          <w:color w:val="auto"/>
        </w:rPr>
        <w:t xml:space="preserve"> </w:t>
      </w:r>
      <w:r>
        <w:rPr>
          <w:rFonts w:ascii="Arial" w:cs="Arial" w:eastAsia="Arial" w:hAnsi="Arial"/>
          <w:sz w:val="13"/>
          <w:szCs w:val="13"/>
          <w:color w:val="auto"/>
        </w:rPr>
        <w:t>recoverable. In step 1, the entity determines recoverability of the asset group by comparing its carrying value with the sum of its undiscounted cash flows expected to result from the use and eventual disposition of the asset group. If the sum of the undiscounted cash flows is less than the carrying value of the asset group, then step 2 must be performed, in which the entity compares the fair value of the asset group to its carrying amount. The excess of the carrying value of the asset group over its fair value, if any, would be recognized as an impairment loss.</w:t>
      </w:r>
    </w:p>
    <w:p>
      <w:pPr>
        <w:spacing w:after="0" w:line="129" w:lineRule="exact"/>
        <w:rPr>
          <w:sz w:val="20"/>
          <w:szCs w:val="20"/>
          <w:color w:val="auto"/>
        </w:rPr>
      </w:pPr>
    </w:p>
    <w:p>
      <w:pPr>
        <w:ind w:right="340" w:firstLine="433"/>
        <w:spacing w:after="0" w:line="304" w:lineRule="auto"/>
        <w:rPr>
          <w:sz w:val="20"/>
          <w:szCs w:val="20"/>
          <w:color w:val="auto"/>
        </w:rPr>
      </w:pPr>
      <w:r>
        <w:rPr>
          <w:rFonts w:ascii="Arial" w:cs="Arial" w:eastAsia="Arial" w:hAnsi="Arial"/>
          <w:sz w:val="12"/>
          <w:szCs w:val="12"/>
          <w:color w:val="auto"/>
        </w:rPr>
        <w:t xml:space="preserve">During 2022, the Company identified facts and circumstances indicating the carrying value of the intangible assets associated with </w:t>
      </w:r>
      <w:r>
        <w:rPr>
          <w:rFonts w:ascii="Arial" w:cs="Arial" w:eastAsia="Arial" w:hAnsi="Arial"/>
          <w:sz w:val="12"/>
          <w:szCs w:val="12"/>
          <w:i w:val="1"/>
          <w:iCs w:val="1"/>
          <w:color w:val="auto"/>
        </w:rPr>
        <w:t>Runa,</w:t>
      </w:r>
      <w:r>
        <w:rPr>
          <w:rFonts w:ascii="Arial" w:cs="Arial" w:eastAsia="Arial" w:hAnsi="Arial"/>
          <w:sz w:val="12"/>
          <w:szCs w:val="12"/>
          <w:color w:val="auto"/>
        </w:rPr>
        <w:t xml:space="preserve"> including the trade names and distributor relationships, may not be recoverable, resulting in the determination that a triggering event had occurred. Based on step 1, the Company determined that the </w:t>
      </w:r>
      <w:r>
        <w:rPr>
          <w:rFonts w:ascii="Arial" w:cs="Arial" w:eastAsia="Arial" w:hAnsi="Arial"/>
          <w:sz w:val="12"/>
          <w:szCs w:val="12"/>
          <w:i w:val="1"/>
          <w:iCs w:val="1"/>
          <w:color w:val="auto"/>
        </w:rPr>
        <w:t>Runa</w:t>
      </w:r>
      <w:r>
        <w:rPr>
          <w:rFonts w:ascii="Arial" w:cs="Arial" w:eastAsia="Arial" w:hAnsi="Arial"/>
          <w:sz w:val="12"/>
          <w:szCs w:val="12"/>
          <w:color w:val="auto"/>
        </w:rPr>
        <w:t xml:space="preserve"> intangible assets were not recoverable based on a test of recoverability using expected undiscounted future cash flows for the </w:t>
      </w:r>
      <w:r>
        <w:rPr>
          <w:rFonts w:ascii="Arial" w:cs="Arial" w:eastAsia="Arial" w:hAnsi="Arial"/>
          <w:sz w:val="12"/>
          <w:szCs w:val="12"/>
          <w:i w:val="1"/>
          <w:iCs w:val="1"/>
          <w:color w:val="auto"/>
        </w:rPr>
        <w:t>Runa</w:t>
      </w:r>
      <w:r>
        <w:rPr>
          <w:rFonts w:ascii="Arial" w:cs="Arial" w:eastAsia="Arial" w:hAnsi="Arial"/>
          <w:sz w:val="12"/>
          <w:szCs w:val="12"/>
          <w:color w:val="auto"/>
        </w:rPr>
        <w:t xml:space="preserve"> brand in the Americas. For both trade names and distributor relationships, the Company applied step 2, by determining the fair value of these intangible assets, which concluded that the fair value was significantly below the carrying amount. Accordingly, the Company recorded an impairment charge of $6,714 for the year ended December 31, 2022, which is recorded in selling, general and administrative expense on the Company’s consolidated statements of operations.</w:t>
      </w:r>
    </w:p>
    <w:p>
      <w:pPr>
        <w:spacing w:after="0" w:line="113" w:lineRule="exact"/>
        <w:rPr>
          <w:sz w:val="20"/>
          <w:szCs w:val="20"/>
          <w:color w:val="auto"/>
        </w:rPr>
      </w:pPr>
    </w:p>
    <w:p>
      <w:pPr>
        <w:ind w:right="400" w:firstLine="433"/>
        <w:spacing w:after="0" w:line="265" w:lineRule="auto"/>
        <w:rPr>
          <w:sz w:val="20"/>
          <w:szCs w:val="20"/>
          <w:color w:val="auto"/>
        </w:rPr>
      </w:pPr>
      <w:r>
        <w:rPr>
          <w:rFonts w:ascii="Arial" w:cs="Arial" w:eastAsia="Arial" w:hAnsi="Arial"/>
          <w:sz w:val="14"/>
          <w:szCs w:val="14"/>
          <w:color w:val="auto"/>
        </w:rPr>
        <w:t>Amortization expense of $1,220 for the years ended December 31, 2022, 2021 and 2020 were included in selling, general and administrative expenses on the consolidated statements of operations.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December 31, 2022, all amortizable intangible assets were impaired and no future amortization expense will be recognized in the Company's consolidated statements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EXPENSES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promotions and marketing</w:t>
            </w:r>
          </w:p>
        </w:tc>
        <w:tc>
          <w:tcPr>
            <w:tcW w:w="940" w:type="dxa"/>
            <w:vAlign w:val="bottom"/>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19,455</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Payroll and benefits related expenses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10,258</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Shipping and handling costs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8,854</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Accrued trade payable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1,647</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operating lease liabilities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VAT payable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2,276</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payable</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2,138</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Accrued professional fees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w:t>
            </w: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accrued expenses</w:t>
            </w:r>
          </w:p>
        </w:tc>
        <w:tc>
          <w:tcPr>
            <w:tcW w:w="9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1,822</w:t>
            </w:r>
          </w:p>
        </w:tc>
      </w:t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42,399</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details the outstanding balances on the Company’s credit facility and notes payable as of December 31,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2020 Credit facility</w:t>
            </w: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Notes payable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Vehicle loans</w:t>
            </w:r>
          </w:p>
        </w:tc>
        <w:tc>
          <w:tcPr>
            <w:tcW w:w="10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7"/>
        </w:trPr>
        <w:tc>
          <w:tcPr>
            <w:tcW w:w="8220" w:type="dxa"/>
            <w:vAlign w:val="bottom"/>
          </w:tcPr>
          <w:p>
            <w:pPr>
              <w:spacing w:after="0"/>
              <w:rPr>
                <w:sz w:val="15"/>
                <w:szCs w:val="15"/>
                <w:color w:val="auto"/>
              </w:rPr>
            </w:pPr>
          </w:p>
        </w:tc>
        <w:tc>
          <w:tcPr>
            <w:tcW w:w="10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w:t>
            </w:r>
          </w:p>
        </w:tc>
        <w:tc>
          <w:tcPr>
            <w:tcW w:w="1020" w:type="dxa"/>
            <w:vAlign w:val="bottom"/>
            <w:tcBorders>
              <w:bottom w:val="single" w:sz="8" w:color="auto"/>
            </w:tcBorders>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7"/>
        </w:trPr>
        <w:tc>
          <w:tcPr>
            <w:tcW w:w="8220" w:type="dxa"/>
            <w:vAlign w:val="bottom"/>
          </w:tcPr>
          <w:p>
            <w:pPr>
              <w:ind w:left="260"/>
              <w:spacing w:after="0"/>
              <w:rPr>
                <w:sz w:val="20"/>
                <w:szCs w:val="20"/>
                <w:color w:val="auto"/>
              </w:rPr>
            </w:pPr>
            <w:r>
              <w:rPr>
                <w:rFonts w:ascii="Arial" w:cs="Arial" w:eastAsia="Arial" w:hAnsi="Arial"/>
                <w:sz w:val="14"/>
                <w:szCs w:val="14"/>
                <w:color w:val="auto"/>
              </w:rPr>
              <w:t>Non-current</w:t>
            </w:r>
          </w:p>
        </w:tc>
        <w:tc>
          <w:tcPr>
            <w:tcW w:w="10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Credit Facility</w:t>
      </w:r>
    </w:p>
    <w:p>
      <w:pPr>
        <w:spacing w:after="0" w:line="83" w:lineRule="exact"/>
        <w:rPr>
          <w:sz w:val="20"/>
          <w:szCs w:val="20"/>
          <w:color w:val="auto"/>
        </w:rPr>
      </w:pPr>
    </w:p>
    <w:p>
      <w:pPr>
        <w:ind w:right="80" w:firstLine="433"/>
        <w:spacing w:after="0" w:line="294" w:lineRule="auto"/>
        <w:rPr>
          <w:sz w:val="20"/>
          <w:szCs w:val="20"/>
          <w:color w:val="auto"/>
        </w:rPr>
      </w:pPr>
      <w:r>
        <w:rPr>
          <w:rFonts w:ascii="Arial" w:cs="Arial" w:eastAsia="Arial" w:hAnsi="Arial"/>
          <w:sz w:val="12"/>
          <w:szCs w:val="12"/>
          <w:color w:val="auto"/>
        </w:rPr>
        <w:t>In May 2020, the Company entered into the five-year credit facility, the 2020 Credit Facility with Wells Fargo consisting of a revolving line of credit. The 2020 Credit Facility was further amended in May 2021 and October 2021, and currently provides for committed borrowings of $60 million. Borrowings on the 2020 Credit Facility bear interest at rates based on either: 1) LIBOR or</w:t>
      </w:r>
    </w:p>
    <w:p>
      <w:pPr>
        <w:spacing w:after="0" w:line="1" w:lineRule="exact"/>
        <w:rPr>
          <w:sz w:val="20"/>
          <w:szCs w:val="20"/>
          <w:color w:val="auto"/>
        </w:rPr>
      </w:pPr>
    </w:p>
    <w:p>
      <w:pPr>
        <w:ind w:right="180" w:firstLine="5"/>
        <w:spacing w:after="0" w:line="244" w:lineRule="auto"/>
        <w:tabs>
          <w:tab w:leader="none" w:pos="153"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specified base rate (determined by reference to the greatest of the prime rate published by Wells Fargo, the federal funds effective rate plus 1.5% and one-month LIBOR plus 1.5%), as selected periodically by the Company. The LIBOR-based loans bear interest at LIBOR plus a spread ranging from 1.00% to 1.75% per annum, with the spread in each case being based on the Company’s leverage ratio (as defined in the credit agreement) for the immediately preceding fiscal quarter as defined in the credit agreement.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w:t>
      </w:r>
    </w:p>
    <w:p>
      <w:pPr>
        <w:spacing w:after="0" w:line="63" w:lineRule="exact"/>
        <w:rPr>
          <w:sz w:val="20"/>
          <w:szCs w:val="20"/>
          <w:color w:val="auto"/>
        </w:rPr>
      </w:pPr>
    </w:p>
    <w:p>
      <w:pPr>
        <w:ind w:right="200" w:firstLine="433"/>
        <w:spacing w:after="0" w:line="288" w:lineRule="auto"/>
        <w:rPr>
          <w:sz w:val="20"/>
          <w:szCs w:val="20"/>
          <w:color w:val="auto"/>
        </w:rPr>
      </w:pPr>
      <w:r>
        <w:rPr>
          <w:rFonts w:ascii="Arial" w:cs="Arial" w:eastAsia="Arial" w:hAnsi="Arial"/>
          <w:sz w:val="13"/>
          <w:szCs w:val="13"/>
          <w:color w:val="auto"/>
        </w:rPr>
        <w:t>In December 2022, the Company amended the 2020 Credit Facility to transition the interest rate from reference to LIBOR to the SOFR. The borrowings made after the amendment bear interest at rates based on either 1) a fluctuating rate per annum determined to be the sum of Daily Simple SOFR plus the same spread discussed above or 2) a fixed rate per annum determined to be the sum of the Term SOFR plus the same spread discussed. The spread and the commitment fees did not change as a result of this amendment.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December 31, 2022 and December 31, 2021, the Company had no outstanding balance and $60,000 undrawn and available under its amended 2020 Credit Facility.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360" w:firstLine="433"/>
        <w:spacing w:after="0" w:line="259" w:lineRule="auto"/>
        <w:rPr>
          <w:sz w:val="20"/>
          <w:szCs w:val="20"/>
          <w:color w:val="auto"/>
        </w:rPr>
      </w:pPr>
      <w:r>
        <w:rPr>
          <w:rFonts w:ascii="Arial" w:cs="Arial" w:eastAsia="Arial" w:hAnsi="Arial"/>
          <w:sz w:val="14"/>
          <w:szCs w:val="14"/>
          <w:color w:val="auto"/>
        </w:rPr>
        <w:t>Interest expense and unused commitment fee for the 2020 Credit Facility amounted to $255 and $51, respectively, for the year ended December 31, 2022. Interest expense and unused commitment fee for the 2020 Credit Facility amounted to $176 and $39, respectively, for the year ended December 31, 2021.The effective interest rate was 2.53% and 0.97%, respectively, as of December 31, 2022 and 2021.</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2020 Credit Facility is collateralized by substantially all of the Company’s assets.</w:t>
      </w:r>
    </w:p>
    <w:p>
      <w:pPr>
        <w:spacing w:after="0" w:line="168" w:lineRule="exact"/>
        <w:rPr>
          <w:sz w:val="20"/>
          <w:szCs w:val="20"/>
          <w:color w:val="auto"/>
        </w:rPr>
      </w:pPr>
    </w:p>
    <w:p>
      <w:pPr>
        <w:ind w:firstLine="433"/>
        <w:spacing w:after="0" w:line="252" w:lineRule="auto"/>
        <w:rPr>
          <w:sz w:val="20"/>
          <w:szCs w:val="20"/>
          <w:color w:val="auto"/>
        </w:rPr>
      </w:pPr>
      <w:r>
        <w:rPr>
          <w:rFonts w:ascii="Arial" w:cs="Arial" w:eastAsia="Arial" w:hAnsi="Arial"/>
          <w:sz w:val="14"/>
          <w:szCs w:val="14"/>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December 31, 2022, the Company was compliant with all financial covenants.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Term Loan</w:t>
      </w:r>
    </w:p>
    <w:p>
      <w:pPr>
        <w:spacing w:after="0" w:line="83" w:lineRule="exact"/>
        <w:rPr>
          <w:sz w:val="20"/>
          <w:szCs w:val="20"/>
          <w:color w:val="auto"/>
        </w:rPr>
      </w:pPr>
    </w:p>
    <w:p>
      <w:pPr>
        <w:ind w:right="200" w:firstLine="433"/>
        <w:spacing w:after="0" w:line="243" w:lineRule="auto"/>
        <w:rPr>
          <w:sz w:val="20"/>
          <w:szCs w:val="20"/>
          <w:color w:val="auto"/>
        </w:rPr>
      </w:pPr>
      <w:r>
        <w:rPr>
          <w:rFonts w:ascii="Arial" w:cs="Arial" w:eastAsia="Arial" w:hAnsi="Arial"/>
          <w:sz w:val="14"/>
          <w:szCs w:val="14"/>
          <w:color w:val="auto"/>
        </w:rPr>
        <w:t>In May 2021, the Company entered into the 2021 Term Loan pursuant to the terms of the credit agreement entered into in connection with the 2020 Credit Facility. The 2021 Term Loan provided the Company with borrowings up to $30,000. The Company incurred interest on the 2021 Term Loan at the same rate as the 2020 Credit Facility. The Company was required to repay the principal on the 2021 Term Loan in quarterly installments commencing on October 1, 2021 through the maturity date of May 21, 2026.</w:t>
      </w:r>
    </w:p>
    <w:p>
      <w:pPr>
        <w:ind w:right="100" w:firstLine="446"/>
        <w:spacing w:after="0" w:line="261" w:lineRule="auto"/>
        <w:rPr>
          <w:sz w:val="20"/>
          <w:szCs w:val="20"/>
          <w:color w:val="auto"/>
        </w:rPr>
      </w:pPr>
      <w:r>
        <w:rPr>
          <w:rFonts w:ascii="Arial" w:cs="Arial" w:eastAsia="Arial" w:hAnsi="Arial"/>
          <w:sz w:val="13"/>
          <w:szCs w:val="13"/>
          <w:color w:val="auto"/>
        </w:rPr>
        <w:t>The 2021 Term Loan was subject to the same affirmative, negative and financial covenants as the 2020 Credit Facility. On October 27, 2021, the Company repaid the outstanding balance on the 2021 Term Loan using the net proceeds from the IPO as discussed in Note 1. In accordance with ASC 470, the Company recognized a loss of $132 related primarily to the write-off of deferred financing costs, which was recorded in the "Loss on extinguishment of debt" line in the accompanying consolidated statements of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Prior to entering into the 2021 Term Loan, the Company held two other Term Loans, which were paid off in connection with entering into the 2020 Credit Facility in May 2020:</w:t>
      </w:r>
    </w:p>
    <w:p>
      <w:pPr>
        <w:spacing w:after="0" w:line="10" w:lineRule="exact"/>
        <w:rPr>
          <w:sz w:val="20"/>
          <w:szCs w:val="20"/>
          <w:color w:val="auto"/>
        </w:rPr>
      </w:pPr>
    </w:p>
    <w:p>
      <w:pPr>
        <w:jc w:val="both"/>
        <w:ind w:left="520" w:right="220" w:hanging="260"/>
        <w:spacing w:after="0" w:line="347" w:lineRule="auto"/>
        <w:tabs>
          <w:tab w:leader="none" w:pos="552" w:val="left"/>
        </w:tabs>
        <w:numPr>
          <w:ilvl w:val="0"/>
          <w:numId w:val="31"/>
        </w:numPr>
        <w:rPr>
          <w:rFonts w:ascii="Arial" w:cs="Arial" w:eastAsia="Arial" w:hAnsi="Arial"/>
          <w:sz w:val="12"/>
          <w:szCs w:val="12"/>
          <w:color w:val="auto"/>
        </w:rPr>
      </w:pPr>
      <w:r>
        <w:rPr>
          <w:rFonts w:ascii="Arial" w:cs="Arial" w:eastAsia="Arial" w:hAnsi="Arial"/>
          <w:sz w:val="12"/>
          <w:szCs w:val="12"/>
          <w:color w:val="auto"/>
        </w:rPr>
        <w:t>2016 Term Loan—On August 9, 2016, the Company entered into a five-year term loan with JPMorgan Chase, N.A. (“2016 Term Loan”). The total amount of the term loan was $10,000 which matured in August 2021. Principal payments were based on an increasing percentage of the initial loan amount varying from 2.5% to 5% and were made at the end of each quarter.</w:t>
      </w:r>
    </w:p>
    <w:p>
      <w:pPr>
        <w:spacing w:after="0" w:line="108" w:lineRule="exact"/>
        <w:rPr>
          <w:rFonts w:ascii="Arial" w:cs="Arial" w:eastAsia="Arial" w:hAnsi="Arial"/>
          <w:sz w:val="12"/>
          <w:szCs w:val="12"/>
          <w:color w:val="auto"/>
        </w:rPr>
      </w:pPr>
    </w:p>
    <w:p>
      <w:pPr>
        <w:ind w:left="540" w:hanging="280"/>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2017 Term Loan—On April 25, 2017, the Company entered into a five-year term loan with JPMorgan Chase, N.A. (“2017 Term Loan 2017”). The total amount of the term loan was</w:t>
      </w:r>
    </w:p>
    <w:p>
      <w:pPr>
        <w:spacing w:after="0" w:line="22" w:lineRule="exact"/>
        <w:rPr>
          <w:sz w:val="20"/>
          <w:szCs w:val="20"/>
          <w:color w:val="auto"/>
        </w:rPr>
      </w:pPr>
    </w:p>
    <w:p>
      <w:pPr>
        <w:ind w:left="520" w:right="300"/>
        <w:spacing w:after="0" w:line="263" w:lineRule="auto"/>
        <w:rPr>
          <w:sz w:val="20"/>
          <w:szCs w:val="20"/>
          <w:color w:val="auto"/>
        </w:rPr>
      </w:pPr>
      <w:r>
        <w:rPr>
          <w:rFonts w:ascii="Arial" w:cs="Arial" w:eastAsia="Arial" w:hAnsi="Arial"/>
          <w:sz w:val="14"/>
          <w:szCs w:val="14"/>
          <w:color w:val="auto"/>
        </w:rPr>
        <w:t>$15,000 which matured in April 2022. Principal payments were based on an increasing percentage of the initial loan amount varying from 2.5% to 5% and were made at the end of each quarter.</w:t>
      </w:r>
    </w:p>
    <w:p>
      <w:pPr>
        <w:spacing w:after="0" w:line="155" w:lineRule="exact"/>
        <w:rPr>
          <w:sz w:val="20"/>
          <w:szCs w:val="20"/>
          <w:color w:val="auto"/>
        </w:rPr>
      </w:pPr>
    </w:p>
    <w:p>
      <w:pPr>
        <w:ind w:right="180" w:firstLine="446"/>
        <w:spacing w:after="0" w:line="251" w:lineRule="auto"/>
        <w:rPr>
          <w:sz w:val="20"/>
          <w:szCs w:val="20"/>
          <w:color w:val="auto"/>
        </w:rPr>
      </w:pPr>
      <w:r>
        <w:rPr>
          <w:rFonts w:ascii="Arial" w:cs="Arial" w:eastAsia="Arial" w:hAnsi="Arial"/>
          <w:sz w:val="14"/>
          <w:szCs w:val="14"/>
          <w:color w:val="auto"/>
        </w:rPr>
        <w:t>The 2016 Term Loan and the 2017 Term Loan bear interest at LIBOR plus 1.50% and were collateralized by substantially all of the Company’s assets. The 2016 Term Loan and 2017 Term Loan contained certain affirmative and negative covenants that, among other things, limited the Company’s ability to, subject to various exceptions and qualifications: (i) incur liens; (ii) incur additional debt; (iii) sell, transfer or dispose of assets; (iv) merge with or acquire other companies, (v) make loans, advances or guarantees; (vi) make investments; and (vii) enter into certain transactions with affiliates.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2016 Term Loan and 2017 Term Loan also required the Company to maintain certain financial covenants including a maximum leverage ratio and a minimum fixed charge coverage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ratio.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expense related to the 2021, 2017, and 2016 Term Loans amounted to $141 and $188 for the years ended December 31, 2021 and 2020,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Vehicle Loans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periodically enters into vehicle loans. Interest rate on these vehicle loans range from 4.56% to 5.68%. The Company is required to make principal payments of $2 on a monthly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tcPr>
          <w:p>
            <w:pPr>
              <w:ind w:left="440"/>
              <w:spacing w:after="0"/>
              <w:rPr>
                <w:sz w:val="20"/>
                <w:szCs w:val="20"/>
                <w:color w:val="auto"/>
              </w:rPr>
            </w:pPr>
            <w:r>
              <w:rPr>
                <w:rFonts w:ascii="Arial" w:cs="Arial" w:eastAsia="Arial" w:hAnsi="Arial"/>
                <w:sz w:val="14"/>
                <w:szCs w:val="14"/>
                <w:color w:val="auto"/>
              </w:rPr>
              <w:t>Aggregate principal payments on the notes payable for the next five years are as follows:</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2"/>
        </w:trPr>
        <w:tc>
          <w:tcPr>
            <w:tcW w:w="9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2"/>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FF0FC"/>
          </w:tcPr>
          <w:p>
            <w:pPr>
              <w:jc w:val="right"/>
              <w:ind w:right="5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80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98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3"/>
        </w:trPr>
        <w:tc>
          <w:tcPr>
            <w:tcW w:w="9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notes payable</w:t>
            </w:r>
          </w:p>
        </w:tc>
        <w:tc>
          <w:tcPr>
            <w:tcW w:w="680" w:type="dxa"/>
            <w:vAlign w:val="bottom"/>
            <w:tcBorders>
              <w:bottom w:val="single" w:sz="8" w:color="auto"/>
            </w:tcBorders>
            <w:shd w:val="clear" w:color="auto" w:fill="CFF0FC"/>
          </w:tcPr>
          <w:p>
            <w:pPr>
              <w:jc w:val="right"/>
              <w:ind w:right="5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r>
      <w:tr>
        <w:trPr>
          <w:trHeight w:val="20"/>
        </w:trPr>
        <w:tc>
          <w:tcPr>
            <w:tcW w:w="98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87"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b w:val="1"/>
          <w:bCs w:val="1"/>
          <w:i w:val="1"/>
          <w:iCs w:val="1"/>
          <w:color w:val="auto"/>
        </w:rPr>
        <w:t>Litigation</w:t>
      </w:r>
      <w:r>
        <w:rPr>
          <w:rFonts w:ascii="Arial" w:cs="Arial" w:eastAsia="Arial" w:hAnsi="Arial"/>
          <w:sz w:val="14"/>
          <w:szCs w:val="14"/>
          <w:color w:val="auto"/>
        </w:rPr>
        <w:t>—The Company may engage in various litigation in the ordinary course of business. The Company intends to vigorously defend itself in such matters and management, based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advice of legal counsel, is of the opinion that the resolution of these matters will not have a material effect on the consolidated financial statements. For the cases for which management believes that it is more likely than not that it will lose the case, a provision for legal settlements has been recorded. As of December 31, 2022 and 2021, the Company has not recorded any liabilities relating to legal settlements.</w:t>
      </w:r>
    </w:p>
    <w:p>
      <w:pPr>
        <w:spacing w:after="0" w:line="154"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b w:val="1"/>
          <w:bCs w:val="1"/>
          <w:i w:val="1"/>
          <w:iCs w:val="1"/>
          <w:color w:val="auto"/>
        </w:rPr>
        <w:t>Business Risk</w:t>
      </w:r>
      <w:r>
        <w:rPr>
          <w:rFonts w:ascii="Arial" w:cs="Arial" w:eastAsia="Arial" w:hAnsi="Arial"/>
          <w:sz w:val="14"/>
          <w:szCs w:val="14"/>
          <w:color w:val="auto"/>
        </w:rPr>
        <w:t>—The Company imports finished goods predominantly from manufacturers located in South American and Southeast Asian countries. The Company may be subject to certain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risks due to potential instability in these regions.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Major Customers</w:t>
      </w:r>
      <w:r>
        <w:rPr>
          <w:rFonts w:ascii="Arial" w:cs="Arial" w:eastAsia="Arial" w:hAnsi="Arial"/>
          <w:sz w:val="14"/>
          <w:szCs w:val="14"/>
          <w:color w:val="auto"/>
        </w:rPr>
        <w:t>—The Company’s customers that accounted for 10% or more of total net sales and total accounts receivable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6"/>
              </w:rPr>
              <w:t>Net sales</w:t>
            </w:r>
          </w:p>
        </w:tc>
        <w:tc>
          <w:tcPr>
            <w:tcW w:w="1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1"/>
                <w:szCs w:val="11"/>
                <w:b w:val="1"/>
                <w:bCs w:val="1"/>
                <w:color w:val="auto"/>
                <w:w w:val="89"/>
              </w:rPr>
              <w:t>Accounts receivable</w:t>
            </w:r>
          </w:p>
        </w:tc>
        <w:tc>
          <w:tcPr>
            <w:tcW w:w="980" w:type="dxa"/>
            <w:vAlign w:val="bottom"/>
            <w:tcBorders>
              <w:bottom w:val="single" w:sz="8" w:color="auto"/>
            </w:tcBorders>
          </w:tcPr>
          <w:p>
            <w:pPr>
              <w:spacing w:after="0"/>
              <w:rPr>
                <w:sz w:val="13"/>
                <w:szCs w:val="13"/>
                <w:color w:val="auto"/>
              </w:rPr>
            </w:pPr>
          </w:p>
        </w:tc>
      </w:tr>
      <w:tr>
        <w:trPr>
          <w:trHeight w:val="160"/>
        </w:trPr>
        <w:tc>
          <w:tcPr>
            <w:tcW w:w="3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3"/>
              </w:rPr>
              <w:t>Year Ended December 31,</w:t>
            </w:r>
          </w:p>
        </w:tc>
        <w:tc>
          <w:tcPr>
            <w:tcW w:w="1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Borders>
              <w:bottom w:val="single" w:sz="8" w:color="auto"/>
            </w:tcBorders>
          </w:tcPr>
          <w:p>
            <w:pPr>
              <w:spacing w:after="0"/>
              <w:rPr>
                <w:sz w:val="13"/>
                <w:szCs w:val="13"/>
                <w:color w:val="auto"/>
              </w:rPr>
            </w:pPr>
          </w:p>
        </w:tc>
      </w:tr>
      <w:tr>
        <w:trPr>
          <w:trHeight w:val="160"/>
        </w:trPr>
        <w:tc>
          <w:tcPr>
            <w:tcW w:w="4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2022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3"/>
                <w:szCs w:val="13"/>
                <w:color w:val="auto"/>
              </w:rPr>
            </w:pPr>
          </w:p>
        </w:tc>
        <w:tc>
          <w:tcPr>
            <w:tcW w:w="1520" w:type="dxa"/>
            <w:vAlign w:val="bottom"/>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13"/>
                <w:szCs w:val="13"/>
                <w:color w:val="auto"/>
              </w:rPr>
            </w:pPr>
          </w:p>
        </w:tc>
        <w:tc>
          <w:tcPr>
            <w:tcW w:w="1520" w:type="dxa"/>
            <w:vAlign w:val="bottom"/>
          </w:tcPr>
          <w:p>
            <w:pPr>
              <w:jc w:val="right"/>
              <w:ind w:right="59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jc w:val="right"/>
              <w:ind w:right="574"/>
              <w:spacing w:after="0"/>
              <w:rPr>
                <w:sz w:val="20"/>
                <w:szCs w:val="20"/>
                <w:color w:val="auto"/>
              </w:rPr>
            </w:pPr>
            <w:r>
              <w:rPr>
                <w:rFonts w:ascii="Arial" w:cs="Arial" w:eastAsia="Arial" w:hAnsi="Arial"/>
                <w:sz w:val="11"/>
                <w:szCs w:val="11"/>
                <w:b w:val="1"/>
                <w:bCs w:val="1"/>
                <w:color w:val="auto"/>
              </w:rPr>
              <w:t>2021</w:t>
            </w:r>
          </w:p>
        </w:tc>
      </w:tr>
      <w:tr>
        <w:trPr>
          <w:trHeight w:val="202"/>
        </w:trPr>
        <w:tc>
          <w:tcPr>
            <w:tcW w:w="3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Customer A</w:t>
            </w:r>
          </w:p>
        </w:tc>
        <w:tc>
          <w:tcPr>
            <w:tcW w:w="10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35 %</w:t>
            </w:r>
          </w:p>
        </w:tc>
        <w:tc>
          <w:tcPr>
            <w:tcW w:w="14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18 %</w:t>
            </w:r>
          </w:p>
        </w:tc>
      </w:tr>
      <w:tr>
        <w:trPr>
          <w:trHeight w:val="191"/>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19 %</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19 %</w:t>
            </w:r>
          </w:p>
        </w:tc>
      </w:tr>
    </w:tbl>
    <w:p>
      <w:pPr>
        <w:spacing w:after="0" w:line="2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One of the customers acquired less than 5% ownership in the Company upon consummation of the IPO.</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Major Suppliers</w:t>
      </w:r>
      <w:r>
        <w:rPr>
          <w:rFonts w:ascii="Arial" w:cs="Arial" w:eastAsia="Arial" w:hAnsi="Arial"/>
          <w:sz w:val="14"/>
          <w:szCs w:val="14"/>
          <w:color w:val="auto"/>
        </w:rPr>
        <w:t>—The Company’s suppliers that accounted for 10% or more of the Company’s purchases were as follows:</w:t>
      </w:r>
    </w:p>
    <w:p>
      <w:pPr>
        <w:spacing w:after="0" w:line="34" w:lineRule="exact"/>
        <w:rPr>
          <w:sz w:val="20"/>
          <w:szCs w:val="20"/>
          <w:color w:val="auto"/>
        </w:rPr>
      </w:pPr>
    </w:p>
    <w:p>
      <w:pPr>
        <w:ind w:left="90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Borders>
              <w:bottom w:val="single" w:sz="8" w:color="CFF0FC"/>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r>
      <w:tr>
        <w:trPr>
          <w:trHeight w:val="202"/>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Supplier A</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21 %</w:t>
            </w:r>
          </w:p>
        </w:tc>
      </w:tr>
      <w:tr>
        <w:trPr>
          <w:trHeight w:val="191"/>
        </w:trPr>
        <w:tc>
          <w:tcPr>
            <w:tcW w:w="9120" w:type="dxa"/>
            <w:vAlign w:val="bottom"/>
            <w:gridSpan w:val="2"/>
          </w:tcPr>
          <w:p>
            <w:pPr>
              <w:ind w:left="20"/>
              <w:spacing w:after="0"/>
              <w:rPr>
                <w:sz w:val="20"/>
                <w:szCs w:val="20"/>
                <w:color w:val="auto"/>
              </w:rPr>
            </w:pPr>
            <w:r>
              <w:rPr>
                <w:rFonts w:ascii="Arial" w:cs="Arial" w:eastAsia="Arial" w:hAnsi="Arial"/>
                <w:sz w:val="14"/>
                <w:szCs w:val="14"/>
                <w:color w:val="auto"/>
              </w:rPr>
              <w:t>Supplier B</w:t>
            </w:r>
          </w:p>
        </w:tc>
        <w:tc>
          <w:tcPr>
            <w:tcW w:w="4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13 %</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DERIVATIVE INSTRUMENTS</w:t>
      </w:r>
    </w:p>
    <w:p>
      <w:pPr>
        <w:spacing w:after="0" w:line="87" w:lineRule="exact"/>
        <w:rPr>
          <w:sz w:val="20"/>
          <w:szCs w:val="20"/>
          <w:color w:val="auto"/>
        </w:rPr>
      </w:pPr>
    </w:p>
    <w:p>
      <w:pPr>
        <w:ind w:right="120" w:firstLine="433"/>
        <w:spacing w:after="0" w:line="259" w:lineRule="auto"/>
        <w:rPr>
          <w:sz w:val="20"/>
          <w:szCs w:val="20"/>
          <w:color w:val="auto"/>
        </w:rPr>
      </w:pPr>
      <w:r>
        <w:rPr>
          <w:rFonts w:ascii="Arial" w:cs="Arial" w:eastAsia="Arial" w:hAnsi="Arial"/>
          <w:sz w:val="14"/>
          <w:szCs w:val="14"/>
          <w:color w:val="auto"/>
        </w:rPr>
        <w:t xml:space="preserve">The Company accounts for derivative instruments in accordance with the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("ASC 815"). These principles require that all derivative instruments be recognized at fair value on each balance sheet date unless they qualify for a scope exclusion as a normal purchase or sale transaction, which is accounted for under the accrual method of accounting. In addition, these principles permit derivative instruments that qualify for hedge accounting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20"/>
        <w:spacing w:after="0" w:line="322" w:lineRule="auto"/>
        <w:rPr>
          <w:sz w:val="20"/>
          <w:szCs w:val="20"/>
          <w:color w:val="auto"/>
        </w:rPr>
      </w:pPr>
      <w:r>
        <w:rPr>
          <w:rFonts w:ascii="Arial" w:cs="Arial" w:eastAsia="Arial" w:hAnsi="Arial"/>
          <w:sz w:val="12"/>
          <w:szCs w:val="12"/>
          <w:color w:val="auto"/>
        </w:rPr>
        <w:t>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December 31, 2022 and December 31, 2021, the Company did not have any derivative instruments that it had designated as fair value or cash flow hedges.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is subject to the following currency risks:</w:t>
      </w:r>
    </w:p>
    <w:p>
      <w:pPr>
        <w:spacing w:after="0" w:line="168" w:lineRule="exact"/>
        <w:rPr>
          <w:sz w:val="20"/>
          <w:szCs w:val="20"/>
          <w:color w:val="auto"/>
        </w:rPr>
      </w:pPr>
    </w:p>
    <w:p>
      <w:pPr>
        <w:ind w:right="180" w:firstLine="433"/>
        <w:spacing w:after="0" w:line="281" w:lineRule="auto"/>
        <w:rPr>
          <w:sz w:val="20"/>
          <w:szCs w:val="20"/>
          <w:color w:val="auto"/>
        </w:rPr>
      </w:pPr>
      <w:r>
        <w:rPr>
          <w:rFonts w:ascii="Arial" w:cs="Arial" w:eastAsia="Arial" w:hAnsi="Arial"/>
          <w:sz w:val="14"/>
          <w:szCs w:val="14"/>
          <w:i w:val="1"/>
          <w:iCs w:val="1"/>
          <w:color w:val="auto"/>
        </w:rPr>
        <w:t>Inventory purchases from Brazilian and Malaysian manufacturers—</w:t>
      </w:r>
      <w:r>
        <w:rPr>
          <w:rFonts w:ascii="Arial" w:cs="Arial" w:eastAsia="Arial" w:hAnsi="Arial"/>
          <w:sz w:val="14"/>
          <w:szCs w:val="14"/>
          <w:color w:val="auto"/>
        </w:rPr>
        <w:t>In order to mitigate the currency risk on inventory purchases from its Brazilian and Malaysian manufacturers, which are</w:t>
      </w:r>
      <w:r>
        <w:rPr>
          <w:rFonts w:ascii="Arial" w:cs="Arial" w:eastAsia="Arial" w:hAnsi="Arial"/>
          <w:sz w:val="14"/>
          <w:szCs w:val="14"/>
          <w:i w:val="1"/>
          <w:iCs w:val="1"/>
          <w:color w:val="auto"/>
        </w:rPr>
        <w:t xml:space="preserve"> </w:t>
      </w:r>
      <w:r>
        <w:rPr>
          <w:rFonts w:ascii="Arial" w:cs="Arial" w:eastAsia="Arial" w:hAnsi="Arial"/>
          <w:sz w:val="14"/>
          <w:szCs w:val="14"/>
          <w:color w:val="auto"/>
        </w:rPr>
        <w:t>settled in Brazilian Real ("BRL") and Thai Bhatt ("THB"), the AMS subsidiary enters into a series of forward currency swaps to buy BRL and THB.</w:t>
      </w:r>
    </w:p>
    <w:p>
      <w:pPr>
        <w:spacing w:after="0" w:line="122" w:lineRule="exact"/>
        <w:rPr>
          <w:sz w:val="20"/>
          <w:szCs w:val="20"/>
          <w:color w:val="auto"/>
        </w:rPr>
      </w:pPr>
    </w:p>
    <w:p>
      <w:pPr>
        <w:ind w:right="100" w:firstLine="433"/>
        <w:spacing w:after="0" w:line="265" w:lineRule="auto"/>
        <w:rPr>
          <w:sz w:val="20"/>
          <w:szCs w:val="20"/>
          <w:color w:val="auto"/>
        </w:rPr>
      </w:pPr>
      <w:r>
        <w:rPr>
          <w:rFonts w:ascii="Arial" w:cs="Arial" w:eastAsia="Arial" w:hAnsi="Arial"/>
          <w:sz w:val="14"/>
          <w:szCs w:val="14"/>
          <w:i w:val="1"/>
          <w:iCs w:val="1"/>
          <w:color w:val="auto"/>
        </w:rPr>
        <w:t>Intercompany transactions between AME and AMS—</w:t>
      </w:r>
      <w:r>
        <w:rPr>
          <w:rFonts w:ascii="Arial" w:cs="Arial" w:eastAsia="Arial" w:hAnsi="Arial"/>
          <w:sz w:val="14"/>
          <w:szCs w:val="14"/>
          <w:color w:val="auto"/>
        </w:rPr>
        <w:t>In order to mitigate the currency risk on intercompany transactions between AME and AMS, AMS enters into foreign currency swaps to</w:t>
      </w:r>
      <w:r>
        <w:rPr>
          <w:rFonts w:ascii="Arial" w:cs="Arial" w:eastAsia="Arial" w:hAnsi="Arial"/>
          <w:sz w:val="14"/>
          <w:szCs w:val="14"/>
          <w:i w:val="1"/>
          <w:iCs w:val="1"/>
          <w:color w:val="auto"/>
        </w:rPr>
        <w:t xml:space="preserve"> </w:t>
      </w:r>
      <w:r>
        <w:rPr>
          <w:rFonts w:ascii="Arial" w:cs="Arial" w:eastAsia="Arial" w:hAnsi="Arial"/>
          <w:sz w:val="14"/>
          <w:szCs w:val="14"/>
          <w:color w:val="auto"/>
        </w:rPr>
        <w:t>sell GBP.</w:t>
      </w:r>
    </w:p>
    <w:p>
      <w:pPr>
        <w:spacing w:after="0" w:line="143"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i w:val="1"/>
          <w:iCs w:val="1"/>
          <w:color w:val="auto"/>
        </w:rPr>
        <w:t>Commercial transactions with Canadian customer and vendors—</w:t>
      </w:r>
      <w:r>
        <w:rPr>
          <w:rFonts w:ascii="Arial" w:cs="Arial" w:eastAsia="Arial" w:hAnsi="Arial"/>
          <w:sz w:val="14"/>
          <w:szCs w:val="14"/>
          <w:color w:val="auto"/>
        </w:rPr>
        <w:t>In order to mitigate the currency risk on transactions with Canadian customer and vendors, the Company enters into foreign</w:t>
      </w:r>
      <w:r>
        <w:rPr>
          <w:rFonts w:ascii="Arial" w:cs="Arial" w:eastAsia="Arial" w:hAnsi="Arial"/>
          <w:sz w:val="14"/>
          <w:szCs w:val="14"/>
          <w:i w:val="1"/>
          <w:iCs w:val="1"/>
          <w:color w:val="auto"/>
        </w:rPr>
        <w:t xml:space="preserve"> </w:t>
      </w:r>
      <w:r>
        <w:rPr>
          <w:rFonts w:ascii="Arial" w:cs="Arial" w:eastAsia="Arial" w:hAnsi="Arial"/>
          <w:sz w:val="14"/>
          <w:szCs w:val="14"/>
          <w:color w:val="auto"/>
        </w:rPr>
        <w:t>currency swaps to sell Canadian Dollars ("CAD").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notional amount and fair value of all outstanding derivative instruments in the consolidated balance sheets consist of the following at: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2022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400" w:type="dxa"/>
            <w:vAlign w:val="bottom"/>
            <w:tcBorders>
              <w:top w:val="single" w:sz="8" w:color="auto"/>
            </w:tcBorders>
          </w:tcPr>
          <w:p>
            <w:pPr>
              <w:jc w:val="center"/>
              <w:ind w:left="1373"/>
              <w:spacing w:after="0"/>
              <w:rPr>
                <w:sz w:val="20"/>
                <w:szCs w:val="20"/>
                <w:color w:val="auto"/>
              </w:rPr>
            </w:pPr>
            <w:r>
              <w:rPr>
                <w:rFonts w:ascii="Arial" w:cs="Arial" w:eastAsia="Arial" w:hAnsi="Arial"/>
                <w:sz w:val="11"/>
                <w:szCs w:val="11"/>
                <w:b w:val="1"/>
                <w:bCs w:val="1"/>
                <w:color w:val="auto"/>
                <w:w w:val="90"/>
              </w:rPr>
              <w:t>Derivatives not designated as</w:t>
            </w: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00" w:type="dxa"/>
            <w:vAlign w:val="bottom"/>
          </w:tcPr>
          <w:p>
            <w:pPr>
              <w:jc w:val="center"/>
              <w:ind w:left="1373"/>
              <w:spacing w:after="0"/>
              <w:rPr>
                <w:sz w:val="20"/>
                <w:szCs w:val="20"/>
                <w:color w:val="auto"/>
              </w:rPr>
            </w:pPr>
            <w:r>
              <w:rPr>
                <w:rFonts w:ascii="Arial" w:cs="Arial" w:eastAsia="Arial" w:hAnsi="Arial"/>
                <w:sz w:val="11"/>
                <w:szCs w:val="11"/>
                <w:b w:val="1"/>
                <w:bCs w:val="1"/>
                <w:color w:val="auto"/>
                <w:w w:val="92"/>
              </w:rPr>
              <w:t>hedging instruments under</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Notional</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jc w:val="center"/>
              <w:ind w:left="1373"/>
              <w:spacing w:after="0"/>
              <w:rPr>
                <w:sz w:val="20"/>
                <w:szCs w:val="20"/>
                <w:color w:val="auto"/>
              </w:rPr>
            </w:pPr>
            <w:r>
              <w:rPr>
                <w:rFonts w:ascii="Arial" w:cs="Arial" w:eastAsia="Arial" w:hAnsi="Arial"/>
                <w:sz w:val="11"/>
                <w:szCs w:val="11"/>
                <w:color w:val="auto"/>
                <w:w w:val="93"/>
              </w:rPr>
              <w:t>ASC 815-20</w:t>
            </w: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Fair Value</w:t>
            </w:r>
          </w:p>
        </w:tc>
        <w:tc>
          <w:tcPr>
            <w:tcW w:w="218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line="20" w:lineRule="exact"/>
              <w:rPr>
                <w:sz w:val="1"/>
                <w:szCs w:val="1"/>
                <w:color w:val="auto"/>
              </w:rPr>
            </w:pPr>
          </w:p>
        </w:tc>
      </w:tr>
      <w:tr>
        <w:trPr>
          <w:trHeight w:val="153"/>
        </w:trPr>
        <w:tc>
          <w:tcPr>
            <w:tcW w:w="44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1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USD/pay GBP</w:t>
            </w:r>
          </w:p>
        </w:tc>
        <w:tc>
          <w:tcPr>
            <w:tcW w:w="18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1"/>
        </w:trPr>
        <w:tc>
          <w:tcPr>
            <w:tcW w:w="4400" w:type="dxa"/>
            <w:vAlign w:val="bottom"/>
          </w:tcPr>
          <w:p>
            <w:pPr>
              <w:ind w:left="540"/>
              <w:spacing w:after="0"/>
              <w:rPr>
                <w:sz w:val="20"/>
                <w:szCs w:val="20"/>
                <w:color w:val="auto"/>
              </w:rPr>
            </w:pPr>
            <w:r>
              <w:rPr>
                <w:rFonts w:ascii="Arial" w:cs="Arial" w:eastAsia="Arial" w:hAnsi="Arial"/>
                <w:sz w:val="14"/>
                <w:szCs w:val="14"/>
                <w:color w:val="auto"/>
              </w:rPr>
              <w:t>Receive BRL/sell USD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46,301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2,314</w:t>
            </w:r>
          </w:p>
        </w:tc>
        <w:tc>
          <w:tcPr>
            <w:tcW w:w="10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2"/>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USD/pay CAD</w:t>
            </w:r>
          </w:p>
        </w:tc>
        <w:tc>
          <w:tcPr>
            <w:tcW w:w="18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FF0FC"/>
          </w:tcPr>
          <w:p>
            <w:pPr>
              <w:spacing w:after="0"/>
              <w:rPr>
                <w:sz w:val="17"/>
                <w:szCs w:val="17"/>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exchange contracts</w:t>
            </w: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540"/>
              <w:spacing w:after="0"/>
              <w:rPr>
                <w:sz w:val="20"/>
                <w:szCs w:val="20"/>
                <w:color w:val="auto"/>
              </w:rPr>
            </w:pPr>
            <w:r>
              <w:rPr>
                <w:rFonts w:ascii="Arial" w:cs="Arial" w:eastAsia="Arial" w:hAnsi="Arial"/>
                <w:sz w:val="14"/>
                <w:szCs w:val="14"/>
                <w:color w:val="auto"/>
              </w:rPr>
              <w:t>Receive USD/pay EUR</w:t>
            </w:r>
          </w:p>
        </w:tc>
        <w:tc>
          <w:tcPr>
            <w:tcW w:w="18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THB/sell USD</w:t>
            </w: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373"/>
        </w:trPr>
        <w:tc>
          <w:tcPr>
            <w:tcW w:w="4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31"/>
              <w:spacing w:after="0"/>
              <w:rPr>
                <w:sz w:val="20"/>
                <w:szCs w:val="20"/>
                <w:color w:val="auto"/>
              </w:rPr>
            </w:pPr>
            <w:r>
              <w:rPr>
                <w:rFonts w:ascii="Arial" w:cs="Arial" w:eastAsia="Arial" w:hAnsi="Arial"/>
                <w:sz w:val="11"/>
                <w:szCs w:val="11"/>
                <w:b w:val="1"/>
                <w:bCs w:val="1"/>
                <w:color w:val="auto"/>
                <w:w w:val="92"/>
              </w:rPr>
              <w:t>December 31, 2021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00" w:type="dxa"/>
            <w:vAlign w:val="bottom"/>
          </w:tcPr>
          <w:p>
            <w:pPr>
              <w:jc w:val="center"/>
              <w:ind w:left="1373"/>
              <w:spacing w:after="0"/>
              <w:rPr>
                <w:sz w:val="20"/>
                <w:szCs w:val="20"/>
                <w:color w:val="auto"/>
              </w:rPr>
            </w:pPr>
            <w:r>
              <w:rPr>
                <w:rFonts w:ascii="Arial" w:cs="Arial" w:eastAsia="Arial" w:hAnsi="Arial"/>
                <w:sz w:val="11"/>
                <w:szCs w:val="11"/>
                <w:b w:val="1"/>
                <w:bCs w:val="1"/>
                <w:color w:val="auto"/>
                <w:w w:val="90"/>
              </w:rPr>
              <w:t>Derivatives not designated as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00" w:type="dxa"/>
            <w:vAlign w:val="bottom"/>
          </w:tcPr>
          <w:p>
            <w:pPr>
              <w:jc w:val="center"/>
              <w:ind w:left="1373"/>
              <w:spacing w:after="0"/>
              <w:rPr>
                <w:sz w:val="20"/>
                <w:szCs w:val="20"/>
                <w:color w:val="auto"/>
              </w:rPr>
            </w:pPr>
            <w:r>
              <w:rPr>
                <w:rFonts w:ascii="Arial" w:cs="Arial" w:eastAsia="Arial" w:hAnsi="Arial"/>
                <w:sz w:val="11"/>
                <w:szCs w:val="11"/>
                <w:color w:val="auto"/>
                <w:w w:val="92"/>
              </w:rPr>
              <w:t>hedging instruments under</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Notional</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400" w:type="dxa"/>
            <w:vAlign w:val="bottom"/>
            <w:vMerge w:val="restart"/>
          </w:tcPr>
          <w:p>
            <w:pPr>
              <w:jc w:val="center"/>
              <w:ind w:left="1373"/>
              <w:spacing w:after="0"/>
              <w:rPr>
                <w:sz w:val="20"/>
                <w:szCs w:val="20"/>
                <w:color w:val="auto"/>
              </w:rPr>
            </w:pPr>
            <w:r>
              <w:rPr>
                <w:rFonts w:ascii="Arial" w:cs="Arial" w:eastAsia="Arial" w:hAnsi="Arial"/>
                <w:sz w:val="11"/>
                <w:szCs w:val="11"/>
                <w:color w:val="auto"/>
                <w:w w:val="93"/>
              </w:rPr>
              <w:t>ASC 815-20</w:t>
            </w: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Fair Value</w:t>
            </w:r>
          </w:p>
        </w:tc>
        <w:tc>
          <w:tcPr>
            <w:tcW w:w="218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line="20" w:lineRule="exact"/>
              <w:rPr>
                <w:sz w:val="1"/>
                <w:szCs w:val="1"/>
                <w:color w:val="auto"/>
              </w:rPr>
            </w:pPr>
          </w:p>
        </w:tc>
      </w:tr>
      <w:tr>
        <w:trPr>
          <w:trHeight w:val="153"/>
        </w:trPr>
        <w:tc>
          <w:tcPr>
            <w:tcW w:w="44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1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USD/pay GBP</w:t>
            </w:r>
          </w:p>
        </w:tc>
        <w:tc>
          <w:tcPr>
            <w:tcW w:w="18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22,323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1"/>
        </w:trPr>
        <w:tc>
          <w:tcPr>
            <w:tcW w:w="4400" w:type="dxa"/>
            <w:vAlign w:val="bottom"/>
          </w:tcPr>
          <w:p>
            <w:pPr>
              <w:ind w:left="540"/>
              <w:spacing w:after="0"/>
              <w:rPr>
                <w:sz w:val="20"/>
                <w:szCs w:val="20"/>
                <w:color w:val="auto"/>
              </w:rPr>
            </w:pPr>
            <w:r>
              <w:rPr>
                <w:rFonts w:ascii="Arial" w:cs="Arial" w:eastAsia="Arial" w:hAnsi="Arial"/>
                <w:sz w:val="14"/>
                <w:szCs w:val="14"/>
                <w:color w:val="auto"/>
              </w:rPr>
              <w:t>Receive MYR/sell USD</w:t>
            </w:r>
          </w:p>
        </w:tc>
        <w:tc>
          <w:tcPr>
            <w:tcW w:w="18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2"/>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w:t>
            </w: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BRL/sell USD</w:t>
            </w:r>
          </w:p>
        </w:tc>
        <w:tc>
          <w:tcPr>
            <w:tcW w:w="18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43,174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196"/>
        </w:trPr>
        <w:tc>
          <w:tcPr>
            <w:tcW w:w="4400" w:type="dxa"/>
            <w:vAlign w:val="bottom"/>
          </w:tcPr>
          <w:p>
            <w:pPr>
              <w:ind w:left="540"/>
              <w:spacing w:after="0"/>
              <w:rPr>
                <w:sz w:val="20"/>
                <w:szCs w:val="20"/>
                <w:color w:val="auto"/>
              </w:rPr>
            </w:pPr>
            <w:r>
              <w:rPr>
                <w:rFonts w:ascii="Arial" w:cs="Arial" w:eastAsia="Arial" w:hAnsi="Arial"/>
                <w:sz w:val="14"/>
                <w:szCs w:val="14"/>
                <w:color w:val="auto"/>
              </w:rPr>
              <w:t>Receive USD/pay CAD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207"/>
        </w:trPr>
        <w:tc>
          <w:tcPr>
            <w:tcW w:w="44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THB/sell USD</w:t>
            </w: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721"/>
        </w:trPr>
        <w:tc>
          <w:tcPr>
            <w:tcW w:w="4400" w:type="dxa"/>
            <w:vAlign w:val="bottom"/>
          </w:tcPr>
          <w:p>
            <w:pPr>
              <w:spacing w:after="0"/>
              <w:rPr>
                <w:sz w:val="24"/>
                <w:szCs w:val="24"/>
                <w:color w:val="auto"/>
              </w:rPr>
            </w:pPr>
          </w:p>
        </w:tc>
        <w:tc>
          <w:tcPr>
            <w:tcW w:w="1440" w:type="dxa"/>
            <w:vAlign w:val="bottom"/>
          </w:tcPr>
          <w:p>
            <w:pPr>
              <w:jc w:val="right"/>
              <w:ind w:right="51"/>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400" w:type="dxa"/>
            <w:vAlign w:val="bottom"/>
            <w:tcBorders>
              <w:bottom w:val="single" w:sz="8" w:color="9A9A9A"/>
            </w:tcBorders>
          </w:tcPr>
          <w:p>
            <w:pPr>
              <w:spacing w:after="0"/>
              <w:rPr>
                <w:sz w:val="5"/>
                <w:szCs w:val="5"/>
                <w:color w:val="auto"/>
              </w:rPr>
            </w:pPr>
          </w:p>
        </w:tc>
        <w:tc>
          <w:tcPr>
            <w:tcW w:w="14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1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40" w:firstLine="433"/>
        <w:spacing w:after="0" w:line="265" w:lineRule="auto"/>
        <w:rPr>
          <w:sz w:val="20"/>
          <w:szCs w:val="20"/>
          <w:color w:val="auto"/>
        </w:rPr>
      </w:pPr>
      <w:r>
        <w:rPr>
          <w:rFonts w:ascii="Arial" w:cs="Arial" w:eastAsia="Arial" w:hAnsi="Arial"/>
          <w:sz w:val="14"/>
          <w:szCs w:val="14"/>
          <w:color w:val="auto"/>
        </w:rPr>
        <w:t>The amount of realized and unrealized gains and losses and consolidated statements of operations and comprehensive income location of the derivative instruments as of December 31, 2022 and 2021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33"/>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center"/>
              <w:ind w:right="133"/>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33"/>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22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20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6,606</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line="146" w:lineRule="exact"/>
              <w:rPr>
                <w:sz w:val="20"/>
                <w:szCs w:val="20"/>
                <w:color w:val="auto"/>
              </w:rPr>
            </w:pPr>
            <w:r>
              <w:rPr>
                <w:rFonts w:ascii="Arial" w:cs="Arial" w:eastAsia="Arial" w:hAnsi="Arial"/>
                <w:sz w:val="14"/>
                <w:szCs w:val="14"/>
                <w:color w:val="auto"/>
              </w:rPr>
              <w:t>Location</w:t>
            </w: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100" w:type="dxa"/>
            <w:vAlign w:val="bottom"/>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jc w:val="center"/>
              <w:ind w:right="153"/>
              <w:spacing w:after="0" w:line="106" w:lineRule="exact"/>
              <w:rPr>
                <w:sz w:val="20"/>
                <w:szCs w:val="20"/>
                <w:color w:val="auto"/>
              </w:rPr>
            </w:pPr>
            <w:r>
              <w:rPr>
                <w:rFonts w:ascii="Arial" w:cs="Arial" w:eastAsia="Arial" w:hAnsi="Arial"/>
                <w:sz w:val="12"/>
                <w:szCs w:val="12"/>
                <w:color w:val="auto"/>
              </w:rPr>
              <w:t>Unrealized gain on derivative</w:t>
            </w: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120" w:type="dxa"/>
            <w:vAlign w:val="bottom"/>
            <w:tcBorders>
              <w:top w:val="single" w:sz="8" w:color="auto"/>
            </w:tcBorders>
          </w:tcPr>
          <w:p>
            <w:pPr>
              <w:jc w:val="center"/>
              <w:ind w:right="133"/>
              <w:spacing w:after="0" w:line="106" w:lineRule="exact"/>
              <w:rPr>
                <w:sz w:val="20"/>
                <w:szCs w:val="20"/>
                <w:color w:val="auto"/>
              </w:rPr>
            </w:pPr>
            <w:r>
              <w:rPr>
                <w:rFonts w:ascii="Arial" w:cs="Arial" w:eastAsia="Arial" w:hAnsi="Arial"/>
                <w:sz w:val="12"/>
                <w:szCs w:val="12"/>
                <w:color w:val="auto"/>
              </w:rPr>
              <w:t>Unrealized gain on derivative</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jc w:val="center"/>
              <w:ind w:right="133"/>
              <w:spacing w:after="0" w:line="106" w:lineRule="exact"/>
              <w:rPr>
                <w:sz w:val="20"/>
                <w:szCs w:val="20"/>
                <w:color w:val="auto"/>
              </w:rPr>
            </w:pPr>
            <w:r>
              <w:rPr>
                <w:rFonts w:ascii="Arial" w:cs="Arial" w:eastAsia="Arial" w:hAnsi="Arial"/>
                <w:sz w:val="12"/>
                <w:szCs w:val="12"/>
                <w:color w:val="auto"/>
              </w:rPr>
              <w:t>Unrealized (loss) on derivative</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jc w:val="center"/>
              <w:ind w:right="133"/>
              <w:spacing w:after="0"/>
              <w:rPr>
                <w:sz w:val="20"/>
                <w:szCs w:val="20"/>
                <w:color w:val="auto"/>
              </w:rPr>
            </w:pPr>
            <w:r>
              <w:rPr>
                <w:rFonts w:ascii="Arial" w:cs="Arial" w:eastAsia="Arial" w:hAnsi="Arial"/>
                <w:sz w:val="14"/>
                <w:szCs w:val="14"/>
                <w:color w:val="auto"/>
                <w:w w:val="91"/>
              </w:rPr>
              <w:t>instruments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instruments</w:t>
            </w:r>
          </w:p>
        </w:tc>
        <w:tc>
          <w:tcPr>
            <w:tcW w:w="200" w:type="dxa"/>
            <w:vAlign w:val="bottom"/>
          </w:tcPr>
          <w:p>
            <w:pPr>
              <w:spacing w:after="0"/>
              <w:rPr>
                <w:sz w:val="16"/>
                <w:szCs w:val="16"/>
                <w:color w:val="auto"/>
              </w:rPr>
            </w:pPr>
          </w:p>
        </w:tc>
        <w:tc>
          <w:tcPr>
            <w:tcW w:w="2140" w:type="dxa"/>
            <w:vAlign w:val="bottom"/>
          </w:tcPr>
          <w:p>
            <w:pPr>
              <w:jc w:val="center"/>
              <w:ind w:right="133"/>
              <w:spacing w:after="0"/>
              <w:rPr>
                <w:sz w:val="20"/>
                <w:szCs w:val="20"/>
                <w:color w:val="auto"/>
              </w:rPr>
            </w:pPr>
            <w:r>
              <w:rPr>
                <w:rFonts w:ascii="Arial" w:cs="Arial" w:eastAsia="Arial" w:hAnsi="Arial"/>
                <w:sz w:val="14"/>
                <w:szCs w:val="14"/>
                <w:color w:val="auto"/>
                <w:w w:val="91"/>
              </w:rPr>
              <w:t>instruments</w:t>
            </w:r>
          </w:p>
        </w:tc>
        <w:tc>
          <w:tcPr>
            <w:tcW w:w="0" w:type="dxa"/>
            <w:vAlign w:val="bottom"/>
          </w:tcPr>
          <w:p>
            <w:pPr>
              <w:spacing w:after="0"/>
              <w:rPr>
                <w:sz w:val="1"/>
                <w:szCs w:val="1"/>
                <w:color w:val="auto"/>
              </w:rPr>
            </w:pPr>
          </w:p>
        </w:tc>
      </w:tr>
      <w:tr>
        <w:trPr>
          <w:trHeight w:val="222"/>
        </w:trPr>
        <w:tc>
          <w:tcPr>
            <w:tcW w:w="4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Foreign currency gain (loss)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w:t>
            </w: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Location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33"/>
              <w:spacing w:after="0" w:line="159" w:lineRule="exact"/>
              <w:rPr>
                <w:sz w:val="20"/>
                <w:szCs w:val="20"/>
                <w:color w:val="auto"/>
              </w:rPr>
            </w:pPr>
            <w:r>
              <w:rPr>
                <w:rFonts w:ascii="Arial" w:cs="Arial" w:eastAsia="Arial" w:hAnsi="Arial"/>
                <w:sz w:val="14"/>
                <w:szCs w:val="14"/>
                <w:color w:val="auto"/>
                <w:w w:val="93"/>
              </w:rPr>
              <w:t>Foreign currency gain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2"/>
              </w:rPr>
              <w:t>Foreign currency (loss)</w:t>
            </w:r>
          </w:p>
        </w:tc>
        <w:tc>
          <w:tcPr>
            <w:tcW w:w="200" w:type="dxa"/>
            <w:vAlign w:val="bottom"/>
          </w:tcPr>
          <w:p>
            <w:pPr>
              <w:spacing w:after="0"/>
              <w:rPr>
                <w:sz w:val="13"/>
                <w:szCs w:val="13"/>
                <w:color w:val="auto"/>
              </w:rPr>
            </w:pPr>
          </w:p>
        </w:tc>
        <w:tc>
          <w:tcPr>
            <w:tcW w:w="2140" w:type="dxa"/>
            <w:vAlign w:val="bottom"/>
          </w:tcPr>
          <w:p>
            <w:pPr>
              <w:jc w:val="center"/>
              <w:ind w:right="113"/>
              <w:spacing w:after="0" w:line="159" w:lineRule="exact"/>
              <w:rPr>
                <w:sz w:val="20"/>
                <w:szCs w:val="20"/>
                <w:color w:val="auto"/>
              </w:rPr>
            </w:pPr>
            <w:r>
              <w:rPr>
                <w:rFonts w:ascii="Arial" w:cs="Arial" w:eastAsia="Arial" w:hAnsi="Arial"/>
                <w:sz w:val="14"/>
                <w:szCs w:val="14"/>
                <w:color w:val="auto"/>
                <w:w w:val="91"/>
              </w:rPr>
              <w:t>Foreign currency gain</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40" w:firstLine="433"/>
        <w:spacing w:after="0" w:line="288" w:lineRule="auto"/>
        <w:rPr>
          <w:sz w:val="20"/>
          <w:szCs w:val="20"/>
          <w:color w:val="auto"/>
        </w:rPr>
      </w:pPr>
      <w:r>
        <w:rPr>
          <w:rFonts w:ascii="Arial" w:cs="Arial" w:eastAsia="Arial" w:hAnsi="Arial"/>
          <w:sz w:val="13"/>
          <w:szCs w:val="13"/>
          <w:color w:val="auto"/>
        </w:rPr>
        <w:t xml:space="preserve">The Company applies recurring fair value measurements to its derivative instruments in accordance with ASC Topic 820,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FAIR VALUE MEASUREMENTS</w:t>
      </w:r>
    </w:p>
    <w:p>
      <w:pPr>
        <w:spacing w:after="0" w:line="98" w:lineRule="exact"/>
        <w:rPr>
          <w:sz w:val="20"/>
          <w:szCs w:val="20"/>
          <w:color w:val="auto"/>
        </w:rPr>
      </w:pPr>
    </w:p>
    <w:p>
      <w:pPr>
        <w:ind w:right="80" w:firstLine="433"/>
        <w:spacing w:after="0" w:line="251" w:lineRule="auto"/>
        <w:rPr>
          <w:sz w:val="20"/>
          <w:szCs w:val="20"/>
          <w:color w:val="auto"/>
        </w:rPr>
      </w:pPr>
      <w:r>
        <w:rPr>
          <w:rFonts w:ascii="Arial" w:cs="Arial" w:eastAsia="Arial" w:hAnsi="Arial"/>
          <w:sz w:val="14"/>
          <w:szCs w:val="14"/>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43" w:lineRule="exact"/>
        <w:rPr>
          <w:sz w:val="20"/>
          <w:szCs w:val="20"/>
          <w:color w:val="auto"/>
        </w:rPr>
      </w:pPr>
    </w:p>
    <w:p>
      <w:pPr>
        <w:ind w:left="1020" w:hanging="328"/>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Level 1—</w:t>
      </w:r>
      <w:r>
        <w:rPr>
          <w:rFonts w:ascii="Arial" w:cs="Arial" w:eastAsia="Arial" w:hAnsi="Arial"/>
          <w:sz w:val="14"/>
          <w:szCs w:val="14"/>
          <w:color w:val="auto"/>
        </w:rPr>
        <w:t>Quoted market prices in active markets for identical assets or liabilities.</w:t>
      </w:r>
    </w:p>
    <w:p>
      <w:pPr>
        <w:spacing w:after="0" w:line="167" w:lineRule="exact"/>
        <w:rPr>
          <w:rFonts w:ascii="Arial" w:cs="Arial" w:eastAsia="Arial" w:hAnsi="Arial"/>
          <w:sz w:val="14"/>
          <w:szCs w:val="14"/>
          <w:color w:val="auto"/>
        </w:rPr>
      </w:pPr>
    </w:p>
    <w:p>
      <w:pPr>
        <w:ind w:left="520" w:right="200" w:firstLine="172"/>
        <w:spacing w:after="0" w:line="281" w:lineRule="auto"/>
        <w:tabs>
          <w:tab w:leader="none" w:pos="1023"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Level 2—</w:t>
      </w:r>
      <w:r>
        <w:rPr>
          <w:rFonts w:ascii="Arial" w:cs="Arial" w:eastAsia="Arial" w:hAnsi="Arial"/>
          <w:sz w:val="14"/>
          <w:szCs w:val="14"/>
          <w:color w:val="auto"/>
        </w:rPr>
        <w:t>Observable inputs other than Level 1 prices, such as quoted prices for similar assets or liabilities, quoted market prices in markets that are not active; or other inputs that</w:t>
      </w:r>
      <w:r>
        <w:rPr>
          <w:rFonts w:ascii="Arial" w:cs="Arial" w:eastAsia="Arial" w:hAnsi="Arial"/>
          <w:sz w:val="14"/>
          <w:szCs w:val="14"/>
          <w:i w:val="1"/>
          <w:iCs w:val="1"/>
          <w:color w:val="auto"/>
        </w:rPr>
        <w:t xml:space="preserve"> </w:t>
      </w:r>
      <w:r>
        <w:rPr>
          <w:rFonts w:ascii="Arial" w:cs="Arial" w:eastAsia="Arial" w:hAnsi="Arial"/>
          <w:sz w:val="14"/>
          <w:szCs w:val="14"/>
          <w:color w:val="auto"/>
        </w:rPr>
        <w:t>are observable or can be corroborated by observable market data.</w:t>
      </w:r>
    </w:p>
    <w:p>
      <w:pPr>
        <w:spacing w:after="0" w:line="121" w:lineRule="exact"/>
        <w:rPr>
          <w:rFonts w:ascii="Arial" w:cs="Arial" w:eastAsia="Arial" w:hAnsi="Arial"/>
          <w:sz w:val="14"/>
          <w:szCs w:val="14"/>
          <w:color w:val="auto"/>
        </w:rPr>
      </w:pPr>
    </w:p>
    <w:p>
      <w:pPr>
        <w:ind w:left="520" w:right="100" w:firstLine="172"/>
        <w:spacing w:after="0" w:line="265" w:lineRule="auto"/>
        <w:tabs>
          <w:tab w:leader="none" w:pos="1023"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Unobservable inputs that are supported by little or no market activity and that are significant to the fair value of the assets or liabilities. This includes internally developed</w:t>
      </w:r>
      <w:r>
        <w:rPr>
          <w:rFonts w:ascii="Arial" w:cs="Arial" w:eastAsia="Arial" w:hAnsi="Arial"/>
          <w:sz w:val="14"/>
          <w:szCs w:val="14"/>
          <w:i w:val="1"/>
          <w:iCs w:val="1"/>
          <w:color w:val="auto"/>
        </w:rPr>
        <w:t xml:space="preserve"> </w:t>
      </w:r>
      <w:r>
        <w:rPr>
          <w:rFonts w:ascii="Arial" w:cs="Arial" w:eastAsia="Arial" w:hAnsi="Arial"/>
          <w:sz w:val="14"/>
          <w:szCs w:val="14"/>
          <w:color w:val="auto"/>
        </w:rPr>
        <w:t>models and methodologies utilizing significant unobservable inputs.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Forward currency swap contracts—</w:t>
      </w:r>
      <w:r>
        <w:rPr>
          <w:rFonts w:ascii="Arial" w:cs="Arial" w:eastAsia="Arial" w:hAnsi="Arial"/>
          <w:sz w:val="14"/>
          <w:szCs w:val="14"/>
          <w:color w:val="auto"/>
        </w:rPr>
        <w:t>The Company’s valuation methodology for forward currency swap contracts is based upon third-party institution data.</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Contingent consideration liability—</w:t>
      </w:r>
      <w:r>
        <w:rPr>
          <w:rFonts w:ascii="Arial" w:cs="Arial" w:eastAsia="Arial" w:hAnsi="Arial"/>
          <w:sz w:val="14"/>
          <w:szCs w:val="14"/>
          <w:color w:val="auto"/>
        </w:rPr>
        <w:t>The Company utilized a probability weighted scenario-based model to determine the fair value of the contingent consideration.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Company’s fair value hierarchy for those assets (liabilities) measured at fair value on a recurring basis at December 31, 2022 and 2021,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480" w:type="dxa"/>
            <w:vAlign w:val="bottom"/>
          </w:tcPr>
          <w:p>
            <w:pPr>
              <w:jc w:val="right"/>
              <w:ind w:right="254"/>
              <w:spacing w:after="0"/>
              <w:rPr>
                <w:sz w:val="20"/>
                <w:szCs w:val="20"/>
                <w:color w:val="auto"/>
              </w:rPr>
            </w:pPr>
            <w:r>
              <w:rPr>
                <w:rFonts w:ascii="Arial" w:cs="Arial" w:eastAsia="Arial" w:hAnsi="Arial"/>
                <w:sz w:val="11"/>
                <w:szCs w:val="11"/>
                <w:b w:val="1"/>
                <w:bCs w:val="1"/>
                <w:color w:val="auto"/>
              </w:rPr>
              <w:t>Level 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1"/>
              </w:rPr>
              <w:t>Level 2</w:t>
            </w:r>
          </w:p>
        </w:tc>
        <w:tc>
          <w:tcPr>
            <w:tcW w:w="140" w:type="dxa"/>
            <w:vAlign w:val="bottom"/>
          </w:tcPr>
          <w:p>
            <w:pPr>
              <w:spacing w:after="0"/>
              <w:rPr>
                <w:sz w:val="10"/>
                <w:szCs w:val="1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Level 3</w:t>
            </w:r>
          </w:p>
        </w:tc>
        <w:tc>
          <w:tcPr>
            <w:tcW w:w="480" w:type="dxa"/>
            <w:vAlign w:val="bottom"/>
          </w:tcPr>
          <w:p>
            <w:pPr>
              <w:spacing w:after="0"/>
              <w:rPr>
                <w:sz w:val="10"/>
                <w:szCs w:val="10"/>
                <w:color w:val="auto"/>
              </w:rPr>
            </w:pPr>
          </w:p>
        </w:tc>
        <w:tc>
          <w:tcPr>
            <w:tcW w:w="1520" w:type="dxa"/>
            <w:vAlign w:val="bottom"/>
          </w:tcPr>
          <w:p>
            <w:pPr>
              <w:ind w:lef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99"/>
        </w:trPr>
        <w:tc>
          <w:tcPr>
            <w:tcW w:w="3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2"/>
          </w:tcPr>
          <w:p>
            <w:pPr>
              <w:jc w:val="center"/>
              <w:ind w:right="420"/>
              <w:spacing w:after="0" w:line="100" w:lineRule="exact"/>
              <w:rPr>
                <w:sz w:val="20"/>
                <w:szCs w:val="20"/>
                <w:color w:val="auto"/>
              </w:rPr>
            </w:pPr>
            <w:r>
              <w:rPr>
                <w:rFonts w:ascii="Arial" w:cs="Arial" w:eastAsia="Arial" w:hAnsi="Arial"/>
                <w:sz w:val="11"/>
                <w:szCs w:val="11"/>
                <w:b w:val="1"/>
                <w:bCs w:val="1"/>
                <w:color w:val="auto"/>
                <w:w w:val="97"/>
              </w:rPr>
              <w:t>Forward Currency</w:t>
            </w:r>
          </w:p>
        </w:tc>
        <w:tc>
          <w:tcPr>
            <w:tcW w:w="140" w:type="dxa"/>
            <w:vAlign w:val="bottom"/>
          </w:tcPr>
          <w:p>
            <w:pPr>
              <w:spacing w:after="0"/>
              <w:rPr>
                <w:sz w:val="8"/>
                <w:szCs w:val="8"/>
                <w:color w:val="auto"/>
              </w:rPr>
            </w:pPr>
          </w:p>
        </w:tc>
        <w:tc>
          <w:tcPr>
            <w:tcW w:w="194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2"/>
              </w:rPr>
              <w:t>Contingent consideration liability</w:t>
            </w: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1"/>
              </w:rPr>
              <w:t>Swaps/Contracts</w:t>
            </w: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CFF0FC"/>
            </w:tcBorders>
            <w:shd w:val="clear" w:color="auto" w:fill="CFF0FC"/>
          </w:tcPr>
          <w:p>
            <w:pPr>
              <w:jc w:val="right"/>
              <w:ind w:right="2649"/>
              <w:spacing w:after="0"/>
              <w:rPr>
                <w:sz w:val="20"/>
                <w:szCs w:val="20"/>
                <w:color w:val="auto"/>
              </w:rPr>
            </w:pPr>
            <w:r>
              <w:rPr>
                <w:rFonts w:ascii="Arial" w:cs="Arial" w:eastAsia="Arial" w:hAnsi="Arial"/>
                <w:sz w:val="14"/>
                <w:szCs w:val="14"/>
                <w:b w:val="1"/>
                <w:bCs w:val="1"/>
                <w:color w:val="auto"/>
                <w:w w:val="89"/>
              </w:rPr>
              <w:t>2022</w:t>
            </w:r>
          </w:p>
        </w:tc>
        <w:tc>
          <w:tcPr>
            <w:tcW w:w="1480" w:type="dxa"/>
            <w:vAlign w:val="bottom"/>
            <w:tcBorders>
              <w:bottom w:val="single" w:sz="8" w:color="auto"/>
            </w:tcBorders>
            <w:shd w:val="clear" w:color="auto" w:fill="CFF0FC"/>
          </w:tcPr>
          <w:p>
            <w:pPr>
              <w:jc w:val="right"/>
              <w:ind w:right="13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FF0FC"/>
          </w:tcPr>
          <w:p>
            <w:pPr>
              <w:ind w:left="16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20"/>
        </w:trPr>
        <w:tc>
          <w:tcPr>
            <w:tcW w:w="3020" w:type="dxa"/>
            <w:vAlign w:val="bottom"/>
            <w:vMerge w:val="restart"/>
          </w:tcPr>
          <w:p>
            <w:pPr>
              <w:jc w:val="right"/>
              <w:ind w:right="2649"/>
              <w:spacing w:after="0"/>
              <w:rPr>
                <w:sz w:val="20"/>
                <w:szCs w:val="20"/>
                <w:color w:val="auto"/>
              </w:rPr>
            </w:pPr>
            <w:r>
              <w:rPr>
                <w:rFonts w:ascii="Arial" w:cs="Arial" w:eastAsia="Arial" w:hAnsi="Arial"/>
                <w:sz w:val="14"/>
                <w:szCs w:val="14"/>
                <w:b w:val="1"/>
                <w:bCs w:val="1"/>
                <w:color w:val="auto"/>
                <w:w w:val="89"/>
              </w:rPr>
              <w:t>2021</w:t>
            </w: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20" w:type="dxa"/>
            <w:vAlign w:val="bottom"/>
            <w:vMerge w:val="continue"/>
          </w:tcPr>
          <w:p>
            <w:pPr>
              <w:spacing w:after="0"/>
              <w:rPr>
                <w:sz w:val="14"/>
                <w:szCs w:val="14"/>
                <w:color w:val="auto"/>
              </w:rPr>
            </w:pPr>
          </w:p>
        </w:tc>
        <w:tc>
          <w:tcPr>
            <w:tcW w:w="1480" w:type="dxa"/>
            <w:vAlign w:val="bottom"/>
          </w:tcPr>
          <w:p>
            <w:pPr>
              <w:jc w:val="right"/>
              <w:ind w:right="1334"/>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(3,071)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gridSpan w:val="2"/>
          </w:tcPr>
          <w:p>
            <w:pPr>
              <w:ind w:left="16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20" w:firstLine="433"/>
        <w:spacing w:after="0" w:line="281" w:lineRule="auto"/>
        <w:rPr>
          <w:sz w:val="20"/>
          <w:szCs w:val="20"/>
          <w:color w:val="auto"/>
        </w:rPr>
      </w:pPr>
      <w:r>
        <w:rPr>
          <w:rFonts w:ascii="Arial" w:cs="Arial" w:eastAsia="Arial" w:hAnsi="Arial"/>
          <w:sz w:val="14"/>
          <w:szCs w:val="14"/>
          <w:color w:val="auto"/>
        </w:rPr>
        <w:t>In connection with the Company’s acquisition of the entity currently known as AMI Runa USA LLC ("Runa") , the Company was obligated to pay contingent payments to Runa’s former shareholders only if a certain growth rate 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3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during the remeasurement period, the Company is not required to pay any contingent payment. The term of the remeasurement period under the agreement ended in December 2022.</w:t>
      </w:r>
    </w:p>
    <w:p>
      <w:pPr>
        <w:spacing w:after="0" w:line="143" w:lineRule="exact"/>
        <w:rPr>
          <w:sz w:val="20"/>
          <w:szCs w:val="20"/>
          <w:color w:val="auto"/>
        </w:rPr>
      </w:pPr>
    </w:p>
    <w:p>
      <w:pPr>
        <w:ind w:right="80" w:firstLine="433"/>
        <w:spacing w:after="0" w:line="281" w:lineRule="auto"/>
        <w:rPr>
          <w:sz w:val="20"/>
          <w:szCs w:val="20"/>
          <w:color w:val="auto"/>
        </w:rPr>
      </w:pPr>
      <w:r>
        <w:rPr>
          <w:rFonts w:ascii="Arial" w:cs="Arial" w:eastAsia="Arial" w:hAnsi="Arial"/>
          <w:sz w:val="14"/>
          <w:szCs w:val="14"/>
          <w:color w:val="auto"/>
        </w:rPr>
        <w:t>The fair value of contingent consideration of $15,700 determined on the acquisition date in 2018 was initially recognized as a liability and then subsequently remeasured to fair value at each reporting date with changes in fair value recognized as a component of operating expenses in the accompanying consolidated statements of operations.</w:t>
      </w:r>
    </w:p>
    <w:p>
      <w:pPr>
        <w:spacing w:after="0" w:line="143" w:lineRule="exact"/>
        <w:rPr>
          <w:sz w:val="20"/>
          <w:szCs w:val="20"/>
          <w:color w:val="auto"/>
        </w:rPr>
      </w:pPr>
    </w:p>
    <w:p>
      <w:pPr>
        <w:ind w:right="120" w:firstLine="433"/>
        <w:spacing w:after="0" w:line="322" w:lineRule="auto"/>
        <w:rPr>
          <w:sz w:val="20"/>
          <w:szCs w:val="20"/>
          <w:color w:val="auto"/>
        </w:rPr>
      </w:pPr>
      <w:r>
        <w:rPr>
          <w:rFonts w:ascii="Arial" w:cs="Arial" w:eastAsia="Arial" w:hAnsi="Arial"/>
          <w:sz w:val="12"/>
          <w:szCs w:val="12"/>
          <w:color w:val="auto"/>
        </w:rPr>
        <w:t>The contingent consideration liability related to the acquisition of Runa was considered a Level 3 liability, as the fair value was determined based on significant inputs not observable in the market, and recorded within other long-term liabilities in the accompanying consolidated balance sheets. The Company estimated the fair value of the contingent consideration liability based on a probability-weighted present value of various future cash payment outcomes using a Monte Carlo simulation. The technique considered the following unobservable inputs as of each valuation date:</w:t>
      </w:r>
    </w:p>
    <w:p>
      <w:pPr>
        <w:spacing w:after="0" w:line="18" w:lineRule="exact"/>
        <w:rPr>
          <w:sz w:val="20"/>
          <w:szCs w:val="20"/>
          <w:color w:val="auto"/>
        </w:rPr>
      </w:pPr>
    </w:p>
    <w:p>
      <w:pPr>
        <w:ind w:left="640" w:hanging="190"/>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probability and timing of achieving the specified milestones,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Revenue performance expectations, and</w:t>
      </w:r>
    </w:p>
    <w:p>
      <w:pPr>
        <w:spacing w:after="0" w:line="93" w:lineRule="exact"/>
        <w:rPr>
          <w:rFonts w:ascii="Arial" w:cs="Arial" w:eastAsia="Arial" w:hAnsi="Arial"/>
          <w:sz w:val="14"/>
          <w:szCs w:val="14"/>
          <w:color w:val="auto"/>
        </w:rPr>
      </w:pPr>
    </w:p>
    <w:p>
      <w:pPr>
        <w:ind w:left="640" w:hanging="190"/>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Market-based discount rates.</w:t>
      </w:r>
    </w:p>
    <w:p>
      <w:pPr>
        <w:spacing w:after="0" w:line="168" w:lineRule="exact"/>
        <w:rPr>
          <w:sz w:val="20"/>
          <w:szCs w:val="20"/>
          <w:color w:val="auto"/>
        </w:rPr>
      </w:pPr>
    </w:p>
    <w:p>
      <w:pPr>
        <w:ind w:right="540" w:firstLine="433"/>
        <w:spacing w:after="0" w:line="265" w:lineRule="auto"/>
        <w:rPr>
          <w:sz w:val="20"/>
          <w:szCs w:val="20"/>
          <w:color w:val="auto"/>
        </w:rPr>
      </w:pPr>
      <w:r>
        <w:rPr>
          <w:rFonts w:ascii="Arial" w:cs="Arial" w:eastAsia="Arial" w:hAnsi="Arial"/>
          <w:sz w:val="14"/>
          <w:szCs w:val="14"/>
          <w:color w:val="auto"/>
        </w:rPr>
        <w:t>Based on updated revenue performance expectations during the earn-out period for Runa, the Company remeasured the contingent consideration to zero at December 31, 2021 and at December 31, 2022.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transfers between any levels of the fair value hierarchy for any of the Company’s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STOCKHOLDERS’ EQUITY</w:t>
      </w:r>
    </w:p>
    <w:p>
      <w:pPr>
        <w:spacing w:after="0" w:line="87" w:lineRule="exact"/>
        <w:rPr>
          <w:sz w:val="20"/>
          <w:szCs w:val="20"/>
          <w:color w:val="auto"/>
        </w:rPr>
      </w:pPr>
    </w:p>
    <w:p>
      <w:pPr>
        <w:ind w:right="160" w:firstLine="433"/>
        <w:spacing w:after="0" w:line="281" w:lineRule="auto"/>
        <w:rPr>
          <w:sz w:val="20"/>
          <w:szCs w:val="20"/>
          <w:color w:val="auto"/>
        </w:rPr>
      </w:pPr>
      <w:r>
        <w:rPr>
          <w:rFonts w:ascii="Arial" w:cs="Arial" w:eastAsia="Arial" w:hAnsi="Arial"/>
          <w:sz w:val="14"/>
          <w:szCs w:val="14"/>
          <w:b w:val="1"/>
          <w:bCs w:val="1"/>
          <w:i w:val="1"/>
          <w:iCs w:val="1"/>
          <w:color w:val="auto"/>
        </w:rPr>
        <w:t>Common and Treasury Stock</w:t>
      </w:r>
      <w:r>
        <w:rPr>
          <w:rFonts w:ascii="Arial" w:cs="Arial" w:eastAsia="Arial" w:hAnsi="Arial"/>
          <w:sz w:val="14"/>
          <w:szCs w:val="14"/>
          <w:i w:val="1"/>
          <w:iCs w:val="1"/>
          <w:color w:val="auto"/>
        </w:rPr>
        <w:t>—</w:t>
      </w:r>
      <w:r>
        <w:rPr>
          <w:rFonts w:ascii="Arial" w:cs="Arial" w:eastAsia="Arial" w:hAnsi="Arial"/>
          <w:sz w:val="14"/>
          <w:szCs w:val="14"/>
          <w:color w:val="auto"/>
        </w:rPr>
        <w:t>Each share of common stock entitles its holder to one vote on matters required to be voted on by the stockholders of the Company and to receive dividends,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when and if declared by the Company’s board of directors.</w:t>
      </w:r>
    </w:p>
    <w:p>
      <w:pPr>
        <w:spacing w:after="0" w:line="122" w:lineRule="exact"/>
        <w:rPr>
          <w:sz w:val="20"/>
          <w:szCs w:val="20"/>
          <w:color w:val="auto"/>
        </w:rPr>
      </w:pPr>
    </w:p>
    <w:p>
      <w:pPr>
        <w:jc w:val="both"/>
        <w:ind w:firstLine="433"/>
        <w:spacing w:after="0" w:line="307" w:lineRule="auto"/>
        <w:rPr>
          <w:sz w:val="20"/>
          <w:szCs w:val="20"/>
          <w:color w:val="auto"/>
        </w:rPr>
      </w:pPr>
      <w:r>
        <w:rPr>
          <w:rFonts w:ascii="Arial" w:cs="Arial" w:eastAsia="Arial" w:hAnsi="Arial"/>
          <w:sz w:val="12"/>
          <w:szCs w:val="12"/>
          <w:color w:val="auto"/>
        </w:rPr>
        <w:t>As of December 31, 2022 and 2021, the Company held 6,206,200 shares in treasury stock and had 2,898,930 and 3,434,312 shares, respectively, of common stock reserved for future issuance upon the conversion of outstanding warrants and stock options. In January 2021, the 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302" w:lineRule="exact"/>
        <w:rPr>
          <w:sz w:val="20"/>
          <w:szCs w:val="20"/>
          <w:color w:val="auto"/>
        </w:rPr>
      </w:pPr>
    </w:p>
    <w:p>
      <w:pPr>
        <w:ind w:firstLine="509"/>
        <w:spacing w:after="0" w:line="252" w:lineRule="auto"/>
        <w:rPr>
          <w:sz w:val="20"/>
          <w:szCs w:val="20"/>
          <w:color w:val="auto"/>
        </w:rPr>
      </w:pPr>
      <w:r>
        <w:rPr>
          <w:rFonts w:ascii="Arial" w:cs="Arial" w:eastAsia="Arial" w:hAnsi="Arial"/>
          <w:sz w:val="14"/>
          <w:szCs w:val="14"/>
          <w:b w:val="1"/>
          <w:bCs w:val="1"/>
          <w:i w:val="1"/>
          <w:iCs w:val="1"/>
          <w:color w:val="auto"/>
        </w:rPr>
        <w:t>Non-controlling Interest</w:t>
      </w:r>
      <w:r>
        <w:rPr>
          <w:rFonts w:ascii="Arial" w:cs="Arial" w:eastAsia="Arial" w:hAnsi="Arial"/>
          <w:sz w:val="14"/>
          <w:szCs w:val="14"/>
          <w:color w:val="auto"/>
        </w:rPr>
        <w:t>—On August 17, 2021, the Company’s ownership interest in AME increased as a result of the subsidiary AME repurchasing AME shares from certain minority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As a result, the noncontrolling interest in AME representing minority stockholders’ proportionate share of the equity in AME was reduced from 1.3% to 0.71%. On December 31, 2021, the Company purchased the remaining outstanding AME shares directly from minority stockholders by exchanging shares in the Company on the basis of 5.485 Vita Coco shares being allotted for every 1 AME share. The share ratio exchange reflects a mutually agreed valuation of AME shares relative to Vita Coco shares. Since the Company continued to retain a controlling financial interest in AME, the change in ownership interest was accounted for as an equity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Warrants</w:t>
      </w:r>
      <w:r>
        <w:rPr>
          <w:rFonts w:ascii="Arial" w:cs="Arial" w:eastAsia="Arial" w:hAnsi="Arial"/>
          <w:sz w:val="13"/>
          <w:szCs w:val="13"/>
          <w:i w:val="1"/>
          <w:iCs w:val="1"/>
          <w:color w:val="auto"/>
        </w:rPr>
        <w:t>—</w:t>
      </w:r>
      <w:r>
        <w:rPr>
          <w:rFonts w:ascii="Arial" w:cs="Arial" w:eastAsia="Arial" w:hAnsi="Arial"/>
          <w:sz w:val="13"/>
          <w:szCs w:val="13"/>
          <w:color w:val="auto"/>
        </w:rPr>
        <w:t>All service warrants were exercised and exit warrants were expired as of December 31, 2021. As such, there was no warrant activity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40" w:firstLine="433"/>
        <w:spacing w:after="0" w:line="299" w:lineRule="auto"/>
        <w:rPr>
          <w:sz w:val="20"/>
          <w:szCs w:val="20"/>
          <w:color w:val="auto"/>
        </w:rPr>
      </w:pPr>
      <w:r>
        <w:rPr>
          <w:rFonts w:ascii="Arial" w:cs="Arial" w:eastAsia="Arial" w:hAnsi="Arial"/>
          <w:sz w:val="12"/>
          <w:szCs w:val="12"/>
          <w:b w:val="1"/>
          <w:bCs w:val="1"/>
          <w:i w:val="1"/>
          <w:iCs w:val="1"/>
          <w:color w:val="auto"/>
        </w:rPr>
        <w:t>Stock-based Compensation</w:t>
      </w:r>
      <w:r>
        <w:rPr>
          <w:rFonts w:ascii="Arial" w:cs="Arial" w:eastAsia="Arial" w:hAnsi="Arial"/>
          <w:sz w:val="12"/>
          <w:szCs w:val="12"/>
          <w:i w:val="1"/>
          <w:iCs w:val="1"/>
          <w:color w:val="auto"/>
        </w:rPr>
        <w:t>—</w:t>
      </w:r>
      <w:r>
        <w:rPr>
          <w:rFonts w:ascii="Arial" w:cs="Arial" w:eastAsia="Arial" w:hAnsi="Arial"/>
          <w:sz w:val="12"/>
          <w:szCs w:val="12"/>
          <w:color w:val="auto"/>
        </w:rPr>
        <w:t>The stockholders of the Company approved the adoption of the Company’s 2014 Stock Option and Restricted Stock Plan (the “2014 Plan”). The 2014 Plan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allowed for a maximum of 8% of the sum of the Available Equity defined as the sum of (i) the total then outstanding shares of common shares and (ii) all available stock option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must contain exercise prices no less than the fair value of the Company’s common stock on the date of grant and have a ten-year contractual term.</w:t>
      </w:r>
    </w:p>
    <w:p>
      <w:pPr>
        <w:spacing w:after="0" w:line="127" w:lineRule="exact"/>
        <w:rPr>
          <w:sz w:val="20"/>
          <w:szCs w:val="20"/>
          <w:color w:val="auto"/>
        </w:rPr>
      </w:pPr>
    </w:p>
    <w:p>
      <w:pPr>
        <w:ind w:right="100" w:firstLine="433"/>
        <w:spacing w:after="0" w:line="267" w:lineRule="auto"/>
        <w:rPr>
          <w:sz w:val="20"/>
          <w:szCs w:val="20"/>
          <w:color w:val="auto"/>
        </w:rPr>
      </w:pPr>
      <w:r>
        <w:rPr>
          <w:rFonts w:ascii="Arial" w:cs="Arial" w:eastAsia="Arial" w:hAnsi="Arial"/>
          <w:sz w:val="13"/>
          <w:szCs w:val="13"/>
          <w:color w:val="auto"/>
        </w:rPr>
        <w:t>Subsequent to September 30, 2021, the stockholders of the Company approved the adoption of the 2021 Incentive Award Plan ("2021 Plan"), which became effective after the closing of the IPO discussed in Note 1. On and after closing of the offering and the effectiveness of the 2021 Incentive Award Plan, no further grants will be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of directors; provided, however, no more than 3,431,312 shares may be issued upon the exercise of incentive stock options, or ISOs. The 2021 Plan provides for the grant of stock options, including ISOs and nonqualified stock options, or NSOs, restricted stock, dividend equivalents, stock payments, restricted stock units, or RSUs, other incentive awards, SARs, and cash awards. Currently, stock options, restricted stock, and RSU's were granted under 2021 Plan. As of December 31, 2022, there were 2,898,930 shares of common stock reserved for future issuance pursuant to the 2021 Plan.</w:t>
      </w:r>
    </w:p>
    <w:p>
      <w:pPr>
        <w:spacing w:after="0" w:line="134" w:lineRule="exact"/>
        <w:rPr>
          <w:sz w:val="20"/>
          <w:szCs w:val="20"/>
          <w:color w:val="auto"/>
        </w:rPr>
      </w:pPr>
    </w:p>
    <w:p>
      <w:pPr>
        <w:ind w:right="340" w:firstLine="433"/>
        <w:spacing w:after="0" w:line="251" w:lineRule="auto"/>
        <w:rPr>
          <w:sz w:val="20"/>
          <w:szCs w:val="20"/>
          <w:color w:val="auto"/>
        </w:rPr>
      </w:pPr>
      <w:r>
        <w:rPr>
          <w:rFonts w:ascii="Arial" w:cs="Arial" w:eastAsia="Arial" w:hAnsi="Arial"/>
          <w:sz w:val="14"/>
          <w:szCs w:val="14"/>
          <w:color w:val="auto"/>
        </w:rPr>
        <w:t>The Company recognized stock-based compensation expense of $6,134, $3,103 and $1,517 for the years ended December 31, 2022, 2021 and 2020, respectively in selling, general, and administrative expenses. The Company also recognized a reduction of revenue of $1,250 and $277 for the years ended December 31, 2022 and 2021 related to stock-based compensation awards granted to entities affiliated with a major customer that was accounted for as a stock-based sales incentive. The total impact to additional paid-in capital related to stock-based compensation arrangements in 2022 and 2021 were $7,384 and $3,380,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with Service-based Vesting Conditions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Most stock option awards granted under the 2014 and 2021 Plans vest based on the continuous service. The stock options awarded to the employees have different vesting schedules as</w:t>
      </w:r>
    </w:p>
    <w:p>
      <w:pPr>
        <w:spacing w:after="0" w:line="22"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specified in each grant agreement. Generally, the majority of the outstanding stock options vest 50% over the two years and 50% vest over the four years. The following table summarizes the service-based stock option activity during the year ended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180" w:type="dxa"/>
            <w:vAlign w:val="bottom"/>
          </w:tcPr>
          <w:p>
            <w:pPr>
              <w:jc w:val="center"/>
              <w:ind w:left="378"/>
              <w:spacing w:after="0"/>
              <w:rPr>
                <w:sz w:val="20"/>
                <w:szCs w:val="20"/>
                <w:color w:val="auto"/>
              </w:rPr>
            </w:pPr>
            <w:r>
              <w:rPr>
                <w:rFonts w:ascii="Arial" w:cs="Arial" w:eastAsia="Arial" w:hAnsi="Arial"/>
                <w:sz w:val="11"/>
                <w:szCs w:val="11"/>
                <w:b w:val="1"/>
                <w:bCs w:val="1"/>
                <w:color w:val="auto"/>
                <w:w w:val="93"/>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Weighted-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180" w:type="dxa"/>
            <w:vAlign w:val="bottom"/>
          </w:tcPr>
          <w:p>
            <w:pPr>
              <w:jc w:val="center"/>
              <w:ind w:left="358"/>
              <w:spacing w:after="0" w:line="113" w:lineRule="exact"/>
              <w:rPr>
                <w:sz w:val="20"/>
                <w:szCs w:val="20"/>
                <w:color w:val="auto"/>
              </w:rPr>
            </w:pPr>
            <w:r>
              <w:rPr>
                <w:rFonts w:ascii="Arial" w:cs="Arial" w:eastAsia="Arial" w:hAnsi="Arial"/>
                <w:sz w:val="11"/>
                <w:szCs w:val="11"/>
                <w:b w:val="1"/>
                <w:bCs w:val="1"/>
                <w:color w:val="auto"/>
                <w:w w:val="92"/>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jc w:val="center"/>
              <w:ind w:left="203"/>
              <w:spacing w:after="0" w:line="113" w:lineRule="exact"/>
              <w:rPr>
                <w:sz w:val="20"/>
                <w:szCs w:val="20"/>
                <w:color w:val="auto"/>
              </w:rPr>
            </w:pPr>
            <w:r>
              <w:rPr>
                <w:rFonts w:ascii="Arial" w:cs="Arial" w:eastAsia="Arial" w:hAnsi="Arial"/>
                <w:sz w:val="11"/>
                <w:szCs w:val="11"/>
                <w:b w:val="1"/>
                <w:bCs w:val="1"/>
                <w:color w:val="auto"/>
                <w:w w:val="92"/>
              </w:rPr>
              <w:t>Average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vMerge w:val="restart"/>
          </w:tcPr>
          <w:p>
            <w:pPr>
              <w:jc w:val="center"/>
              <w:ind w:right="238"/>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020" w:type="dxa"/>
            <w:vAlign w:val="bottom"/>
          </w:tcPr>
          <w:p>
            <w:pPr>
              <w:jc w:val="center"/>
              <w:ind w:left="523"/>
              <w:spacing w:after="0" w:line="117" w:lineRule="exact"/>
              <w:rPr>
                <w:sz w:val="20"/>
                <w:szCs w:val="20"/>
                <w:color w:val="auto"/>
              </w:rPr>
            </w:pPr>
            <w:r>
              <w:rPr>
                <w:rFonts w:ascii="Arial" w:cs="Arial" w:eastAsia="Arial" w:hAnsi="Arial"/>
                <w:sz w:val="11"/>
                <w:szCs w:val="11"/>
                <w:b w:val="1"/>
                <w:bCs w:val="1"/>
                <w:color w:val="auto"/>
                <w:w w:val="93"/>
              </w:rPr>
              <w:t>Stock</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358"/>
              <w:spacing w:after="0" w:line="117" w:lineRule="exact"/>
              <w:rPr>
                <w:sz w:val="20"/>
                <w:szCs w:val="20"/>
                <w:color w:val="auto"/>
              </w:rPr>
            </w:pPr>
            <w:r>
              <w:rPr>
                <w:rFonts w:ascii="Arial" w:cs="Arial" w:eastAsia="Arial" w:hAnsi="Arial"/>
                <w:sz w:val="11"/>
                <w:szCs w:val="11"/>
                <w:b w:val="1"/>
                <w:bCs w:val="1"/>
                <w:color w:val="auto"/>
                <w:w w:val="88"/>
              </w:rPr>
              <w:t>Exercise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203"/>
              <w:spacing w:after="0" w:line="117" w:lineRule="exact"/>
              <w:rPr>
                <w:sz w:val="20"/>
                <w:szCs w:val="20"/>
                <w:color w:val="auto"/>
              </w:rPr>
            </w:pPr>
            <w:r>
              <w:rPr>
                <w:rFonts w:ascii="Arial" w:cs="Arial" w:eastAsia="Arial" w:hAnsi="Arial"/>
                <w:sz w:val="11"/>
                <w:szCs w:val="11"/>
                <w:b w:val="1"/>
                <w:bCs w:val="1"/>
                <w:color w:val="auto"/>
                <w:w w:val="92"/>
              </w:rPr>
              <w:t>Remaining</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020" w:type="dxa"/>
            <w:vAlign w:val="bottom"/>
            <w:tcBorders>
              <w:bottom w:val="single" w:sz="8" w:color="auto"/>
            </w:tcBorders>
          </w:tcPr>
          <w:p>
            <w:pPr>
              <w:jc w:val="center"/>
              <w:ind w:left="543"/>
              <w:spacing w:after="0"/>
              <w:rPr>
                <w:sz w:val="20"/>
                <w:szCs w:val="20"/>
                <w:color w:val="auto"/>
              </w:rPr>
            </w:pPr>
            <w:r>
              <w:rPr>
                <w:rFonts w:ascii="Arial" w:cs="Arial" w:eastAsia="Arial" w:hAnsi="Arial"/>
                <w:sz w:val="11"/>
                <w:szCs w:val="11"/>
                <w:b w:val="1"/>
                <w:bCs w:val="1"/>
                <w:color w:val="auto"/>
                <w:w w:val="91"/>
              </w:rPr>
              <w:t>Options</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center"/>
              <w:ind w:left="378"/>
              <w:spacing w:after="0"/>
              <w:rPr>
                <w:sz w:val="20"/>
                <w:szCs w:val="20"/>
                <w:color w:val="auto"/>
              </w:rPr>
            </w:pPr>
            <w:r>
              <w:rPr>
                <w:rFonts w:ascii="Arial" w:cs="Arial" w:eastAsia="Arial" w:hAnsi="Arial"/>
                <w:sz w:val="11"/>
                <w:szCs w:val="11"/>
                <w:b w:val="1"/>
                <w:bCs w:val="1"/>
                <w:color w:val="auto"/>
                <w:w w:val="96"/>
              </w:rPr>
              <w:t>Price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w w:val="96"/>
              </w:rPr>
              <w:t>Contractual Term</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378"/>
              <w:spacing w:after="0"/>
              <w:rPr>
                <w:sz w:val="20"/>
                <w:szCs w:val="20"/>
                <w:color w:val="auto"/>
              </w:rPr>
            </w:pPr>
            <w:r>
              <w:rPr>
                <w:rFonts w:ascii="Arial" w:cs="Arial" w:eastAsia="Arial" w:hAnsi="Arial"/>
                <w:sz w:val="11"/>
                <w:szCs w:val="11"/>
                <w:b w:val="1"/>
                <w:bCs w:val="1"/>
                <w:color w:val="auto"/>
                <w:w w:val="94"/>
              </w:rPr>
              <w:t>(per option)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(in years)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198"/>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2021</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6"/>
              </w:rPr>
              <w:t>4,117,671</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128,940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370,940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Forfeited</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161,697</w:t>
            </w:r>
          </w:p>
        </w:tc>
        <w:tc>
          <w:tcPr>
            <w:tcW w:w="10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2022</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6"/>
              </w:rPr>
              <w:t>3,713,974</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10,062</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Exercisable—December 31, 2022</w:t>
            </w:r>
          </w:p>
        </w:tc>
        <w:tc>
          <w:tcPr>
            <w:tcW w:w="620" w:type="dxa"/>
            <w:vAlign w:val="bottom"/>
          </w:tcPr>
          <w:p>
            <w:pPr>
              <w:jc w:val="right"/>
              <w:spacing w:after="0"/>
              <w:rPr>
                <w:sz w:val="20"/>
                <w:szCs w:val="20"/>
                <w:color w:val="auto"/>
              </w:rPr>
            </w:pPr>
            <w:r>
              <w:rPr>
                <w:rFonts w:ascii="Arial" w:cs="Arial" w:eastAsia="Arial" w:hAnsi="Arial"/>
                <w:sz w:val="14"/>
                <w:szCs w:val="14"/>
                <w:color w:val="auto"/>
                <w:w w:val="86"/>
              </w:rPr>
              <w:t>2,129,042</w:t>
            </w:r>
          </w:p>
        </w:tc>
        <w:tc>
          <w:tcPr>
            <w:tcW w:w="100" w:type="dxa"/>
            <w:vAlign w:val="bottom"/>
          </w:tcPr>
          <w:p>
            <w:pPr>
              <w:spacing w:after="0"/>
              <w:rPr>
                <w:sz w:val="14"/>
                <w:szCs w:val="14"/>
                <w:color w:val="auto"/>
              </w:rPr>
            </w:pPr>
          </w:p>
        </w:tc>
        <w:tc>
          <w:tcPr>
            <w:tcW w:w="1180" w:type="dxa"/>
            <w:vAlign w:val="bottom"/>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7,522</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120" w:firstLine="433"/>
        <w:spacing w:after="0" w:line="251" w:lineRule="auto"/>
        <w:rPr>
          <w:sz w:val="20"/>
          <w:szCs w:val="20"/>
          <w:color w:val="auto"/>
        </w:rPr>
      </w:pPr>
      <w:r>
        <w:rPr>
          <w:rFonts w:ascii="Arial" w:cs="Arial" w:eastAsia="Arial" w:hAnsi="Arial"/>
          <w:sz w:val="14"/>
          <w:szCs w:val="14"/>
          <w:color w:val="auto"/>
        </w:rPr>
        <w:t>The weighted average grant-date fair value of the service-based stock option awards granted during the years ended December 31, 2022 and 2021 was $6.98 per option and $5.62 per option, respectively. The aggregate intrinsic value of service-based stock options exercised was $2,026 and $66 for the years ended December 31, 2022 and 2021, respectively. The aggregate intrinsic value of stock options is calculated as the difference between the exercise price of the stock options and the fair value of the Company’s common stock for all stock options that had exercise prices lower than the fair value of the Company’s common stock.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380" w:firstLine="433"/>
        <w:spacing w:after="0" w:line="349" w:lineRule="auto"/>
        <w:rPr>
          <w:sz w:val="20"/>
          <w:szCs w:val="20"/>
          <w:color w:val="auto"/>
        </w:rPr>
      </w:pPr>
      <w:r>
        <w:rPr>
          <w:rFonts w:ascii="Arial" w:cs="Arial" w:eastAsia="Arial" w:hAnsi="Arial"/>
          <w:sz w:val="12"/>
          <w:szCs w:val="12"/>
          <w:color w:val="auto"/>
        </w:rPr>
        <w:t>In December 2019, the board of directors of the Company approved a one-time repricing of 1,877,785 outstanding service-based stock options for 53 grantees. In addition, the Company extended the expiration date of the modified stock options with the contractual term being 10 years from the date of the modification, while all other modified option terms remained the same.</w:t>
      </w:r>
    </w:p>
    <w:p>
      <w:pPr>
        <w:spacing w:after="0" w:line="97" w:lineRule="exact"/>
        <w:rPr>
          <w:sz w:val="20"/>
          <w:szCs w:val="20"/>
          <w:color w:val="auto"/>
        </w:rPr>
      </w:pPr>
    </w:p>
    <w:p>
      <w:pPr>
        <w:ind w:right="40" w:firstLine="433"/>
        <w:spacing w:after="0" w:line="304" w:lineRule="auto"/>
        <w:rPr>
          <w:sz w:val="20"/>
          <w:szCs w:val="20"/>
          <w:color w:val="auto"/>
        </w:rPr>
      </w:pPr>
      <w:r>
        <w:rPr>
          <w:rFonts w:ascii="Arial" w:cs="Arial" w:eastAsia="Arial" w:hAnsi="Arial"/>
          <w:sz w:val="13"/>
          <w:szCs w:val="13"/>
          <w:color w:val="auto"/>
        </w:rPr>
        <w:t>The fair value of the service-based stock options granted in 2022 and 2021 pursuant to the Stock Option Plan as well as the fair value of the modified in 2019 stock options was estimated on a grant or on a modification date using the Black-Scholes option-pricing model. The weighted average assumptions used in the Black-Scholes option-pricing model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2021</w:t>
            </w:r>
          </w:p>
        </w:tc>
      </w:tr>
      <w:tr>
        <w:trPr>
          <w:trHeight w:val="202"/>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expected term</w:t>
            </w:r>
          </w:p>
        </w:tc>
        <w:tc>
          <w:tcPr>
            <w:tcW w:w="1120" w:type="dxa"/>
            <w:vAlign w:val="bottom"/>
            <w:shd w:val="clear" w:color="auto" w:fill="CFF0FC"/>
          </w:tcPr>
          <w:p>
            <w:pPr>
              <w:jc w:val="center"/>
              <w:ind w:left="396"/>
              <w:spacing w:after="0"/>
              <w:rPr>
                <w:sz w:val="20"/>
                <w:szCs w:val="20"/>
                <w:color w:val="auto"/>
              </w:rPr>
            </w:pPr>
            <w:r>
              <w:rPr>
                <w:rFonts w:ascii="Arial" w:cs="Arial" w:eastAsia="Arial" w:hAnsi="Arial"/>
                <w:sz w:val="14"/>
                <w:szCs w:val="14"/>
                <w:color w:val="auto"/>
                <w:w w:val="88"/>
              </w:rPr>
              <w:t>7.00 years</w:t>
            </w: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 years</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Weighted average expected volatility</w:t>
            </w: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07"/>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risk-free interest rate</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2.86 %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1.19 %</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Weighted average expected dividend yield</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0 %</w:t>
            </w:r>
          </w:p>
        </w:tc>
      </w:tr>
    </w:tbl>
    <w:p>
      <w:pPr>
        <w:spacing w:after="0" w:line="266" w:lineRule="exact"/>
        <w:rPr>
          <w:sz w:val="20"/>
          <w:szCs w:val="20"/>
          <w:color w:val="auto"/>
        </w:rPr>
      </w:pPr>
    </w:p>
    <w:p>
      <w:pPr>
        <w:ind w:right="200" w:firstLine="433"/>
        <w:spacing w:after="0" w:line="259"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Represents the period that the stock-based awards are expected to be outstanding based on a contractual term and service conditions specified for the awards.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the expected term of the options with service conditions in accordance with the “simplified” method as defined in ASC 718, which enables the use of a practical expedient for “plain vanilla” share options.</w:t>
      </w:r>
    </w:p>
    <w:p>
      <w:pPr>
        <w:spacing w:after="0" w:line="137" w:lineRule="exact"/>
        <w:rPr>
          <w:sz w:val="20"/>
          <w:szCs w:val="20"/>
          <w:color w:val="auto"/>
        </w:rPr>
      </w:pPr>
    </w:p>
    <w:p>
      <w:pPr>
        <w:ind w:right="40" w:firstLine="433"/>
        <w:spacing w:after="0" w:line="259" w:lineRule="auto"/>
        <w:rPr>
          <w:sz w:val="20"/>
          <w:szCs w:val="20"/>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 The Company has historically been a private company and lacks company-specific historical and implied volatility information for its stock. Therefore,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37"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The risk-free interest rate was based on the yield, as of the option valuation date, by reference to the U.S. Treasury yield curve in effect at the time of the grant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modification of the award for time periods equal to the expected term of the award.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Company does not anticipate declaring a dividend over the expected term. As such, the dividend yield has been estimated to be zero.</w:t>
      </w:r>
    </w:p>
    <w:p>
      <w:pPr>
        <w:spacing w:after="0" w:line="168" w:lineRule="exact"/>
        <w:rPr>
          <w:sz w:val="20"/>
          <w:szCs w:val="20"/>
          <w:color w:val="auto"/>
        </w:rPr>
      </w:pPr>
    </w:p>
    <w:p>
      <w:pPr>
        <w:ind w:firstLine="433"/>
        <w:spacing w:after="0" w:line="247" w:lineRule="auto"/>
        <w:rPr>
          <w:sz w:val="20"/>
          <w:szCs w:val="20"/>
          <w:color w:val="auto"/>
        </w:rPr>
      </w:pPr>
      <w:r>
        <w:rPr>
          <w:rFonts w:ascii="Arial" w:cs="Arial" w:eastAsia="Arial" w:hAnsi="Arial"/>
          <w:sz w:val="14"/>
          <w:szCs w:val="14"/>
          <w:i w:val="1"/>
          <w:iCs w:val="1"/>
          <w:color w:val="auto"/>
        </w:rPr>
        <w:t>Fair Value of Common Stock</w:t>
      </w:r>
      <w:r>
        <w:rPr>
          <w:rFonts w:ascii="Arial" w:cs="Arial" w:eastAsia="Arial" w:hAnsi="Arial"/>
          <w:sz w:val="14"/>
          <w:szCs w:val="14"/>
          <w:color w:val="auto"/>
        </w:rPr>
        <w:t>— For stock awards granted subsequent to the IPO, the fair value of the common stock assumed for the grant date fair value of the awards will be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closing price of our common stock as reported on the day of grant. Prior to the IPO in October 2021, because there has been no public market for the Company’s common stock, the board of directors has determined the estimated fair value of the common stock at the time of grant of options by considering valuations performed by an independent third-party valuation specialist, which considers a number of objective and subjective factors including valuations of comparable companies, operating and financial performance, the lack of liquidity of capital stock, the likelihood of achieving an initial public offering and general and industry specific economic outlook. These third-party valuations were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The third-party common stock valuations were prepared using a combination of the income approach and market approach.</w:t>
      </w:r>
    </w:p>
    <w:p>
      <w:pPr>
        <w:spacing w:after="0" w:line="145" w:lineRule="exact"/>
        <w:rPr>
          <w:sz w:val="20"/>
          <w:szCs w:val="20"/>
          <w:color w:val="auto"/>
        </w:rPr>
      </w:pPr>
    </w:p>
    <w:p>
      <w:pPr>
        <w:ind w:right="300" w:firstLine="433"/>
        <w:spacing w:after="0" w:line="281" w:lineRule="auto"/>
        <w:rPr>
          <w:sz w:val="20"/>
          <w:szCs w:val="20"/>
          <w:color w:val="auto"/>
        </w:rPr>
      </w:pPr>
      <w:r>
        <w:rPr>
          <w:rFonts w:ascii="Arial" w:cs="Arial" w:eastAsia="Arial" w:hAnsi="Arial"/>
          <w:sz w:val="14"/>
          <w:szCs w:val="14"/>
          <w:color w:val="auto"/>
        </w:rPr>
        <w:t>As of December 31, 2022, there was $4,425 of total unrecognized compensation cost related to unvested service-based stock options, which is expected to be recognized over a weighted-average service period of 2.2 Years.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with Performance and Market-based Vesting Conditions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During the year ended December 31, 2021, the Company awarded options for the purchase 262,990 shares of common stock of the Company containing a performance-based vesting</w:t>
      </w:r>
    </w:p>
    <w:p>
      <w:pPr>
        <w:spacing w:after="0" w:line="31"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condition, subject to achievement of various performance goals by the end of 2027, including revenue and gross margin targets. In addition, during the year ended December 31, 2021, the Company awarded options to purchase 68,250 shares of common stock of the Company containing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performance and market vesting conditions, such as option vesting upon occurrence of an initial public offering or other qualifying liquidity event and upon achieving predetermined equity value of the Company at a time of the initial public offering or other qualifying liquidity event.</w:t>
      </w:r>
    </w:p>
    <w:p>
      <w:pPr>
        <w:spacing w:after="0" w:line="58"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During the year ended December 31, 2022, certain awards that contained a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the stock option activity during the year ended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100" w:type="dxa"/>
            <w:vAlign w:val="bottom"/>
            <w:vMerge w:val="restart"/>
          </w:tcPr>
          <w:p>
            <w:pPr>
              <w:jc w:val="center"/>
              <w:ind w:left="443"/>
              <w:spacing w:after="0"/>
              <w:rPr>
                <w:sz w:val="20"/>
                <w:szCs w:val="20"/>
                <w:color w:val="auto"/>
              </w:rPr>
            </w:pPr>
            <w:r>
              <w:rPr>
                <w:rFonts w:ascii="Arial" w:cs="Arial" w:eastAsia="Arial" w:hAnsi="Arial"/>
                <w:sz w:val="11"/>
                <w:szCs w:val="11"/>
                <w:b w:val="1"/>
                <w:bCs w:val="1"/>
                <w:color w:val="auto"/>
                <w:w w:val="94"/>
              </w:rPr>
              <w:t>Number of</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379"/>
              <w:spacing w:after="0"/>
              <w:rPr>
                <w:sz w:val="20"/>
                <w:szCs w:val="20"/>
                <w:color w:val="auto"/>
              </w:rPr>
            </w:pPr>
            <w:r>
              <w:rPr>
                <w:rFonts w:ascii="Arial" w:cs="Arial" w:eastAsia="Arial" w:hAnsi="Arial"/>
                <w:sz w:val="11"/>
                <w:szCs w:val="11"/>
                <w:b w:val="1"/>
                <w:bCs w:val="1"/>
                <w:color w:val="auto"/>
                <w:w w:val="93"/>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w:t>
            </w: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359"/>
              <w:spacing w:after="0" w:line="113" w:lineRule="exact"/>
              <w:rPr>
                <w:sz w:val="20"/>
                <w:szCs w:val="20"/>
                <w:color w:val="auto"/>
              </w:rPr>
            </w:pPr>
            <w:r>
              <w:rPr>
                <w:rFonts w:ascii="Arial" w:cs="Arial" w:eastAsia="Arial" w:hAnsi="Arial"/>
                <w:sz w:val="11"/>
                <w:szCs w:val="11"/>
                <w:b w:val="1"/>
                <w:bCs w:val="1"/>
                <w:color w:val="auto"/>
                <w:w w:val="92"/>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120"/>
              <w:spacing w:after="0" w:line="113" w:lineRule="exact"/>
              <w:rPr>
                <w:sz w:val="20"/>
                <w:szCs w:val="20"/>
                <w:color w:val="auto"/>
              </w:rPr>
            </w:pPr>
            <w:r>
              <w:rPr>
                <w:rFonts w:ascii="Arial" w:cs="Arial" w:eastAsia="Arial" w:hAnsi="Arial"/>
                <w:sz w:val="11"/>
                <w:szCs w:val="11"/>
                <w:b w:val="1"/>
                <w:bCs w:val="1"/>
                <w:color w:val="auto"/>
                <w:w w:val="92"/>
              </w:rPr>
              <w:t>Average</w:t>
            </w:r>
          </w:p>
        </w:tc>
        <w:tc>
          <w:tcPr>
            <w:tcW w:w="280" w:type="dxa"/>
            <w:vAlign w:val="bottom"/>
          </w:tcPr>
          <w:p>
            <w:pPr>
              <w:spacing w:after="0"/>
              <w:rPr>
                <w:sz w:val="9"/>
                <w:szCs w:val="9"/>
                <w:color w:val="auto"/>
              </w:rPr>
            </w:pPr>
          </w:p>
        </w:tc>
        <w:tc>
          <w:tcPr>
            <w:tcW w:w="1360" w:type="dxa"/>
            <w:vAlign w:val="bottom"/>
            <w:vMerge w:val="restart"/>
          </w:tcPr>
          <w:p>
            <w:pPr>
              <w:jc w:val="center"/>
              <w:ind w:right="240"/>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00" w:type="dxa"/>
            <w:vAlign w:val="bottom"/>
          </w:tcPr>
          <w:p>
            <w:pPr>
              <w:jc w:val="center"/>
              <w:ind w:left="443"/>
              <w:spacing w:after="0" w:line="117" w:lineRule="exact"/>
              <w:rPr>
                <w:sz w:val="20"/>
                <w:szCs w:val="20"/>
                <w:color w:val="auto"/>
              </w:rPr>
            </w:pPr>
            <w:r>
              <w:rPr>
                <w:rFonts w:ascii="Arial" w:cs="Arial" w:eastAsia="Arial" w:hAnsi="Arial"/>
                <w:sz w:val="11"/>
                <w:szCs w:val="11"/>
                <w:b w:val="1"/>
                <w:bCs w:val="1"/>
                <w:color w:val="auto"/>
                <w:w w:val="93"/>
              </w:rPr>
              <w:t>Stock</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359"/>
              <w:spacing w:after="0" w:line="117" w:lineRule="exact"/>
              <w:rPr>
                <w:sz w:val="20"/>
                <w:szCs w:val="20"/>
                <w:color w:val="auto"/>
              </w:rPr>
            </w:pPr>
            <w:r>
              <w:rPr>
                <w:rFonts w:ascii="Arial" w:cs="Arial" w:eastAsia="Arial" w:hAnsi="Arial"/>
                <w:sz w:val="11"/>
                <w:szCs w:val="11"/>
                <w:b w:val="1"/>
                <w:bCs w:val="1"/>
                <w:color w:val="auto"/>
                <w:w w:val="88"/>
              </w:rPr>
              <w:t>Exercise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2"/>
              </w:rPr>
              <w:t>Remaining</w:t>
            </w: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10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w w:val="91"/>
              </w:rPr>
              <w:t>Options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center"/>
              <w:ind w:left="379"/>
              <w:spacing w:after="0"/>
              <w:rPr>
                <w:sz w:val="20"/>
                <w:szCs w:val="20"/>
                <w:color w:val="auto"/>
              </w:rPr>
            </w:pPr>
            <w:r>
              <w:rPr>
                <w:rFonts w:ascii="Arial" w:cs="Arial" w:eastAsia="Arial" w:hAnsi="Arial"/>
                <w:sz w:val="11"/>
                <w:szCs w:val="11"/>
                <w:b w:val="1"/>
                <w:bCs w:val="1"/>
                <w:color w:val="auto"/>
                <w:w w:val="96"/>
              </w:rPr>
              <w:t>Price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Contractual Term</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379"/>
              <w:spacing w:after="0"/>
              <w:rPr>
                <w:sz w:val="20"/>
                <w:szCs w:val="20"/>
                <w:color w:val="auto"/>
              </w:rPr>
            </w:pPr>
            <w:r>
              <w:rPr>
                <w:rFonts w:ascii="Arial" w:cs="Arial" w:eastAsia="Arial" w:hAnsi="Arial"/>
                <w:sz w:val="11"/>
                <w:szCs w:val="11"/>
                <w:b w:val="1"/>
                <w:bCs w:val="1"/>
                <w:color w:val="auto"/>
                <w:w w:val="94"/>
              </w:rPr>
              <w:t>(per option)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(in years)</w:t>
            </w:r>
          </w:p>
        </w:tc>
        <w:tc>
          <w:tcPr>
            <w:tcW w:w="280" w:type="dxa"/>
            <w:vAlign w:val="bottom"/>
          </w:tcPr>
          <w:p>
            <w:pPr>
              <w:spacing w:after="0"/>
              <w:rPr>
                <w:sz w:val="13"/>
                <w:szCs w:val="13"/>
                <w:color w:val="auto"/>
              </w:rPr>
            </w:pPr>
          </w:p>
        </w:tc>
        <w:tc>
          <w:tcPr>
            <w:tcW w:w="1360" w:type="dxa"/>
            <w:vAlign w:val="bottom"/>
          </w:tcPr>
          <w:p>
            <w:pPr>
              <w:jc w:val="center"/>
              <w:ind w:right="200"/>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21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2021</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778,960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540" w:type="dxa"/>
            <w:vAlign w:val="bottom"/>
          </w:tcPr>
          <w:p>
            <w:pPr>
              <w:jc w:val="right"/>
              <w:spacing w:after="0"/>
              <w:rPr>
                <w:sz w:val="20"/>
                <w:szCs w:val="20"/>
                <w:color w:val="auto"/>
              </w:rPr>
            </w:pPr>
            <w:r>
              <w:rPr>
                <w:rFonts w:ascii="Arial" w:cs="Arial" w:eastAsia="Arial" w:hAnsi="Arial"/>
                <w:sz w:val="14"/>
                <w:szCs w:val="14"/>
                <w:color w:val="auto"/>
              </w:rPr>
              <w:t>38,675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540" w:type="dxa"/>
            <w:vAlign w:val="bottom"/>
          </w:tcPr>
          <w:p>
            <w:pPr>
              <w:jc w:val="right"/>
              <w:spacing w:after="0"/>
              <w:rPr>
                <w:sz w:val="20"/>
                <w:szCs w:val="20"/>
                <w:color w:val="auto"/>
              </w:rPr>
            </w:pPr>
            <w:r>
              <w:rPr>
                <w:rFonts w:ascii="Arial" w:cs="Arial" w:eastAsia="Arial" w:hAnsi="Arial"/>
                <w:sz w:val="14"/>
                <w:szCs w:val="14"/>
                <w:color w:val="auto"/>
              </w:rPr>
              <w:t>9,100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Outstanding—December 31, 2022</w:t>
            </w: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808,535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 of the stock options included in the table above are exercisable at December 31, 2022.</w:t>
      </w:r>
    </w:p>
    <w:p>
      <w:pPr>
        <w:spacing w:after="0" w:line="168" w:lineRule="exact"/>
        <w:rPr>
          <w:sz w:val="20"/>
          <w:szCs w:val="20"/>
          <w:color w:val="auto"/>
        </w:rPr>
      </w:pPr>
    </w:p>
    <w:p>
      <w:pPr>
        <w:ind w:right="140" w:firstLine="433"/>
        <w:spacing w:after="0" w:line="277" w:lineRule="auto"/>
        <w:rPr>
          <w:sz w:val="20"/>
          <w:szCs w:val="20"/>
          <w:color w:val="auto"/>
        </w:rPr>
      </w:pPr>
      <w:r>
        <w:rPr>
          <w:rFonts w:ascii="Arial" w:cs="Arial" w:eastAsia="Arial" w:hAnsi="Arial"/>
          <w:sz w:val="13"/>
          <w:szCs w:val="13"/>
          <w:color w:val="auto"/>
        </w:rPr>
        <w:t>The fair value of the awards with performance-based vesting condition was estimated using the Black-Scholes option-pricing model used for the Company’s service-based stock options and assumed that performance goals will be achieved. If such performance conditions are not met, no compensation cost is recognized and any recognized compensation cost is reversed. The grant-date fair value of the stock options with performance-based vesting condition granted during the years ended December 31, 2021 and 2020 was $4.38 per option and $4.56 per option, respectively. The Company has not granted any performance based options for the year ended December 31, 2022 other than the modified awards noted above.</w:t>
      </w:r>
    </w:p>
    <w:p>
      <w:pPr>
        <w:spacing w:after="0" w:line="127" w:lineRule="exact"/>
        <w:rPr>
          <w:sz w:val="20"/>
          <w:szCs w:val="20"/>
          <w:color w:val="auto"/>
        </w:rPr>
      </w:pPr>
    </w:p>
    <w:p>
      <w:pPr>
        <w:ind w:right="200" w:firstLine="433"/>
        <w:spacing w:after="0" w:line="252" w:lineRule="auto"/>
        <w:rPr>
          <w:sz w:val="20"/>
          <w:szCs w:val="20"/>
          <w:color w:val="auto"/>
        </w:rPr>
      </w:pPr>
      <w:r>
        <w:rPr>
          <w:rFonts w:ascii="Arial" w:cs="Arial" w:eastAsia="Arial" w:hAnsi="Arial"/>
          <w:sz w:val="14"/>
          <w:szCs w:val="14"/>
          <w:color w:val="auto"/>
        </w:rPr>
        <w:t>In December 2020, the board of directors of the Company approved a one-time modification of the options to purchase 579,670 shares of common stock containing both a performance and market vesting conditions to reduce the equity value required to be achieved at the time of the IPO or other qualifying liquidity event. All other option terms remained the same. In connection with the modification, the Company revalued the options using a Barrier option valuation model which resulted in a fair value of $2.11 per option. There was no incremental compensation expense recognized in connection with the modification during the year ended December 31, 2021, as the attainment of the performance and market vesting conditions was not probable. The assumptions used to revalue the performance and market-based stock option grants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expected term</w:t>
            </w:r>
          </w:p>
        </w:tc>
        <w:tc>
          <w:tcPr>
            <w:tcW w:w="4980" w:type="dxa"/>
            <w:vAlign w:val="bottom"/>
            <w:shd w:val="clear" w:color="auto" w:fill="CFF0FC"/>
          </w:tcPr>
          <w:p>
            <w:pPr>
              <w:jc w:val="right"/>
              <w:ind w:right="429"/>
              <w:spacing w:after="0"/>
              <w:rPr>
                <w:sz w:val="20"/>
                <w:szCs w:val="20"/>
                <w:color w:val="auto"/>
              </w:rPr>
            </w:pPr>
            <w:r>
              <w:rPr>
                <w:rFonts w:ascii="Arial" w:cs="Arial" w:eastAsia="Arial" w:hAnsi="Arial"/>
                <w:sz w:val="14"/>
                <w:szCs w:val="14"/>
                <w:color w:val="auto"/>
              </w:rPr>
              <w:t>2.44 years</w:t>
            </w:r>
          </w:p>
        </w:tc>
      </w:tr>
      <w:tr>
        <w:trPr>
          <w:trHeight w:val="196"/>
        </w:trPr>
        <w:tc>
          <w:tcPr>
            <w:tcW w:w="6300" w:type="dxa"/>
            <w:vAlign w:val="bottom"/>
          </w:tcPr>
          <w:p>
            <w:pPr>
              <w:ind w:left="20"/>
              <w:spacing w:after="0"/>
              <w:rPr>
                <w:sz w:val="20"/>
                <w:szCs w:val="20"/>
                <w:color w:val="auto"/>
              </w:rPr>
            </w:pPr>
            <w:r>
              <w:rPr>
                <w:rFonts w:ascii="Arial" w:cs="Arial" w:eastAsia="Arial" w:hAnsi="Arial"/>
                <w:sz w:val="14"/>
                <w:szCs w:val="14"/>
                <w:color w:val="auto"/>
              </w:rPr>
              <w:t>Weighted average expected volatility</w:t>
            </w:r>
          </w:p>
        </w:tc>
        <w:tc>
          <w:tcPr>
            <w:tcW w:w="498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07"/>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risk-free interest rate</w:t>
            </w:r>
          </w:p>
        </w:tc>
        <w:tc>
          <w:tcPr>
            <w:tcW w:w="4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0.16 %</w:t>
            </w:r>
          </w:p>
        </w:tc>
      </w:tr>
      <w:tr>
        <w:trPr>
          <w:trHeight w:val="191"/>
        </w:trPr>
        <w:tc>
          <w:tcPr>
            <w:tcW w:w="6300" w:type="dxa"/>
            <w:vAlign w:val="bottom"/>
          </w:tcPr>
          <w:p>
            <w:pPr>
              <w:ind w:left="20"/>
              <w:spacing w:after="0"/>
              <w:rPr>
                <w:sz w:val="20"/>
                <w:szCs w:val="20"/>
                <w:color w:val="auto"/>
              </w:rPr>
            </w:pPr>
            <w:r>
              <w:rPr>
                <w:rFonts w:ascii="Arial" w:cs="Arial" w:eastAsia="Arial" w:hAnsi="Arial"/>
                <w:sz w:val="14"/>
                <w:szCs w:val="14"/>
                <w:color w:val="auto"/>
              </w:rPr>
              <w:t>Weighted average expected dividend yield</w:t>
            </w:r>
          </w:p>
        </w:tc>
        <w:tc>
          <w:tcPr>
            <w:tcW w:w="4980" w:type="dxa"/>
            <w:vAlign w:val="bottom"/>
          </w:tcPr>
          <w:p>
            <w:pPr>
              <w:jc w:val="right"/>
              <w:spacing w:after="0"/>
              <w:rPr>
                <w:sz w:val="20"/>
                <w:szCs w:val="20"/>
                <w:color w:val="auto"/>
              </w:rPr>
            </w:pPr>
            <w:r>
              <w:rPr>
                <w:rFonts w:ascii="Arial" w:cs="Arial" w:eastAsia="Arial" w:hAnsi="Arial"/>
                <w:sz w:val="14"/>
                <w:szCs w:val="14"/>
                <w:color w:val="auto"/>
              </w:rPr>
              <w:t>0 %</w:t>
            </w:r>
          </w:p>
        </w:tc>
      </w:tr>
    </w:tbl>
    <w:p>
      <w:pPr>
        <w:spacing w:after="0" w:line="24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The period of time for which the stock option awards are expected to be outstanding until exercise and considers time until expected liquidity event.</w:t>
      </w:r>
    </w:p>
    <w:p>
      <w:pPr>
        <w:spacing w:after="0" w:line="168" w:lineRule="exact"/>
        <w:rPr>
          <w:sz w:val="20"/>
          <w:szCs w:val="20"/>
          <w:color w:val="auto"/>
        </w:rPr>
      </w:pPr>
    </w:p>
    <w:p>
      <w:pPr>
        <w:ind w:right="340" w:firstLine="433"/>
        <w:spacing w:after="0" w:line="265" w:lineRule="auto"/>
        <w:rPr>
          <w:sz w:val="20"/>
          <w:szCs w:val="20"/>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 The Company has historically been a private company and lacks company-specific historical and implied volatility information for its stock. Therefore,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volatility for option grants by evaluating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the average historical volatility of a peer group of companies for the period immediately preceding the option grant for a term that is approximately equal to the expected term of the options.</w:t>
      </w:r>
    </w:p>
    <w:p>
      <w:pPr>
        <w:spacing w:after="0" w:line="179" w:lineRule="exact"/>
        <w:rPr>
          <w:sz w:val="20"/>
          <w:szCs w:val="20"/>
          <w:color w:val="auto"/>
        </w:rPr>
      </w:pPr>
    </w:p>
    <w:p>
      <w:pPr>
        <w:ind w:right="300" w:firstLine="433"/>
        <w:spacing w:after="0" w:line="281" w:lineRule="auto"/>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The risk-free interest rate is based on the yield, as of the option valuation date, by reference to the U.S. Treasury yield curve in effect at the time of the grant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modification of the award for time periods equal to the expected term of the award.</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Company does not anticipate declaring a dividend over the expected term. As such, the dividend yield has been estimated to be zero.</w:t>
      </w:r>
    </w:p>
    <w:p>
      <w:pPr>
        <w:spacing w:after="0" w:line="168" w:lineRule="exact"/>
        <w:rPr>
          <w:sz w:val="20"/>
          <w:szCs w:val="20"/>
          <w:color w:val="auto"/>
        </w:rPr>
      </w:pPr>
    </w:p>
    <w:p>
      <w:pPr>
        <w:ind w:right="360" w:firstLine="433"/>
        <w:spacing w:after="0" w:line="281" w:lineRule="auto"/>
        <w:rPr>
          <w:sz w:val="20"/>
          <w:szCs w:val="20"/>
          <w:color w:val="auto"/>
        </w:rPr>
      </w:pPr>
      <w:r>
        <w:rPr>
          <w:rFonts w:ascii="Arial" w:cs="Arial" w:eastAsia="Arial" w:hAnsi="Arial"/>
          <w:sz w:val="14"/>
          <w:szCs w:val="14"/>
          <w:color w:val="auto"/>
        </w:rPr>
        <w:t>As of December 31, 2022, total unrecognized compensation cost related to the unvested stock option awards containing performance and market vesting conditions was $1,606, which is expected to be recognized over the period of approximately 4.22 years.</w:t>
      </w:r>
    </w:p>
    <w:p>
      <w:pPr>
        <w:spacing w:after="0" w:line="122" w:lineRule="exact"/>
        <w:rPr>
          <w:sz w:val="20"/>
          <w:szCs w:val="20"/>
          <w:color w:val="auto"/>
        </w:rPr>
      </w:pPr>
    </w:p>
    <w:p>
      <w:pPr>
        <w:jc w:val="both"/>
        <w:ind w:right="200" w:firstLine="433"/>
        <w:spacing w:after="0" w:line="288" w:lineRule="auto"/>
        <w:rPr>
          <w:sz w:val="20"/>
          <w:szCs w:val="20"/>
          <w:color w:val="auto"/>
        </w:rPr>
      </w:pPr>
      <w:r>
        <w:rPr>
          <w:rFonts w:ascii="Arial" w:cs="Arial" w:eastAsia="Arial" w:hAnsi="Arial"/>
          <w:sz w:val="13"/>
          <w:szCs w:val="13"/>
          <w:color w:val="auto"/>
        </w:rPr>
        <w:t>As of December 31, 2021, the unrecognized stock-based compensation cost related to the stock options for which performance-based vesting conditions are probable of being achieved was $403, which is expected to be recognized over the period of approximately 3.18 years. As of December 31, 2021, total unrecognized compensation cost related to the unvested stock option awards containing performance and market vesting conditions was $1,599, which will be recognized when attainment of the performance and market vesting conditions becomes probable.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and Restricted Stock Unit Awards ("RSUs")</w:t>
      </w:r>
    </w:p>
    <w:p>
      <w:pPr>
        <w:spacing w:after="0" w:line="168" w:lineRule="exact"/>
        <w:rPr>
          <w:sz w:val="20"/>
          <w:szCs w:val="20"/>
          <w:color w:val="auto"/>
        </w:rPr>
      </w:pPr>
    </w:p>
    <w:p>
      <w:pPr>
        <w:ind w:right="180" w:firstLine="433"/>
        <w:spacing w:after="0" w:line="251" w:lineRule="auto"/>
        <w:rPr>
          <w:sz w:val="20"/>
          <w:szCs w:val="20"/>
          <w:color w:val="auto"/>
        </w:rPr>
      </w:pPr>
      <w:r>
        <w:rPr>
          <w:rFonts w:ascii="Arial" w:cs="Arial" w:eastAsia="Arial" w:hAnsi="Arial"/>
          <w:sz w:val="14"/>
          <w:szCs w:val="14"/>
          <w:color w:val="auto"/>
        </w:rPr>
        <w:t>Restricted stock and RSUs were granted under the 2021 Plan and primarily vest based on continuous service. Currently, there is no restricted stock or RSUs that contain any performance or market conditions. The RSUs awarded to the employees have different vesting schedules as specified in each grant agreement. The RSUs granted to non-employee directors vested in full on the earlier of (i) the day immediately preceding the date of the first Annual Meeting following the date of grant and (ii) the first anniversary of the date of grant. The following table summarizes the restricted stock and RSU activity for the year ended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240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 Restricted Stock or RSU Awards</w:t>
            </w:r>
          </w:p>
        </w:tc>
        <w:tc>
          <w:tcPr>
            <w:tcW w:w="100" w:type="dxa"/>
            <w:vAlign w:val="bottom"/>
          </w:tcPr>
          <w:p>
            <w:pPr>
              <w:spacing w:after="0"/>
              <w:rPr>
                <w:sz w:val="13"/>
                <w:szCs w:val="13"/>
                <w:color w:val="auto"/>
              </w:rPr>
            </w:pPr>
          </w:p>
        </w:tc>
        <w:tc>
          <w:tcPr>
            <w:tcW w:w="2140" w:type="dxa"/>
            <w:vAlign w:val="bottom"/>
          </w:tcPr>
          <w:p>
            <w:pPr>
              <w:jc w:val="right"/>
              <w:ind w:right="52"/>
              <w:spacing w:after="0"/>
              <w:rPr>
                <w:sz w:val="20"/>
                <w:szCs w:val="20"/>
                <w:color w:val="auto"/>
              </w:rPr>
            </w:pPr>
            <w:r>
              <w:rPr>
                <w:rFonts w:ascii="Arial" w:cs="Arial" w:eastAsia="Arial" w:hAnsi="Arial"/>
                <w:sz w:val="11"/>
                <w:szCs w:val="11"/>
                <w:b w:val="1"/>
                <w:bCs w:val="1"/>
                <w:color w:val="auto"/>
                <w:w w:val="94"/>
              </w:rPr>
              <w:t>Weighted Average Grant Date Fair Value</w:t>
            </w:r>
          </w:p>
        </w:tc>
      </w:tr>
      <w:tr>
        <w:trPr>
          <w:trHeight w:val="21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 December 31, 2021</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Granted</w:t>
            </w:r>
          </w:p>
        </w:tc>
        <w:tc>
          <w:tcPr>
            <w:tcW w:w="2260" w:type="dxa"/>
            <w:vAlign w:val="bottom"/>
          </w:tcPr>
          <w:p>
            <w:pPr>
              <w:jc w:val="right"/>
              <w:spacing w:after="0"/>
              <w:rPr>
                <w:sz w:val="20"/>
                <w:szCs w:val="20"/>
                <w:color w:val="auto"/>
              </w:rPr>
            </w:pPr>
            <w:r>
              <w:rPr>
                <w:rFonts w:ascii="Arial" w:cs="Arial" w:eastAsia="Arial" w:hAnsi="Arial"/>
                <w:sz w:val="14"/>
                <w:szCs w:val="14"/>
                <w:color w:val="auto"/>
              </w:rPr>
              <w:t>342,637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12.97</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Forfeited/Cancelled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41,613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w:t>
            </w: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 December 31, 2022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666,177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0" w:firstLine="509"/>
        <w:spacing w:after="0" w:line="233" w:lineRule="auto"/>
        <w:rPr>
          <w:sz w:val="20"/>
          <w:szCs w:val="20"/>
          <w:color w:val="auto"/>
        </w:rPr>
      </w:pPr>
      <w:r>
        <w:rPr>
          <w:rFonts w:ascii="Arial" w:cs="Arial" w:eastAsia="Arial" w:hAnsi="Arial"/>
          <w:sz w:val="14"/>
          <w:szCs w:val="14"/>
          <w:color w:val="auto"/>
        </w:rPr>
        <w:t>Also included in these awards are $3 million of shares of restricted common stock granted to entities affiliated with a significant customer, at a price per share granted at the initial public offering price per share of $15.00, or 200,000 restricted shares, in exchange for an amendment to extend the distributor agreement term to June 10, 2026. Assuming the distribution agreement has not been terminated by either party for cause, 50% of the shares are released on October 11, 2023 and the remaining 50% are released on October 11,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73" w:lineRule="exact"/>
        <w:rPr>
          <w:sz w:val="20"/>
          <w:szCs w:val="20"/>
          <w:color w:val="auto"/>
        </w:rPr>
      </w:pPr>
    </w:p>
    <w:p>
      <w:pPr>
        <w:ind w:right="180" w:firstLine="509"/>
        <w:spacing w:after="0" w:line="237" w:lineRule="auto"/>
        <w:rPr>
          <w:sz w:val="20"/>
          <w:szCs w:val="20"/>
          <w:color w:val="auto"/>
        </w:rPr>
      </w:pPr>
      <w:r>
        <w:rPr>
          <w:rFonts w:ascii="Arial" w:cs="Arial" w:eastAsia="Arial" w:hAnsi="Arial"/>
          <w:sz w:val="14"/>
          <w:szCs w:val="14"/>
          <w:color w:val="auto"/>
        </w:rPr>
        <w:t>The aggregate grant date fair value of RSUs granted during 2022 and 2021 was $4,445 and $3,837, respectively. At December 31, 2022, there was $5,035 of unrecognized stock compensation expense related to non-vested RSUs, which is expected to be recognized over a weighted average period of 2.7 years. At December 31, 2021, there was $3,261 of unrecognized stock compensation expense related to non-vested RSUs, which is expected to be recognized over a weighted average period of 2.1 years.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Income Taxes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domestic and foreign components of the Company’s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1"/>
                <w:szCs w:val="11"/>
                <w:b w:val="1"/>
                <w:bCs w:val="1"/>
                <w:color w:val="auto"/>
                <w:w w:val="93"/>
              </w:rPr>
              <w:t>Year Ended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11"/>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Domestic</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5,634</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15,085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33,412</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5,207</w:t>
            </w: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9,144</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10,188</w:t>
            </w: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10,841</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24,229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ind w:left="440"/>
              <w:spacing w:after="0"/>
              <w:rPr>
                <w:sz w:val="20"/>
                <w:szCs w:val="20"/>
                <w:color w:val="auto"/>
              </w:rPr>
            </w:pPr>
            <w:r>
              <w:rPr>
                <w:rFonts w:ascii="Arial" w:cs="Arial" w:eastAsia="Arial" w:hAnsi="Arial"/>
                <w:sz w:val="14"/>
                <w:szCs w:val="14"/>
                <w:color w:val="auto"/>
                <w:w w:val="93"/>
              </w:rPr>
              <w:t>The income tax expense for the years ended December 31, 2022, 2021, and 2020 consist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1"/>
                <w:szCs w:val="11"/>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6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11"/>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1"/>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w:t>
            </w:r>
          </w:p>
        </w:tc>
        <w:tc>
          <w:tcPr>
            <w:tcW w:w="3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26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3,654</w:t>
            </w: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State and local</w:t>
            </w: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965</w:t>
            </w: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6,096</w:t>
            </w:r>
          </w:p>
        </w:tc>
        <w:tc>
          <w:tcPr>
            <w:tcW w:w="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6,854</w:t>
            </w: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176"/>
        </w:trPr>
        <w:tc>
          <w:tcPr>
            <w:tcW w:w="6640" w:type="dxa"/>
            <w:vAlign w:val="bottom"/>
          </w:tcPr>
          <w:p>
            <w:pPr>
              <w:ind w:left="20"/>
              <w:spacing w:after="0"/>
              <w:rPr>
                <w:sz w:val="20"/>
                <w:szCs w:val="20"/>
                <w:color w:val="auto"/>
              </w:rPr>
            </w:pPr>
            <w:r>
              <w:rPr>
                <w:rFonts w:ascii="Arial" w:cs="Arial" w:eastAsia="Arial" w:hAnsi="Arial"/>
                <w:sz w:val="14"/>
                <w:szCs w:val="14"/>
                <w:color w:val="auto"/>
              </w:rPr>
              <w:t>Deferred</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(2,940)</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96"/>
        </w:trPr>
        <w:tc>
          <w:tcPr>
            <w:tcW w:w="6640" w:type="dxa"/>
            <w:vAlign w:val="bottom"/>
          </w:tcPr>
          <w:p>
            <w:pPr>
              <w:ind w:left="260"/>
              <w:spacing w:after="0"/>
              <w:rPr>
                <w:sz w:val="20"/>
                <w:szCs w:val="20"/>
                <w:color w:val="auto"/>
              </w:rPr>
            </w:pPr>
            <w:r>
              <w:rPr>
                <w:rFonts w:ascii="Arial" w:cs="Arial" w:eastAsia="Arial" w:hAnsi="Arial"/>
                <w:sz w:val="14"/>
                <w:szCs w:val="14"/>
                <w:color w:val="auto"/>
              </w:rPr>
              <w:t>State and local</w:t>
            </w:r>
          </w:p>
        </w:tc>
        <w:tc>
          <w:tcPr>
            <w:tcW w:w="3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0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710</w:t>
            </w:r>
          </w:p>
        </w:tc>
        <w:tc>
          <w:tcPr>
            <w:tcW w:w="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(1,284)</w:t>
            </w: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(3,069)</w:t>
            </w:r>
          </w:p>
        </w:tc>
        <w:tc>
          <w:tcPr>
            <w:tcW w:w="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w:t>
            </w: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3,027</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10,913</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ind w:left="440"/>
              <w:spacing w:after="0"/>
              <w:rPr>
                <w:sz w:val="20"/>
                <w:szCs w:val="20"/>
                <w:color w:val="auto"/>
              </w:rPr>
            </w:pPr>
            <w:r>
              <w:rPr>
                <w:rFonts w:ascii="Arial" w:cs="Arial" w:eastAsia="Arial" w:hAnsi="Arial"/>
                <w:sz w:val="14"/>
                <w:szCs w:val="14"/>
                <w:color w:val="auto"/>
              </w:rPr>
              <w:t>The reconciliation of the U.S. federal statutory rate to the Company’s effective rate is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1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43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 benefit using U.S. federal statutory rate</w:t>
            </w:r>
          </w:p>
        </w:tc>
        <w:tc>
          <w:tcPr>
            <w:tcW w:w="3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87"/>
              </w:rPr>
              <w:t>21.0 %</w:t>
            </w: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State and local taxes. net of U.S. federal income tax benefit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Global intangible low-taxed income</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 %</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(3.9 %)</w:t>
            </w: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 %</w:t>
            </w:r>
          </w:p>
        </w:tc>
        <w:tc>
          <w:tcPr>
            <w:tcW w:w="12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Officer's compensation limitation</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4.4 %</w:t>
            </w:r>
          </w:p>
        </w:tc>
        <w:tc>
          <w:tcPr>
            <w:tcW w:w="100" w:type="dxa"/>
            <w:vAlign w:val="bottom"/>
            <w:shd w:val="clear" w:color="auto" w:fill="CFF0FC"/>
          </w:tcPr>
          <w:p>
            <w:pPr>
              <w:spacing w:after="0"/>
              <w:rPr>
                <w:sz w:val="18"/>
                <w:szCs w:val="18"/>
                <w:color w:val="auto"/>
              </w:rPr>
            </w:pPr>
          </w:p>
        </w:tc>
        <w:tc>
          <w:tcPr>
            <w:tcW w:w="1340" w:type="dxa"/>
            <w:vAlign w:val="bottom"/>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 %</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Tax attribute expiration</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1340" w:type="dxa"/>
            <w:vAlign w:val="bottom"/>
            <w:gridSpan w:val="4"/>
          </w:tcPr>
          <w:p>
            <w:pPr>
              <w:ind w:left="880"/>
              <w:spacing w:after="0"/>
              <w:rPr>
                <w:sz w:val="20"/>
                <w:szCs w:val="20"/>
                <w:color w:val="auto"/>
              </w:rPr>
            </w:pPr>
            <w:r>
              <w:rPr>
                <w:rFonts w:ascii="Arial" w:cs="Arial" w:eastAsia="Arial" w:hAnsi="Arial"/>
                <w:sz w:val="14"/>
                <w:szCs w:val="14"/>
                <w:color w:val="auto"/>
              </w:rPr>
              <w:t>— %</w:t>
            </w:r>
          </w:p>
        </w:tc>
        <w:tc>
          <w:tcPr>
            <w:tcW w:w="124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Permanent differences</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Foreign rate differential</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(2.9 %)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derived intangible income</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2"/>
              </w:rPr>
              <w:t>(3.6 %)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to provision</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 %</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(0.6 %)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IPO costs</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 %</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87"/>
              </w:rPr>
              <w:t>27.9 %</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tax assets and liabilities at December 31, 2022 and 2021,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19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Assets:</w:t>
            </w:r>
          </w:p>
        </w:tc>
        <w:tc>
          <w:tcPr>
            <w:tcW w:w="9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Inventory reserves</w:t>
            </w:r>
          </w:p>
        </w:tc>
        <w:tc>
          <w:tcPr>
            <w:tcW w:w="940" w:type="dxa"/>
            <w:vAlign w:val="bottom"/>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Reserves and accruals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2,632</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operating loss carryforwards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5,454</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Charitable contributions carryforward</w:t>
            </w:r>
          </w:p>
        </w:tc>
        <w:tc>
          <w:tcPr>
            <w:tcW w:w="9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liability</w:t>
            </w:r>
          </w:p>
        </w:tc>
        <w:tc>
          <w:tcPr>
            <w:tcW w:w="9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220" w:type="dxa"/>
            <w:vAlign w:val="bottom"/>
          </w:tcPr>
          <w:p>
            <w:pPr>
              <w:ind w:left="260"/>
              <w:spacing w:after="0"/>
              <w:rPr>
                <w:sz w:val="20"/>
                <w:szCs w:val="20"/>
                <w:color w:val="auto"/>
              </w:rPr>
            </w:pPr>
            <w:r>
              <w:rPr>
                <w:rFonts w:ascii="Arial" w:cs="Arial" w:eastAsia="Arial" w:hAnsi="Arial"/>
                <w:sz w:val="14"/>
                <w:szCs w:val="14"/>
                <w:color w:val="auto"/>
              </w:rPr>
              <w:t>Subtotal</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9,872</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Valuation allowance</w:t>
            </w:r>
          </w:p>
        </w:tc>
        <w:tc>
          <w:tcPr>
            <w:tcW w:w="9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(4,586)</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(4,267)</w:t>
            </w:r>
          </w:p>
        </w:tc>
      </w:tr>
      <w:tr>
        <w:trPr>
          <w:trHeight w:val="187"/>
        </w:trPr>
        <w:tc>
          <w:tcPr>
            <w:tcW w:w="8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Total deferred tax assets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6,857</w:t>
            </w: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5,605</w:t>
            </w:r>
          </w:p>
        </w:tc>
      </w:tr>
      <w:tr>
        <w:trPr>
          <w:trHeight w:val="18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Liabilities:</w:t>
            </w:r>
          </w:p>
        </w:tc>
        <w:tc>
          <w:tcPr>
            <w:tcW w:w="9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Prepaid insurance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(3,453)</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Fixed assets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Other—Net</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deferred tax liabilities</w:t>
            </w:r>
          </w:p>
        </w:tc>
        <w:tc>
          <w:tcPr>
            <w:tcW w:w="9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(4,340)</w:t>
            </w:r>
          </w:p>
        </w:tc>
      </w:tr>
      <w:tr>
        <w:trPr>
          <w:trHeight w:val="187"/>
        </w:trPr>
        <w:tc>
          <w:tcPr>
            <w:tcW w:w="8220" w:type="dxa"/>
            <w:vAlign w:val="bottom"/>
          </w:tcPr>
          <w:p>
            <w:pPr>
              <w:ind w:left="260"/>
              <w:spacing w:after="0"/>
              <w:rPr>
                <w:sz w:val="20"/>
                <w:szCs w:val="20"/>
                <w:color w:val="auto"/>
              </w:rPr>
            </w:pPr>
            <w:r>
              <w:rPr>
                <w:rFonts w:ascii="Arial" w:cs="Arial" w:eastAsia="Arial" w:hAnsi="Arial"/>
                <w:sz w:val="14"/>
                <w:szCs w:val="14"/>
                <w:color w:val="auto"/>
              </w:rPr>
              <w:t>Net deferred tax assets (liability)</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A valuation allowance of $4,586 and $4,267 was recorded against the non-US deferred tax asset balance as of December 31, 2022 and 2021, respectively. As of each reporting date, management considers new evidence, both positive and negative, that could affect its view of the future realization of deferred tax assets. As of December 31, 2022 and 2021, management determined that there is sufficient positive evidence to conclude that it is more likely than not that the US deferred taxes are realizable. A valuation allowance has been established against the net operating loss carryforwards which has been generated by our foreign jurisdictions.</w:t>
      </w:r>
    </w:p>
    <w:p>
      <w:pPr>
        <w:spacing w:after="0" w:line="154" w:lineRule="exact"/>
        <w:rPr>
          <w:sz w:val="20"/>
          <w:szCs w:val="20"/>
          <w:color w:val="auto"/>
        </w:rPr>
      </w:pPr>
    </w:p>
    <w:p>
      <w:pPr>
        <w:jc w:val="both"/>
        <w:ind w:right="120" w:firstLine="433"/>
        <w:spacing w:after="0" w:line="349" w:lineRule="auto"/>
        <w:rPr>
          <w:sz w:val="20"/>
          <w:szCs w:val="20"/>
          <w:color w:val="auto"/>
        </w:rPr>
      </w:pPr>
      <w:r>
        <w:rPr>
          <w:rFonts w:ascii="Arial" w:cs="Arial" w:eastAsia="Arial" w:hAnsi="Arial"/>
          <w:sz w:val="12"/>
          <w:szCs w:val="12"/>
          <w:color w:val="auto"/>
        </w:rPr>
        <w:t>As of December 31, 2022 and 2021, the Company had no US state and federal net operating loss carryforwards. As of December 31, 2022 and 2021, the Company had net operating loss carryforwards related to foreign operations of $22,987 and $24,920, respectively. These net operating loss carryforwards have various lives ranging from 10 years to indefinite carryforward periods.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reconciliation of the beginning and ending amount of income tax uncertainties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92"/>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11"/>
        </w:trPr>
        <w:tc>
          <w:tcPr>
            <w:tcW w:w="9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 as of January 1, 2022</w:t>
            </w:r>
          </w:p>
        </w:tc>
        <w:tc>
          <w:tcPr>
            <w:tcW w:w="380" w:type="dxa"/>
            <w:vAlign w:val="bottom"/>
            <w:shd w:val="clear" w:color="auto" w:fill="CFF0FC"/>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9720" w:type="dxa"/>
            <w:vAlign w:val="bottom"/>
          </w:tcPr>
          <w:p>
            <w:pPr>
              <w:ind w:left="20"/>
              <w:spacing w:after="0"/>
              <w:rPr>
                <w:sz w:val="20"/>
                <w:szCs w:val="20"/>
                <w:color w:val="auto"/>
              </w:rPr>
            </w:pPr>
            <w:r>
              <w:rPr>
                <w:rFonts w:ascii="Arial" w:cs="Arial" w:eastAsia="Arial" w:hAnsi="Arial"/>
                <w:sz w:val="14"/>
                <w:szCs w:val="14"/>
                <w:color w:val="auto"/>
              </w:rPr>
              <w:t>Additions based on tax positions related to prior years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27"/>
        </w:trPr>
        <w:tc>
          <w:tcPr>
            <w:tcW w:w="9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Additions based on tax positions related to current year</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Ending balance as of December 31, 2022</w:t>
            </w: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720" w:type="dxa"/>
            <w:vAlign w:val="bottom"/>
            <w:vMerge w:val="continue"/>
          </w:tcPr>
          <w:p>
            <w:pPr>
              <w:spacing w:after="0"/>
              <w:rPr>
                <w:sz w:val="13"/>
                <w:szCs w:val="13"/>
                <w:color w:val="auto"/>
              </w:rPr>
            </w:pPr>
          </w:p>
        </w:tc>
        <w:tc>
          <w:tcPr>
            <w:tcW w:w="380" w:type="dxa"/>
            <w:vAlign w:val="bottom"/>
          </w:tcPr>
          <w:p>
            <w:pPr>
              <w:jc w:val="right"/>
              <w:ind w:right="229"/>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100" w:firstLine="433"/>
        <w:spacing w:after="0" w:line="288" w:lineRule="auto"/>
        <w:rPr>
          <w:sz w:val="20"/>
          <w:szCs w:val="20"/>
          <w:color w:val="auto"/>
        </w:rPr>
      </w:pPr>
      <w:r>
        <w:rPr>
          <w:rFonts w:ascii="Arial" w:cs="Arial" w:eastAsia="Arial" w:hAnsi="Arial"/>
          <w:sz w:val="13"/>
          <w:szCs w:val="13"/>
          <w:color w:val="auto"/>
        </w:rPr>
        <w:t>As of December 31, 2022 and 2021, there were $144 and $0 liabilities for income tax uncertainties recorded in the Company’s consolidated balance sheets. The Company recognized interest and penalties related to income tax uncertainties of $50 and $0 in its consolidated balance sheets or consolidated statements of operations for years ended December 31, 2022 and 2021, respectively. The Company is subject to income tax examinations by the IRS and various state and local jurisdictions for the open tax years between December 31, 2019 and December 31, 2022.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color w:val="auto"/>
        </w:rPr>
        <w:t>As of December 31, 2022 and 2021, income taxes on undistributed earnings of the Company’s foreign subsidiaries have not been provided for as the Company plans to indefinitely reinvest these amounts. The cumulative undistributed foreign earnings were not material as of December 31, 2022 and 2021.</w:t>
      </w:r>
    </w:p>
    <w:p>
      <w:pPr>
        <w:spacing w:after="0" w:line="143" w:lineRule="exact"/>
        <w:rPr>
          <w:sz w:val="20"/>
          <w:szCs w:val="20"/>
          <w:color w:val="auto"/>
        </w:rPr>
      </w:pPr>
    </w:p>
    <w:p>
      <w:pPr>
        <w:ind w:right="220" w:firstLine="433"/>
        <w:spacing w:after="0" w:line="251" w:lineRule="auto"/>
        <w:rPr>
          <w:sz w:val="20"/>
          <w:szCs w:val="20"/>
          <w:color w:val="auto"/>
        </w:rPr>
      </w:pPr>
      <w:r>
        <w:rPr>
          <w:rFonts w:ascii="Arial" w:cs="Arial" w:eastAsia="Arial" w:hAnsi="Arial"/>
          <w:sz w:val="14"/>
          <w:szCs w:val="14"/>
          <w:color w:val="auto"/>
        </w:rPr>
        <w:t>During the second quarter of 2021, the Finance Act 2021 (the Finance Act) was enacted in the United Kingdom. The Finance Act increases the corporate income tax rate from 19% to 25% effective April 1, 2023 and enhances the first-year capital allowance on qualifying new plant and machinery assets effective April 1, 2021. The effects on the Company’s existing deferred tax balances have been recorded and is offset by the valuation allowance maintained against the Company’s U.K. net deferred tax assets.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Earnings Per Share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Basic and diluted earnings per share is calculated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5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1"/>
              </w:rPr>
              <w:t>Numerator:</w:t>
            </w:r>
          </w:p>
        </w:tc>
        <w:tc>
          <w:tcPr>
            <w:tcW w:w="59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Net income attributable to The Vita Coco Company, Inc.</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7,814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19,015</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32,660</w:t>
            </w:r>
          </w:p>
        </w:tc>
        <w:tc>
          <w:tcPr>
            <w:tcW w:w="0" w:type="dxa"/>
            <w:vAlign w:val="bottom"/>
          </w:tcPr>
          <w:p>
            <w:pPr>
              <w:spacing w:after="0"/>
              <w:rPr>
                <w:sz w:val="1"/>
                <w:szCs w:val="1"/>
                <w:color w:val="auto"/>
              </w:rPr>
            </w:pPr>
          </w:p>
        </w:tc>
      </w:tr>
      <w:tr>
        <w:trPr>
          <w:trHeight w:val="207"/>
        </w:trPr>
        <w:tc>
          <w:tcPr>
            <w:tcW w:w="20" w:type="dxa"/>
            <w:vAlign w:val="bottom"/>
            <w:shd w:val="clear" w:color="auto" w:fill="CFF0FC"/>
          </w:tcPr>
          <w:p>
            <w:pPr>
              <w:spacing w:after="0"/>
              <w:rPr>
                <w:sz w:val="18"/>
                <w:szCs w:val="18"/>
                <w:color w:val="auto"/>
              </w:rPr>
            </w:pPr>
          </w:p>
        </w:tc>
        <w:tc>
          <w:tcPr>
            <w:tcW w:w="6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Denominator:</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Weighted-average number of common shares used in earnings per share—basic</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55,732,619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53,689,910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58,501,170</w:t>
            </w:r>
          </w:p>
        </w:tc>
        <w:tc>
          <w:tcPr>
            <w:tcW w:w="0" w:type="dxa"/>
            <w:vAlign w:val="bottom"/>
          </w:tcPr>
          <w:p>
            <w:pPr>
              <w:spacing w:after="0"/>
              <w:rPr>
                <w:sz w:val="1"/>
                <w:szCs w:val="1"/>
                <w:color w:val="auto"/>
              </w:rPr>
            </w:pPr>
          </w:p>
        </w:tc>
      </w:tr>
      <w:tr>
        <w:trPr>
          <w:trHeight w:val="207"/>
        </w:trPr>
        <w:tc>
          <w:tcPr>
            <w:tcW w:w="20" w:type="dxa"/>
            <w:vAlign w:val="bottom"/>
            <w:shd w:val="clear" w:color="auto" w:fill="CFF0FC"/>
          </w:tcPr>
          <w:p>
            <w:pPr>
              <w:spacing w:after="0"/>
              <w:rPr>
                <w:sz w:val="18"/>
                <w:szCs w:val="18"/>
                <w:color w:val="auto"/>
              </w:rPr>
            </w:pPr>
          </w:p>
        </w:tc>
        <w:tc>
          <w:tcPr>
            <w:tcW w:w="66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Effect of conversion of stock options and RSU's</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391,042</w:t>
            </w: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496,211</w:t>
            </w: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Weighted-average number of common shares used in earnings per share—diluted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56,123,661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54,186,121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58,610,825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59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7"/>
                <w:szCs w:val="17"/>
                <w:color w:val="auto"/>
              </w:rPr>
            </w:pPr>
          </w:p>
        </w:tc>
        <w:tc>
          <w:tcPr>
            <w:tcW w:w="6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Earnings per share—basic</w:t>
            </w:r>
          </w:p>
        </w:tc>
        <w:tc>
          <w:tcPr>
            <w:tcW w:w="36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0.14</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66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Earnings per share—diluted</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6620" w:type="dxa"/>
            <w:vAlign w:val="bottom"/>
            <w:gridSpan w:val="2"/>
            <w:vMerge w:val="continue"/>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500"/>
        <w:spacing w:after="0" w:line="265" w:lineRule="auto"/>
        <w:rPr>
          <w:sz w:val="20"/>
          <w:szCs w:val="20"/>
          <w:color w:val="auto"/>
        </w:rPr>
      </w:pPr>
      <w:r>
        <w:rPr>
          <w:rFonts w:ascii="Arial" w:cs="Arial" w:eastAsia="Arial" w:hAnsi="Arial"/>
          <w:sz w:val="14"/>
          <w:szCs w:val="14"/>
          <w:color w:val="auto"/>
        </w:rPr>
        <w:t>The vested service warrants are exercisable for little consideration and all necessary conditions have been satisfied as of December 31, 2021. Accordingly, the calculation of weighted average common shares outstanding includes vested service warrants, exercisable for a value of $0.000022.</w:t>
      </w:r>
    </w:p>
    <w:p>
      <w:pPr>
        <w:spacing w:after="0" w:line="143" w:lineRule="exact"/>
        <w:rPr>
          <w:sz w:val="20"/>
          <w:szCs w:val="20"/>
          <w:color w:val="auto"/>
        </w:rPr>
      </w:pPr>
    </w:p>
    <w:p>
      <w:pPr>
        <w:ind w:right="160" w:firstLine="382"/>
        <w:spacing w:after="0" w:line="267" w:lineRule="auto"/>
        <w:rPr>
          <w:sz w:val="20"/>
          <w:szCs w:val="20"/>
          <w:color w:val="auto"/>
        </w:rPr>
      </w:pPr>
      <w:r>
        <w:rPr>
          <w:rFonts w:ascii="Arial" w:cs="Arial" w:eastAsia="Arial" w:hAnsi="Arial"/>
          <w:sz w:val="14"/>
          <w:szCs w:val="14"/>
          <w:color w:val="auto"/>
        </w:rPr>
        <w:t>All exit warrants expired as of December 31, 2021. Before expiration, for the year ended December 31, 2021, the exit warrants, which expired upon a liquidity event and only vest when proceeds from a liquidity event provide an annual internal rate of return of less than 30%, were not considered in the basic and diluted earnings per share, as the contingency of a liquidity event had not occurred.</w:t>
      </w:r>
    </w:p>
    <w:p>
      <w:pPr>
        <w:spacing w:after="0" w:line="142"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90" w:lineRule="exact"/>
        <w:rPr>
          <w:sz w:val="20"/>
          <w:szCs w:val="20"/>
          <w:color w:val="auto"/>
        </w:rPr>
      </w:pPr>
    </w:p>
    <w:p>
      <w:pPr>
        <w:ind w:left="864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2020</w:t>
            </w:r>
          </w:p>
        </w:tc>
      </w:tr>
      <w:tr>
        <w:trPr>
          <w:trHeight w:val="221"/>
        </w:trPr>
        <w:tc>
          <w:tcPr>
            <w:tcW w:w="6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to purchase common stock</w:t>
            </w: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1,880,904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1,288,350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3,719,625</w:t>
            </w: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Employee Benefit Plan</w:t>
      </w:r>
    </w:p>
    <w:p>
      <w:pPr>
        <w:spacing w:after="0" w:line="87" w:lineRule="exact"/>
        <w:rPr>
          <w:sz w:val="20"/>
          <w:szCs w:val="20"/>
          <w:color w:val="auto"/>
        </w:rPr>
      </w:pPr>
    </w:p>
    <w:p>
      <w:pPr>
        <w:jc w:val="both"/>
        <w:ind w:right="120" w:firstLine="433"/>
        <w:spacing w:after="0" w:line="259" w:lineRule="auto"/>
        <w:rPr>
          <w:sz w:val="20"/>
          <w:szCs w:val="20"/>
          <w:color w:val="auto"/>
        </w:rPr>
      </w:pPr>
      <w:r>
        <w:rPr>
          <w:rFonts w:ascii="Arial" w:cs="Arial" w:eastAsia="Arial" w:hAnsi="Arial"/>
          <w:sz w:val="14"/>
          <w:szCs w:val="14"/>
          <w:color w:val="auto"/>
        </w:rPr>
        <w:t>Employees of the Company may participate in a defined contribution plan which qualifies under Section 401(k) of the Internal Revenue Code. Participating employees may contribute into a traditional plan with pretax salary or into a Roth plan with after tax salary up to statutory limits. The Company matches contributions up to 3% of each employee’s earnings, which vest over 2 years. Matching contributions were $592, $475 and $372 for the years ended December 31, 2022, 2021 and 2020,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Segment Reporting</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has two operating and reportable segments:</w:t>
      </w:r>
    </w:p>
    <w:p>
      <w:pPr>
        <w:spacing w:after="0" w:line="94" w:lineRule="exact"/>
        <w:rPr>
          <w:sz w:val="20"/>
          <w:szCs w:val="20"/>
          <w:color w:val="auto"/>
        </w:rPr>
      </w:pPr>
    </w:p>
    <w:p>
      <w:pPr>
        <w:jc w:val="both"/>
        <w:ind w:left="640" w:right="60" w:hanging="190"/>
        <w:spacing w:after="0" w:line="251"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Americas—The Americas segment is comprised primarily of US and Canada and derives its revenues from the marketing and distribution of various coconut water and non-coconut water products (e.g., oil and milk). The Company’s Guayusa leaf products (</w:t>
      </w:r>
      <w:r>
        <w:rPr>
          <w:rFonts w:ascii="Arial" w:cs="Arial" w:eastAsia="Arial" w:hAnsi="Arial"/>
          <w:sz w:val="14"/>
          <w:szCs w:val="14"/>
          <w:i w:val="1"/>
          <w:iCs w:val="1"/>
          <w:color w:val="auto"/>
        </w:rPr>
        <w:t>Runa</w:t>
      </w:r>
      <w:r>
        <w:rPr>
          <w:rFonts w:ascii="Arial" w:cs="Arial" w:eastAsia="Arial" w:hAnsi="Arial"/>
          <w:sz w:val="14"/>
          <w:szCs w:val="14"/>
          <w:color w:val="auto"/>
        </w:rPr>
        <w:t>), aluminum bottle canned water (</w:t>
      </w:r>
      <w:r>
        <w:rPr>
          <w:rFonts w:ascii="Arial" w:cs="Arial" w:eastAsia="Arial" w:hAnsi="Arial"/>
          <w:sz w:val="14"/>
          <w:szCs w:val="14"/>
          <w:i w:val="1"/>
          <w:iCs w:val="1"/>
          <w:color w:val="auto"/>
        </w:rPr>
        <w:t>Ever &amp; Ever</w:t>
      </w:r>
      <w:r>
        <w:rPr>
          <w:rFonts w:ascii="Arial" w:cs="Arial" w:eastAsia="Arial" w:hAnsi="Arial"/>
          <w:sz w:val="14"/>
          <w:szCs w:val="14"/>
          <w:color w:val="auto"/>
        </w:rPr>
        <w:t>) and protein infused water (</w:t>
      </w:r>
      <w:r>
        <w:rPr>
          <w:rFonts w:ascii="Arial" w:cs="Arial" w:eastAsia="Arial" w:hAnsi="Arial"/>
          <w:sz w:val="14"/>
          <w:szCs w:val="14"/>
          <w:i w:val="1"/>
          <w:iCs w:val="1"/>
          <w:color w:val="auto"/>
        </w:rPr>
        <w:t>PWR LIFT</w:t>
      </w:r>
      <w:r>
        <w:rPr>
          <w:rFonts w:ascii="Arial" w:cs="Arial" w:eastAsia="Arial" w:hAnsi="Arial"/>
          <w:sz w:val="14"/>
          <w:szCs w:val="14"/>
          <w:color w:val="auto"/>
        </w:rPr>
        <w:t>) are marketed only in the Americas segment.</w:t>
      </w:r>
    </w:p>
    <w:p>
      <w:pPr>
        <w:spacing w:after="0" w:line="67" w:lineRule="exact"/>
        <w:rPr>
          <w:rFonts w:ascii="Arial" w:cs="Arial" w:eastAsia="Arial" w:hAnsi="Arial"/>
          <w:sz w:val="14"/>
          <w:szCs w:val="14"/>
          <w:color w:val="auto"/>
        </w:rPr>
      </w:pPr>
    </w:p>
    <w:p>
      <w:pPr>
        <w:ind w:left="640" w:right="520" w:hanging="190"/>
        <w:spacing w:after="0" w:line="265"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International—The International segment is comprised primarily of Europe, Middle East, Africa and Asia Pacific, which includes the Company’s procurement arm, and derives its revenues from the marketing and distribution of various coconut water and non-coconut water products.</w:t>
      </w:r>
    </w:p>
    <w:p>
      <w:pPr>
        <w:spacing w:after="0" w:line="133" w:lineRule="exact"/>
        <w:rPr>
          <w:sz w:val="20"/>
          <w:szCs w:val="20"/>
          <w:color w:val="auto"/>
        </w:rPr>
      </w:pPr>
    </w:p>
    <w:p>
      <w:pPr>
        <w:ind w:right="420" w:firstLine="433"/>
        <w:spacing w:after="0" w:line="281" w:lineRule="auto"/>
        <w:rPr>
          <w:sz w:val="20"/>
          <w:szCs w:val="20"/>
          <w:color w:val="auto"/>
        </w:rPr>
      </w:pPr>
      <w:r>
        <w:rPr>
          <w:rFonts w:ascii="Arial" w:cs="Arial" w:eastAsia="Arial" w:hAnsi="Arial"/>
          <w:sz w:val="14"/>
          <w:szCs w:val="14"/>
          <w:color w:val="auto"/>
        </w:rPr>
        <w:t>The Company’s CEO is the chief operating decision maker and evaluates segment performance primarily based on net sales and gross profit. All intercompany transactions between the segments have been eliminated.</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Information about the Company’s operations by operating segment as of and for the years ended December 31, 2022, 2021 and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2"/>
              </w:rPr>
              <w:t>December 31, 2022</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ind w:left="200"/>
              <w:spacing w:after="0"/>
              <w:rPr>
                <w:sz w:val="20"/>
                <w:szCs w:val="20"/>
                <w:color w:val="auto"/>
              </w:rPr>
            </w:pPr>
            <w:r>
              <w:rPr>
                <w:rFonts w:ascii="Arial" w:cs="Arial" w:eastAsia="Arial" w:hAnsi="Arial"/>
                <w:sz w:val="11"/>
                <w:szCs w:val="11"/>
                <w:b w:val="1"/>
                <w:bCs w:val="1"/>
                <w:color w:val="auto"/>
              </w:rPr>
              <w:t>Americas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International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373,622</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54,165</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427,787</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95,492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7,869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103,361</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segment assets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156,588</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41,169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197,757</w:t>
            </w:r>
          </w:p>
        </w:tc>
      </w:tr>
      <w:tr>
        <w:trPr>
          <w:trHeight w:val="447"/>
        </w:trPr>
        <w:tc>
          <w:tcPr>
            <w:tcW w:w="6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2"/>
              </w:rPr>
              <w:t>December 31, 2021</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0"/>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ind w:left="200"/>
              <w:spacing w:after="0"/>
              <w:rPr>
                <w:sz w:val="20"/>
                <w:szCs w:val="20"/>
                <w:color w:val="auto"/>
              </w:rPr>
            </w:pPr>
            <w:r>
              <w:rPr>
                <w:rFonts w:ascii="Arial" w:cs="Arial" w:eastAsia="Arial" w:hAnsi="Arial"/>
                <w:sz w:val="11"/>
                <w:szCs w:val="11"/>
                <w:b w:val="1"/>
                <w:bCs w:val="1"/>
                <w:color w:val="auto"/>
              </w:rPr>
              <w:t>Americas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International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323,891</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55,622</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379,513</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101,864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11,284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113,148</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segment assets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141,973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197,484</w:t>
            </w:r>
          </w:p>
        </w:tc>
      </w:tr>
      <w:tr>
        <w:trPr>
          <w:trHeight w:val="426"/>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w w:val="90"/>
              </w:rPr>
              <w:t>December 31, 2020</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0"/>
        </w:trPr>
        <w:tc>
          <w:tcPr>
            <w:tcW w:w="66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Americas</w:t>
            </w:r>
          </w:p>
        </w:tc>
        <w:tc>
          <w:tcPr>
            <w:tcW w:w="16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International</w:t>
            </w:r>
          </w:p>
        </w:tc>
        <w:tc>
          <w:tcPr>
            <w:tcW w:w="18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262,899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310,644</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90,256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104,858</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183,861</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6540" w:type="dxa"/>
            <w:vAlign w:val="bottom"/>
            <w:gridSpan w:val="2"/>
          </w:tcPr>
          <w:p>
            <w:pPr>
              <w:spacing w:after="0"/>
              <w:rPr>
                <w:sz w:val="20"/>
                <w:szCs w:val="20"/>
                <w:color w:val="auto"/>
              </w:rPr>
            </w:pPr>
            <w:r>
              <w:rPr>
                <w:rFonts w:ascii="Arial" w:cs="Arial" w:eastAsia="Arial" w:hAnsi="Arial"/>
                <w:sz w:val="11"/>
                <w:szCs w:val="11"/>
                <w:b w:val="1"/>
                <w:bCs w:val="1"/>
                <w:color w:val="auto"/>
              </w:rPr>
              <w:t>Reconciliation</w:t>
            </w:r>
          </w:p>
        </w:tc>
        <w:tc>
          <w:tcPr>
            <w:tcW w:w="360" w:type="dxa"/>
            <w:vAlign w:val="bottom"/>
          </w:tcPr>
          <w:p>
            <w:pPr>
              <w:spacing w:after="0"/>
              <w:rPr>
                <w:sz w:val="11"/>
                <w:szCs w:val="11"/>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680" w:type="dxa"/>
            <w:vAlign w:val="bottom"/>
            <w:tcBorders>
              <w:top w:val="single" w:sz="8" w:color="auto"/>
              <w:bottom w:val="single" w:sz="8" w:color="CFF0FC"/>
            </w:tcBorders>
          </w:tcPr>
          <w:p>
            <w:pPr>
              <w:spacing w:after="0" w:line="20" w:lineRule="exact"/>
              <w:rPr>
                <w:sz w:val="1"/>
                <w:szCs w:val="1"/>
                <w:color w:val="auto"/>
              </w:rPr>
            </w:pPr>
          </w:p>
        </w:tc>
        <w:tc>
          <w:tcPr>
            <w:tcW w:w="58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6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gross profit</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103,361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113,148</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104,858</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100,306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74,401</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(16,400)</w:t>
            </w:r>
          </w:p>
        </w:tc>
      </w:tr>
      <w:tr>
        <w:trPr>
          <w:trHeight w:val="198"/>
        </w:trPr>
        <w:tc>
          <w:tcPr>
            <w:tcW w:w="20" w:type="dxa"/>
            <w:vAlign w:val="bottom"/>
            <w:tcBorders>
              <w:top w:val="single" w:sz="8" w:color="CFF0FC"/>
            </w:tcBorders>
            <w:shd w:val="clear" w:color="auto" w:fill="CFF0FC"/>
          </w:tcPr>
          <w:p>
            <w:pPr>
              <w:spacing w:after="0"/>
              <w:rPr>
                <w:sz w:val="17"/>
                <w:szCs w:val="17"/>
                <w:color w:val="auto"/>
              </w:rPr>
            </w:pPr>
          </w:p>
        </w:tc>
        <w:tc>
          <w:tcPr>
            <w:tcW w:w="65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rPr>
              <w:t>Income from operations</w:t>
            </w: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3,055</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24,589</w:t>
            </w: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46,857</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Unrealized (gain) loss on derivative instruments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4,718</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Foreign currency (gain) loss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2,088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791</w:t>
            </w:r>
          </w:p>
        </w:tc>
      </w:tr>
      <w:tr>
        <w:trPr>
          <w:trHeight w:val="187"/>
        </w:trPr>
        <w:tc>
          <w:tcPr>
            <w:tcW w:w="20" w:type="dxa"/>
            <w:vAlign w:val="bottom"/>
          </w:tcPr>
          <w:p>
            <w:pPr>
              <w:spacing w:after="0"/>
              <w:rPr>
                <w:sz w:val="16"/>
                <w:szCs w:val="16"/>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Income before income taxes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24,229</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43,600</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Geographic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following table provides information related to the Company’s net revenues by country, which is presented on the basis of the location that revenue from customers is recorded: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500" w:type="dxa"/>
            <w:vAlign w:val="bottom"/>
            <w:gridSpan w:val="3"/>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1200" w:type="dxa"/>
            <w:vAlign w:val="bottom"/>
            <w:tcBorders>
              <w:top w:val="single" w:sz="8" w:color="auto"/>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CFF0FC"/>
            </w:tcBorders>
          </w:tcPr>
          <w:p>
            <w:pPr>
              <w:spacing w:after="0" w:line="20" w:lineRule="exact"/>
              <w:rPr>
                <w:sz w:val="1"/>
                <w:szCs w:val="1"/>
                <w:color w:val="auto"/>
              </w:rPr>
            </w:pPr>
          </w:p>
        </w:tc>
        <w:tc>
          <w:tcPr>
            <w:tcW w:w="52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352,731</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323,891</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262,899</w:t>
            </w:r>
          </w:p>
        </w:tc>
      </w:tr>
      <w:tr>
        <w:trPr>
          <w:trHeight w:val="196"/>
        </w:trPr>
        <w:tc>
          <w:tcPr>
            <w:tcW w:w="20" w:type="dxa"/>
            <w:vAlign w:val="bottom"/>
            <w:tcBorders>
              <w:bottom w:val="single" w:sz="8" w:color="CFF0FC"/>
            </w:tcBorders>
          </w:tcPr>
          <w:p>
            <w:pPr>
              <w:spacing w:after="0"/>
              <w:rPr>
                <w:sz w:val="17"/>
                <w:szCs w:val="17"/>
                <w:color w:val="auto"/>
              </w:rPr>
            </w:pPr>
          </w:p>
        </w:tc>
        <w:tc>
          <w:tcPr>
            <w:tcW w:w="65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All other countries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75,056</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55,622</w:t>
            </w:r>
          </w:p>
        </w:tc>
        <w:tc>
          <w:tcPr>
            <w:tcW w:w="1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w:t>
            </w:r>
          </w:p>
        </w:tc>
      </w:tr>
      <w:tr>
        <w:trPr>
          <w:trHeight w:val="212"/>
        </w:trPr>
        <w:tc>
          <w:tcPr>
            <w:tcW w:w="20" w:type="dxa"/>
            <w:vAlign w:val="bottom"/>
            <w:shd w:val="clear" w:color="auto" w:fill="CFF0FC"/>
          </w:tcPr>
          <w:p>
            <w:pPr>
              <w:spacing w:after="0"/>
              <w:rPr>
                <w:sz w:val="18"/>
                <w:szCs w:val="18"/>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427,787</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379,513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310,644</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53" w:lineRule="exact"/>
        <w:rPr>
          <w:sz w:val="20"/>
          <w:szCs w:val="20"/>
          <w:color w:val="auto"/>
        </w:rPr>
      </w:pPr>
    </w:p>
    <w:p>
      <w:pPr>
        <w:ind w:left="440" w:right="4280" w:hanging="435"/>
        <w:spacing w:after="0" w:line="582" w:lineRule="auto"/>
        <w:tabs>
          <w:tab w:leader="none" w:pos="448" w:val="left"/>
        </w:tabs>
        <w:numPr>
          <w:ilvl w:val="0"/>
          <w:numId w:val="35"/>
        </w:numPr>
        <w:rPr>
          <w:rFonts w:ascii="Arial" w:cs="Arial" w:eastAsia="Arial" w:hAnsi="Arial"/>
          <w:sz w:val="13"/>
          <w:szCs w:val="13"/>
          <w:color w:val="auto"/>
        </w:rPr>
      </w:pPr>
      <w:r>
        <w:rPr>
          <w:rFonts w:ascii="Arial" w:cs="Arial" w:eastAsia="Arial" w:hAnsi="Arial"/>
          <w:sz w:val="13"/>
          <w:szCs w:val="13"/>
          <w:color w:val="auto"/>
        </w:rPr>
        <w:t>No individual country is greater than 10% of total net sales for the years ended December 31, 2022, 2021 and 2020.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2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jc w:val="right"/>
              <w:ind w:right="552"/>
              <w:spacing w:after="0" w:line="124"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2"/>
              <w:spacing w:after="0" w:line="124" w:lineRule="exact"/>
              <w:rPr>
                <w:sz w:val="20"/>
                <w:szCs w:val="20"/>
                <w:color w:val="auto"/>
              </w:rPr>
            </w:pPr>
            <w:r>
              <w:rPr>
                <w:rFonts w:ascii="Arial" w:cs="Arial" w:eastAsia="Arial" w:hAnsi="Arial"/>
                <w:sz w:val="11"/>
                <w:szCs w:val="11"/>
                <w:b w:val="1"/>
                <w:bCs w:val="1"/>
                <w:color w:val="auto"/>
              </w:rPr>
              <w:t>2021</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1200" w:type="dxa"/>
            <w:vAlign w:val="bottom"/>
            <w:tcBorders>
              <w:top w:val="single" w:sz="8" w:color="auto"/>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CFF0FC"/>
            </w:tcBorders>
          </w:tcPr>
          <w:p>
            <w:pPr>
              <w:spacing w:after="0" w:line="20" w:lineRule="exact"/>
              <w:rPr>
                <w:sz w:val="1"/>
                <w:szCs w:val="1"/>
                <w:color w:val="auto"/>
              </w:rPr>
            </w:pPr>
          </w:p>
        </w:tc>
        <w:tc>
          <w:tcPr>
            <w:tcW w:w="69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8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w:t>
            </w:r>
          </w:p>
        </w:tc>
      </w:tr>
      <w:tr>
        <w:trPr>
          <w:trHeight w:val="196"/>
        </w:trPr>
        <w:tc>
          <w:tcPr>
            <w:tcW w:w="20" w:type="dxa"/>
            <w:vAlign w:val="bottom"/>
          </w:tcPr>
          <w:p>
            <w:pPr>
              <w:spacing w:after="0"/>
              <w:rPr>
                <w:sz w:val="17"/>
                <w:szCs w:val="17"/>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Ecuador</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870</w:t>
            </w:r>
          </w:p>
        </w:tc>
      </w:tr>
      <w:tr>
        <w:trPr>
          <w:trHeight w:val="207"/>
        </w:trPr>
        <w:tc>
          <w:tcPr>
            <w:tcW w:w="20" w:type="dxa"/>
            <w:vAlign w:val="bottom"/>
            <w:shd w:val="clear" w:color="auto" w:fill="CFF0FC"/>
          </w:tcPr>
          <w:p>
            <w:pPr>
              <w:spacing w:after="0"/>
              <w:rPr>
                <w:sz w:val="18"/>
                <w:szCs w:val="18"/>
                <w:color w:val="auto"/>
              </w:rPr>
            </w:pPr>
          </w:p>
        </w:tc>
        <w:tc>
          <w:tcPr>
            <w:tcW w:w="8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Singapore</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w:t>
            </w:r>
          </w:p>
        </w:tc>
      </w:tr>
      <w:tr>
        <w:trPr>
          <w:trHeight w:val="196"/>
        </w:trPr>
        <w:tc>
          <w:tcPr>
            <w:tcW w:w="20" w:type="dxa"/>
            <w:vAlign w:val="bottom"/>
            <w:tcBorders>
              <w:bottom w:val="single" w:sz="8" w:color="CFF0FC"/>
            </w:tcBorders>
          </w:tcPr>
          <w:p>
            <w:pPr>
              <w:spacing w:after="0"/>
              <w:rPr>
                <w:sz w:val="17"/>
                <w:szCs w:val="17"/>
                <w:color w:val="auto"/>
              </w:rPr>
            </w:pPr>
          </w:p>
        </w:tc>
        <w:tc>
          <w:tcPr>
            <w:tcW w:w="82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All other countries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82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2,473</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53" w:lineRule="exact"/>
        <w:rPr>
          <w:sz w:val="20"/>
          <w:szCs w:val="20"/>
          <w:color w:val="auto"/>
        </w:rPr>
      </w:pPr>
    </w:p>
    <w:p>
      <w:pPr>
        <w:ind w:left="440" w:hanging="435"/>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 individual country is greater than 10% of total property and equipment, net as of December 31, 2022 and 2021.</w:t>
      </w:r>
    </w:p>
    <w:p>
      <w:pPr>
        <w:spacing w:after="0" w:line="200" w:lineRule="exact"/>
        <w:rPr>
          <w:rFonts w:ascii="Arial" w:cs="Arial" w:eastAsia="Arial" w:hAnsi="Arial"/>
          <w:sz w:val="14"/>
          <w:szCs w:val="14"/>
          <w:color w:val="auto"/>
        </w:rPr>
      </w:pPr>
    </w:p>
    <w:p>
      <w:pPr>
        <w:spacing w:after="0" w:line="286"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5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Related-Party Transactions</w:t>
      </w:r>
    </w:p>
    <w:p>
      <w:pPr>
        <w:spacing w:after="0" w:line="87" w:lineRule="exact"/>
        <w:rPr>
          <w:sz w:val="20"/>
          <w:szCs w:val="20"/>
          <w:color w:val="auto"/>
        </w:rPr>
      </w:pPr>
    </w:p>
    <w:p>
      <w:pPr>
        <w:ind w:right="80" w:firstLine="433"/>
        <w:spacing w:after="0" w:line="277" w:lineRule="auto"/>
        <w:rPr>
          <w:sz w:val="20"/>
          <w:szCs w:val="20"/>
          <w:color w:val="auto"/>
        </w:rPr>
      </w:pPr>
      <w:r>
        <w:rPr>
          <w:rFonts w:ascii="Arial" w:cs="Arial" w:eastAsia="Arial" w:hAnsi="Arial"/>
          <w:sz w:val="13"/>
          <w:szCs w:val="13"/>
          <w:i w:val="1"/>
          <w:iCs w:val="1"/>
          <w:color w:val="auto"/>
        </w:rPr>
        <w:t>Management Fees</w:t>
      </w:r>
      <w:r>
        <w:rPr>
          <w:rFonts w:ascii="Arial" w:cs="Arial" w:eastAsia="Arial" w:hAnsi="Arial"/>
          <w:sz w:val="13"/>
          <w:szCs w:val="13"/>
          <w:color w:val="auto"/>
        </w:rPr>
        <w:t>—The Company is subject to an arrangement with one of its stockholders for as long as such stockholder holds at least 5% of the Company’s capital stock. Pursuant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amended arrangement, the Company was required to make fixed annual management fee payments of $281. On October 20, 2021, in connection with the IPO discussed in Note 1, the Stockholder’s Agreement was revised and the new Investor Rights Agreement does not include a management fee to this stockholder. For the year ended December 31, 2021, the Company had amounts due in accounts payable of $227 for the portion of the year prior to the execution of the new Investor Rights Agreement.</w:t>
      </w:r>
    </w:p>
    <w:p>
      <w:pPr>
        <w:spacing w:after="0" w:line="53"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b w:val="1"/>
          <w:bCs w:val="1"/>
          <w:i w:val="1"/>
          <w:iCs w:val="1"/>
          <w:color w:val="auto"/>
        </w:rPr>
        <w:t xml:space="preserve">Director Nominee Agreements </w:t>
      </w:r>
      <w:r>
        <w:rPr>
          <w:rFonts w:ascii="Arial" w:cs="Arial" w:eastAsia="Arial" w:hAnsi="Arial"/>
          <w:sz w:val="14"/>
          <w:szCs w:val="14"/>
          <w:color w:val="auto"/>
        </w:rPr>
        <w:t>- On May 24, 2022, two members of the board of directors appointed as nominees under the Investor Rights Agreement by Verlinvest Beverages SA,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 of the Company, entered into nominee agreements instructing the Company to pay all cash compensation earned in connection with their board of director services to Verlinvest Beverages SA. Based on the aforementioned nominee agreements, RSUs granted to these two directors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 compensation obligations to these directors. As of December 31, 2022, there is only one active member of the board of directors that is subject to this nominee agreement.</w:t>
      </w:r>
    </w:p>
    <w:p>
      <w:pPr>
        <w:spacing w:after="0" w:line="65" w:lineRule="exact"/>
        <w:rPr>
          <w:sz w:val="20"/>
          <w:szCs w:val="20"/>
          <w:color w:val="auto"/>
        </w:rPr>
      </w:pPr>
    </w:p>
    <w:p>
      <w:pPr>
        <w:ind w:right="80" w:firstLine="382"/>
        <w:spacing w:after="0" w:line="288" w:lineRule="auto"/>
        <w:rPr>
          <w:sz w:val="20"/>
          <w:szCs w:val="20"/>
          <w:color w:val="auto"/>
        </w:rPr>
      </w:pPr>
      <w:r>
        <w:rPr>
          <w:rFonts w:ascii="Arial" w:cs="Arial" w:eastAsia="Arial" w:hAnsi="Arial"/>
          <w:sz w:val="13"/>
          <w:szCs w:val="13"/>
          <w:i w:val="1"/>
          <w:iCs w:val="1"/>
          <w:color w:val="auto"/>
        </w:rPr>
        <w:t>Loan to Employee</w:t>
      </w:r>
      <w:r>
        <w:rPr>
          <w:rFonts w:ascii="Arial" w:cs="Arial" w:eastAsia="Arial" w:hAnsi="Arial"/>
          <w:sz w:val="13"/>
          <w:szCs w:val="13"/>
          <w:color w:val="auto"/>
        </w:rPr>
        <w:t>—On September 18, 2019 the Company extended a five year promissory note of $17,700 to its newly appointed President, in order for him to buy 1,739,010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Vita Coco Company, Inc.’s common stock in conjunction with his employment agreement. The interest on the note accrued annually at a rate of 1.78% with principal balance due at maturity. The purchase of the Company's shares occurred simultaneously with the commencement of the loan, as a result no funds were actually disbursed by the Company. The purchased shares were pledged as collateral to the loan until full repayment of the principal balance. On May 18, 2020, the Company amended the interest rate on the note to 0.58%.</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On September 16, 2021, Martin Roper, the CEO of the Company, repaid the outstanding principal balance and accrued interest in full satisfaction of the promissory note.</w:t>
      </w:r>
    </w:p>
    <w:p>
      <w:pPr>
        <w:spacing w:after="0" w:line="168" w:lineRule="exact"/>
        <w:rPr>
          <w:sz w:val="20"/>
          <w:szCs w:val="20"/>
          <w:color w:val="auto"/>
        </w:rPr>
      </w:pPr>
    </w:p>
    <w:p>
      <w:pPr>
        <w:ind w:right="20" w:firstLine="433"/>
        <w:spacing w:after="0" w:line="247" w:lineRule="auto"/>
        <w:rPr>
          <w:sz w:val="20"/>
          <w:szCs w:val="20"/>
          <w:color w:val="auto"/>
        </w:rPr>
      </w:pPr>
      <w:r>
        <w:rPr>
          <w:rFonts w:ascii="Arial" w:cs="Arial" w:eastAsia="Arial" w:hAnsi="Arial"/>
          <w:sz w:val="14"/>
          <w:szCs w:val="14"/>
          <w:i w:val="1"/>
          <w:iCs w:val="1"/>
          <w:color w:val="auto"/>
        </w:rPr>
        <w:t xml:space="preserve">Distribution Agreement with Shareholder </w:t>
      </w:r>
      <w:r>
        <w:rPr>
          <w:rFonts w:ascii="Arial" w:cs="Arial" w:eastAsia="Arial" w:hAnsi="Arial"/>
          <w:sz w:val="14"/>
          <w:szCs w:val="14"/>
          <w:color w:val="auto"/>
        </w:rPr>
        <w:t>– On October 1, 2019 the Company entered into a distribution agreement with one of its stockholders, which currently extends through December</w:t>
      </w:r>
      <w:r>
        <w:rPr>
          <w:rFonts w:ascii="Arial" w:cs="Arial" w:eastAsia="Arial" w:hAnsi="Arial"/>
          <w:sz w:val="14"/>
          <w:szCs w:val="14"/>
          <w:i w:val="1"/>
          <w:iCs w:val="1"/>
          <w:color w:val="auto"/>
        </w:rPr>
        <w:t xml:space="preserve"> </w:t>
      </w:r>
      <w:r>
        <w:rPr>
          <w:rFonts w:ascii="Arial" w:cs="Arial" w:eastAsia="Arial" w:hAnsi="Arial"/>
          <w:sz w:val="14"/>
          <w:szCs w:val="14"/>
          <w:color w:val="auto"/>
        </w:rPr>
        <w:t>31, 2022. The distribution agreement grants the stockholder the right to sell, resell and distribute designated products supplied by the Company within a specified territory. The amount of revenue recognized related to this distribution agreement was $6,375, $6,247, and $5,294 for the years ended December 31, 2022, 2021 and 2020, respectively. The amounts due from the stockholder in Accounts Receivable, net were $753 and $600 as of December 31, 2022 and 2021, respectively. Amounts payable to the stockholder in Accounts payable were $38 and $71 as of December 31, 2022 and 2021 respectively. Related to this distribution arrangement, the Company and the stockholder have a service agreement where the Company shares in the compensation costs of the stockholder’s employee managing the China market. The Company recorded $234, $215 and $132 for the years ended December 31, 2022, 2021 and 2020, respectively, in selling, general, and administrative expense for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Asset held for sale</w:t>
      </w:r>
    </w:p>
    <w:p>
      <w:pPr>
        <w:spacing w:after="0" w:line="24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 xml:space="preserve">The asset group held for sale consists of a farm in Ecuador which was the source of Guayusa leaves for our </w:t>
      </w:r>
      <w:r>
        <w:rPr>
          <w:rFonts w:ascii="Arial" w:cs="Arial" w:eastAsia="Arial" w:hAnsi="Arial"/>
          <w:sz w:val="14"/>
          <w:szCs w:val="14"/>
          <w:i w:val="1"/>
          <w:iCs w:val="1"/>
          <w:color w:val="auto"/>
        </w:rPr>
        <w:t>Runa</w:t>
      </w:r>
      <w:r>
        <w:rPr>
          <w:rFonts w:ascii="Arial" w:cs="Arial" w:eastAsia="Arial" w:hAnsi="Arial"/>
          <w:sz w:val="14"/>
          <w:szCs w:val="14"/>
          <w:color w:val="auto"/>
        </w:rPr>
        <w:t xml:space="preserve"> products. Since the Company is able to source Guayusa through alternative means to produce the </w:t>
      </w:r>
      <w:r>
        <w:rPr>
          <w:rFonts w:ascii="Arial" w:cs="Arial" w:eastAsia="Arial" w:hAnsi="Arial"/>
          <w:sz w:val="14"/>
          <w:szCs w:val="14"/>
          <w:i w:val="1"/>
          <w:iCs w:val="1"/>
          <w:color w:val="auto"/>
        </w:rPr>
        <w:t>Runa</w:t>
      </w:r>
      <w:r>
        <w:rPr>
          <w:rFonts w:ascii="Arial" w:cs="Arial" w:eastAsia="Arial" w:hAnsi="Arial"/>
          <w:sz w:val="14"/>
          <w:szCs w:val="14"/>
          <w:color w:val="auto"/>
        </w:rPr>
        <w:t xml:space="preserve">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selling, general and administrative expenses. The remaining carrying amount is listed below. These assets held for sale do not qualify for discontinued operations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 held for sale</w:t>
            </w:r>
          </w:p>
        </w:tc>
        <w:tc>
          <w:tcPr>
            <w:tcW w:w="49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16"/>
              <w:spacing w:after="0"/>
              <w:rPr>
                <w:sz w:val="20"/>
                <w:szCs w:val="20"/>
                <w:color w:val="auto"/>
              </w:rPr>
            </w:pPr>
            <w:r>
              <w:rPr>
                <w:rFonts w:ascii="Arial" w:cs="Arial" w:eastAsia="Arial" w:hAnsi="Arial"/>
                <w:sz w:val="11"/>
                <w:szCs w:val="11"/>
                <w:b w:val="1"/>
                <w:bCs w:val="1"/>
                <w:color w:val="auto"/>
              </w:rPr>
              <w:t>Amount</w:t>
            </w: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Land</w:t>
            </w:r>
          </w:p>
        </w:tc>
        <w:tc>
          <w:tcPr>
            <w:tcW w:w="4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Leases</w:t>
      </w:r>
    </w:p>
    <w:p>
      <w:pPr>
        <w:spacing w:after="0" w:line="172"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In January 2016, the Company entered into an operating lease for office space in New York, New York, which was set to expire in January 2023. In June 2022, the Company extended its lease agreement for the New York office to April 30, 2025 and remeasured the lease liability and right-of-use asset as of June 30, 2022. The Company pays for its proportionate share of building operating costs such as maintenance, utilities, and insurance that are treated as variable costs and excluded from the measurement of the lease.</w:t>
      </w:r>
    </w:p>
    <w:p>
      <w:pPr>
        <w:spacing w:after="0" w:line="142" w:lineRule="exact"/>
        <w:rPr>
          <w:sz w:val="20"/>
          <w:szCs w:val="20"/>
          <w:color w:val="auto"/>
        </w:rPr>
      </w:pPr>
    </w:p>
    <w:p>
      <w:pPr>
        <w:ind w:right="200" w:firstLine="382"/>
        <w:spacing w:after="0" w:line="281" w:lineRule="auto"/>
        <w:rPr>
          <w:sz w:val="20"/>
          <w:szCs w:val="20"/>
          <w:color w:val="auto"/>
        </w:rPr>
      </w:pPr>
      <w:r>
        <w:rPr>
          <w:rFonts w:ascii="Arial" w:cs="Arial" w:eastAsia="Arial" w:hAnsi="Arial"/>
          <w:sz w:val="14"/>
          <w:szCs w:val="14"/>
          <w:color w:val="auto"/>
        </w:rPr>
        <w:t>The Company also maintains additional leases for office space and equipment in London and Singapore, which are operating leases. On March 31, 2022, the Company renewed the lease for the Singapore office, extending it through June 30, 2025, which is reflected in the lease term.</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2022, the Company did not have any additional operating leases that have not yet commenced with future undiscounted lease payments.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components of lease cost, which are included within operating expenses in the accompanying consolidated statements of operations, are summarized in the following table (in thousands).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Any variable lease costs are immaterial.</w:t>
      </w:r>
    </w:p>
    <w:p>
      <w:pPr>
        <w:spacing w:after="0" w:line="217"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 2022</w:t>
      </w:r>
    </w:p>
    <w:p>
      <w:pPr>
        <w:spacing w:after="0" w:line="45" w:lineRule="exact"/>
        <w:rPr>
          <w:sz w:val="20"/>
          <w:szCs w:val="20"/>
          <w:color w:val="auto"/>
        </w:rPr>
      </w:pPr>
    </w:p>
    <w:p>
      <w:pPr>
        <w:ind w:left="20"/>
        <w:spacing w:after="0"/>
        <w:tabs>
          <w:tab w:leader="none" w:pos="8600" w:val="left"/>
          <w:tab w:leader="none" w:pos="10880" w:val="left"/>
        </w:tabs>
        <w:rPr>
          <w:sz w:val="20"/>
          <w:szCs w:val="20"/>
          <w:color w:val="auto"/>
        </w:rPr>
      </w:pPr>
      <w:r>
        <w:rPr>
          <w:rFonts w:ascii="Arial" w:cs="Arial" w:eastAsia="Arial" w:hAnsi="Arial"/>
          <w:sz w:val="14"/>
          <w:szCs w:val="14"/>
          <w:color w:val="auto"/>
        </w:rPr>
        <w:t>Operating lease cost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34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supplemental balance sheet information for the Company’s operating leases: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740" w:type="dxa"/>
            <w:vAlign w:val="bottom"/>
          </w:tcPr>
          <w:p>
            <w:pPr>
              <w:jc w:val="center"/>
              <w:ind w:left="629"/>
              <w:spacing w:after="0"/>
              <w:rPr>
                <w:sz w:val="20"/>
                <w:szCs w:val="20"/>
                <w:color w:val="auto"/>
              </w:rPr>
            </w:pPr>
            <w:r>
              <w:rPr>
                <w:rFonts w:ascii="Arial" w:cs="Arial" w:eastAsia="Arial" w:hAnsi="Arial"/>
                <w:sz w:val="14"/>
                <w:szCs w:val="14"/>
                <w:b w:val="1"/>
                <w:bCs w:val="1"/>
                <w:color w:val="auto"/>
                <w:w w:val="92"/>
              </w:rPr>
              <w:t>Line Item in Balance Sheet</w:t>
            </w:r>
          </w:p>
        </w:tc>
        <w:tc>
          <w:tcPr>
            <w:tcW w:w="880" w:type="dxa"/>
            <w:vAlign w:val="bottom"/>
          </w:tcPr>
          <w:p>
            <w:pPr>
              <w:spacing w:after="0"/>
              <w:rPr>
                <w:sz w:val="16"/>
                <w:szCs w:val="16"/>
                <w:color w:val="auto"/>
              </w:rPr>
            </w:pPr>
          </w:p>
        </w:tc>
        <w:tc>
          <w:tcPr>
            <w:tcW w:w="1920" w:type="dxa"/>
            <w:vAlign w:val="bottom"/>
          </w:tcPr>
          <w:p>
            <w:pPr>
              <w:jc w:val="right"/>
              <w:ind w:right="249"/>
              <w:spacing w:after="0"/>
              <w:rPr>
                <w:sz w:val="20"/>
                <w:szCs w:val="20"/>
                <w:color w:val="auto"/>
              </w:rPr>
            </w:pPr>
            <w:r>
              <w:rPr>
                <w:rFonts w:ascii="Arial" w:cs="Arial" w:eastAsia="Arial" w:hAnsi="Arial"/>
                <w:sz w:val="14"/>
                <w:szCs w:val="14"/>
                <w:b w:val="1"/>
                <w:bCs w:val="1"/>
                <w:color w:val="auto"/>
                <w:w w:val="95"/>
              </w:rPr>
              <w:t>As of December 31, 2022</w:t>
            </w:r>
          </w:p>
        </w:tc>
        <w:tc>
          <w:tcPr>
            <w:tcW w:w="0" w:type="dxa"/>
            <w:vAlign w:val="bottom"/>
          </w:tcPr>
          <w:p>
            <w:pPr>
              <w:spacing w:after="0"/>
              <w:rPr>
                <w:sz w:val="1"/>
                <w:szCs w:val="1"/>
                <w:color w:val="auto"/>
              </w:rPr>
            </w:pPr>
          </w:p>
        </w:tc>
      </w:tr>
      <w:tr>
        <w:trPr>
          <w:trHeight w:val="22"/>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Noncurrent assets:</w:t>
            </w:r>
          </w:p>
        </w:tc>
        <w:tc>
          <w:tcPr>
            <w:tcW w:w="3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70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right-of-use assets</w:t>
            </w:r>
          </w:p>
        </w:tc>
        <w:tc>
          <w:tcPr>
            <w:tcW w:w="3740" w:type="dxa"/>
            <w:vAlign w:val="bottom"/>
            <w:shd w:val="clear" w:color="auto" w:fill="CCEEFF"/>
          </w:tcPr>
          <w:p>
            <w:pPr>
              <w:jc w:val="center"/>
              <w:ind w:left="629"/>
              <w:spacing w:after="0"/>
              <w:rPr>
                <w:sz w:val="20"/>
                <w:szCs w:val="20"/>
                <w:color w:val="auto"/>
              </w:rPr>
            </w:pPr>
            <w:r>
              <w:rPr>
                <w:rFonts w:ascii="Arial" w:cs="Arial" w:eastAsia="Arial" w:hAnsi="Arial"/>
                <w:sz w:val="14"/>
                <w:szCs w:val="14"/>
                <w:color w:val="auto"/>
                <w:w w:val="89"/>
              </w:rPr>
              <w:t>Right-of-use assets</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operating lease liabilities</w:t>
            </w:r>
          </w:p>
        </w:tc>
        <w:tc>
          <w:tcPr>
            <w:tcW w:w="374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88"/>
              </w:rPr>
              <w:t>Accrued expenses</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Non-current portion of operating lease liabilities</w:t>
            </w:r>
          </w:p>
        </w:tc>
        <w:tc>
          <w:tcPr>
            <w:tcW w:w="3740" w:type="dxa"/>
            <w:vAlign w:val="bottom"/>
            <w:shd w:val="clear" w:color="auto" w:fill="CCEEFF"/>
          </w:tcPr>
          <w:p>
            <w:pPr>
              <w:jc w:val="center"/>
              <w:ind w:left="629"/>
              <w:spacing w:after="0"/>
              <w:rPr>
                <w:sz w:val="20"/>
                <w:szCs w:val="20"/>
                <w:color w:val="auto"/>
              </w:rPr>
            </w:pPr>
            <w:r>
              <w:rPr>
                <w:rFonts w:ascii="Arial" w:cs="Arial" w:eastAsia="Arial" w:hAnsi="Arial"/>
                <w:sz w:val="14"/>
                <w:szCs w:val="14"/>
                <w:color w:val="auto"/>
                <w:w w:val="95"/>
              </w:rPr>
              <w:t>Other long-term Liabilities</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340" w:firstLine="382"/>
        <w:spacing w:after="0" w:line="249" w:lineRule="auto"/>
        <w:rPr>
          <w:sz w:val="20"/>
          <w:szCs w:val="20"/>
          <w:color w:val="auto"/>
        </w:rPr>
      </w:pPr>
      <w:r>
        <w:rPr>
          <w:rFonts w:ascii="Arial" w:cs="Arial" w:eastAsia="Arial" w:hAnsi="Arial"/>
          <w:sz w:val="14"/>
          <w:szCs w:val="14"/>
          <w:color w:val="auto"/>
        </w:rPr>
        <w:t>The following summarizes the weighted average remaining lease term and weighted average discount rate related to the Company’s right-of-use assets and lease liabilities recorded on the balance sheet as of December 31, 2022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80" w:type="dxa"/>
            <w:vAlign w:val="bottom"/>
          </w:tcPr>
          <w:p>
            <w:pPr>
              <w:jc w:val="right"/>
              <w:ind w:right="629"/>
              <w:spacing w:after="0"/>
              <w:rPr>
                <w:sz w:val="20"/>
                <w:szCs w:val="20"/>
                <w:color w:val="auto"/>
              </w:rPr>
            </w:pPr>
            <w:r>
              <w:rPr>
                <w:rFonts w:ascii="Arial" w:cs="Arial" w:eastAsia="Arial" w:hAnsi="Arial"/>
                <w:sz w:val="14"/>
                <w:szCs w:val="14"/>
                <w:b w:val="1"/>
                <w:bCs w:val="1"/>
                <w:color w:val="auto"/>
              </w:rPr>
              <w:t>As of December 31, 2022</w:t>
            </w: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7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terms</w:t>
            </w:r>
          </w:p>
        </w:tc>
        <w:tc>
          <w:tcPr>
            <w:tcW w:w="5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 years</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50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637"/>
        </w:trPr>
        <w:tc>
          <w:tcPr>
            <w:tcW w:w="8400" w:type="dxa"/>
            <w:vAlign w:val="bottom"/>
          </w:tcPr>
          <w:p>
            <w:pPr>
              <w:ind w:left="380"/>
              <w:spacing w:after="0"/>
              <w:rPr>
                <w:sz w:val="20"/>
                <w:szCs w:val="20"/>
                <w:color w:val="auto"/>
              </w:rPr>
            </w:pPr>
            <w:r>
              <w:rPr>
                <w:rFonts w:ascii="Arial" w:cs="Arial" w:eastAsia="Arial" w:hAnsi="Arial"/>
                <w:sz w:val="14"/>
                <w:szCs w:val="14"/>
                <w:color w:val="auto"/>
              </w:rPr>
              <w:t>The following table summarizes supplemental cash flow information for the Company’s operating leases:</w:t>
            </w: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2"/>
        </w:trPr>
        <w:tc>
          <w:tcPr>
            <w:tcW w:w="8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Pr>
          <w:p>
            <w:pPr>
              <w:jc w:val="right"/>
              <w:ind w:right="529"/>
              <w:spacing w:after="0"/>
              <w:rPr>
                <w:sz w:val="20"/>
                <w:szCs w:val="20"/>
                <w:color w:val="auto"/>
              </w:rPr>
            </w:pPr>
            <w:r>
              <w:rPr>
                <w:rFonts w:ascii="Arial" w:cs="Arial" w:eastAsia="Arial" w:hAnsi="Arial"/>
                <w:sz w:val="14"/>
                <w:szCs w:val="14"/>
                <w:b w:val="1"/>
                <w:bCs w:val="1"/>
                <w:color w:val="auto"/>
              </w:rPr>
              <w:t>As of December 31, 2022</w:t>
            </w:r>
          </w:p>
        </w:tc>
      </w:tr>
      <w:tr>
        <w:trPr>
          <w:trHeight w:val="22"/>
        </w:trPr>
        <w:tc>
          <w:tcPr>
            <w:tcW w:w="8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5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Pr>
          <w:p>
            <w:pPr>
              <w:jc w:val="center"/>
              <w:ind w:left="2389"/>
              <w:spacing w:after="0"/>
              <w:rPr>
                <w:sz w:val="20"/>
                <w:szCs w:val="20"/>
                <w:color w:val="auto"/>
              </w:rPr>
            </w:pPr>
            <w:r>
              <w:rPr>
                <w:rFonts w:ascii="Arial" w:cs="Arial" w:eastAsia="Arial" w:hAnsi="Arial"/>
                <w:sz w:val="14"/>
                <w:szCs w:val="14"/>
                <w:b w:val="1"/>
                <w:bCs w:val="1"/>
                <w:color w:val="auto"/>
              </w:rPr>
              <w:t>THE VITA COCO COMPANY, INC. AND SUBSIDIARIES</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9"/>
        </w:trPr>
        <w:tc>
          <w:tcPr>
            <w:tcW w:w="8840" w:type="dxa"/>
            <w:vAlign w:val="bottom"/>
          </w:tcPr>
          <w:p>
            <w:pPr>
              <w:jc w:val="center"/>
              <w:ind w:left="2389"/>
              <w:spacing w:after="0" w:line="159" w:lineRule="exact"/>
              <w:rPr>
                <w:sz w:val="20"/>
                <w:szCs w:val="20"/>
                <w:color w:val="auto"/>
              </w:rPr>
            </w:pPr>
            <w:r>
              <w:rPr>
                <w:rFonts w:ascii="Arial" w:cs="Arial" w:eastAsia="Arial" w:hAnsi="Arial"/>
                <w:sz w:val="14"/>
                <w:szCs w:val="14"/>
                <w:b w:val="1"/>
                <w:bCs w:val="1"/>
                <w:color w:val="auto"/>
              </w:rPr>
              <w:t>NOTES TO CONSOLIDATED FINANCIAL STATEMENTS</w:t>
            </w:r>
          </w:p>
        </w:tc>
        <w:tc>
          <w:tcPr>
            <w:tcW w:w="2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63"/>
        </w:trPr>
        <w:tc>
          <w:tcPr>
            <w:tcW w:w="8840" w:type="dxa"/>
            <w:vAlign w:val="bottom"/>
          </w:tcPr>
          <w:p>
            <w:pPr>
              <w:jc w:val="center"/>
              <w:ind w:left="2369"/>
              <w:spacing w:after="0"/>
              <w:rPr>
                <w:sz w:val="20"/>
                <w:szCs w:val="20"/>
                <w:color w:val="auto"/>
              </w:rPr>
            </w:pPr>
            <w:r>
              <w:rPr>
                <w:rFonts w:ascii="Arial" w:cs="Arial" w:eastAsia="Arial" w:hAnsi="Arial"/>
                <w:sz w:val="14"/>
                <w:szCs w:val="14"/>
                <w:b w:val="1"/>
                <w:bCs w:val="1"/>
                <w:color w:val="auto"/>
                <w:w w:val="97"/>
              </w:rPr>
              <w:t>FOR THE YEARS ENDED DECEMBER 31, 2022, 2021 AND 2020</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80"/>
        </w:trPr>
        <w:tc>
          <w:tcPr>
            <w:tcW w:w="8840" w:type="dxa"/>
            <w:vAlign w:val="bottom"/>
          </w:tcPr>
          <w:p>
            <w:pPr>
              <w:jc w:val="center"/>
              <w:ind w:left="2369"/>
              <w:spacing w:after="0"/>
              <w:rPr>
                <w:sz w:val="20"/>
                <w:szCs w:val="20"/>
                <w:color w:val="auto"/>
              </w:rPr>
            </w:pPr>
            <w:r>
              <w:rPr>
                <w:rFonts w:ascii="Arial" w:cs="Arial" w:eastAsia="Arial" w:hAnsi="Arial"/>
                <w:sz w:val="14"/>
                <w:szCs w:val="14"/>
                <w:color w:val="auto"/>
                <w:w w:val="90"/>
              </w:rPr>
              <w:t>(Amounts in thousands, except for share and per share data)</w:t>
            </w:r>
          </w:p>
        </w:tc>
        <w:tc>
          <w:tcPr>
            <w:tcW w:w="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75"/>
        </w:trPr>
        <w:tc>
          <w:tcPr>
            <w:tcW w:w="8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r>
      <w:tr>
        <w:trPr>
          <w:trHeight w:val="552"/>
        </w:trPr>
        <w:tc>
          <w:tcPr>
            <w:tcW w:w="8840" w:type="dxa"/>
            <w:vAlign w:val="bottom"/>
          </w:tcPr>
          <w:p>
            <w:pPr>
              <w:ind w:left="380"/>
              <w:spacing w:after="0"/>
              <w:rPr>
                <w:sz w:val="20"/>
                <w:szCs w:val="20"/>
                <w:color w:val="auto"/>
              </w:rPr>
            </w:pPr>
            <w:r>
              <w:rPr>
                <w:rFonts w:ascii="Arial" w:cs="Arial" w:eastAsia="Arial" w:hAnsi="Arial"/>
                <w:sz w:val="14"/>
                <w:szCs w:val="14"/>
                <w:color w:val="auto"/>
              </w:rPr>
              <w:t>The following table presents the maturity of the Company’s operating lease liabilities as of December 31, 2022:</w:t>
            </w: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2"/>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7"/>
                <w:szCs w:val="17"/>
                <w:color w:val="auto"/>
              </w:rPr>
            </w:pPr>
          </w:p>
        </w:tc>
        <w:tc>
          <w:tcPr>
            <w:tcW w:w="2220" w:type="dxa"/>
            <w:vAlign w:val="bottom"/>
          </w:tcPr>
          <w:p>
            <w:pPr>
              <w:jc w:val="right"/>
              <w:ind w:right="289"/>
              <w:spacing w:after="0"/>
              <w:rPr>
                <w:sz w:val="20"/>
                <w:szCs w:val="20"/>
                <w:color w:val="auto"/>
              </w:rPr>
            </w:pPr>
            <w:r>
              <w:rPr>
                <w:rFonts w:ascii="Arial" w:cs="Arial" w:eastAsia="Arial" w:hAnsi="Arial"/>
                <w:sz w:val="14"/>
                <w:szCs w:val="14"/>
                <w:b w:val="1"/>
                <w:bCs w:val="1"/>
                <w:color w:val="auto"/>
                <w:w w:val="99"/>
              </w:rPr>
              <w:t>Maturity of Lease Payments</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72"/>
        </w:trPr>
        <w:tc>
          <w:tcPr>
            <w:tcW w:w="8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r>
      <w:tr>
        <w:trPr>
          <w:trHeight w:val="180"/>
        </w:trPr>
        <w:tc>
          <w:tcPr>
            <w:tcW w:w="8840" w:type="dxa"/>
            <w:vAlign w:val="bottom"/>
          </w:tcPr>
          <w:p>
            <w:pPr>
              <w:ind w:left="28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1,218</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2"/>
        </w:trPr>
        <w:tc>
          <w:tcPr>
            <w:tcW w:w="8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80"/>
        </w:trPr>
        <w:tc>
          <w:tcPr>
            <w:tcW w:w="8840" w:type="dxa"/>
            <w:vAlign w:val="bottom"/>
          </w:tcPr>
          <w:p>
            <w:pPr>
              <w:ind w:left="280"/>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2"/>
        </w:trPr>
        <w:tc>
          <w:tcPr>
            <w:tcW w:w="8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840" w:type="dxa"/>
            <w:vAlign w:val="bottom"/>
          </w:tcPr>
          <w:p>
            <w:pPr>
              <w:ind w:left="10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2220" w:type="dxa"/>
            <w:vAlign w:val="bottom"/>
          </w:tcPr>
          <w:p>
            <w:pPr>
              <w:jc w:val="right"/>
              <w:spacing w:after="0"/>
              <w:rPr>
                <w:sz w:val="20"/>
                <w:szCs w:val="20"/>
                <w:color w:val="auto"/>
              </w:rPr>
            </w:pPr>
            <w:r>
              <w:rPr>
                <w:rFonts w:ascii="Arial" w:cs="Arial" w:eastAsia="Arial" w:hAnsi="Arial"/>
                <w:sz w:val="14"/>
                <w:szCs w:val="14"/>
                <w:color w:val="auto"/>
              </w:rPr>
              <w:t>2,873</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2"/>
        </w:trPr>
        <w:tc>
          <w:tcPr>
            <w:tcW w:w="8840" w:type="dxa"/>
            <w:vAlign w:val="bottom"/>
            <w:tcBorders>
              <w:bottom w:val="single" w:sz="8" w:color="CCEEFF"/>
            </w:tcBorders>
            <w:shd w:val="clear" w:color="auto" w:fill="CCEEFF"/>
          </w:tcPr>
          <w:p>
            <w:pPr>
              <w:jc w:val="right"/>
              <w:ind w:right="7509"/>
              <w:spacing w:after="0"/>
              <w:rPr>
                <w:sz w:val="20"/>
                <w:szCs w:val="20"/>
                <w:color w:val="auto"/>
              </w:rPr>
            </w:pPr>
            <w:r>
              <w:rPr>
                <w:rFonts w:ascii="Arial" w:cs="Arial" w:eastAsia="Arial" w:hAnsi="Arial"/>
                <w:sz w:val="14"/>
                <w:szCs w:val="14"/>
                <w:color w:val="auto"/>
                <w:w w:val="90"/>
              </w:rPr>
              <w:t>Less: imputed interest</w:t>
            </w:r>
          </w:p>
        </w:tc>
        <w:tc>
          <w:tcPr>
            <w:tcW w:w="2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71"/>
        </w:trPr>
        <w:tc>
          <w:tcPr>
            <w:tcW w:w="8840" w:type="dxa"/>
            <w:vAlign w:val="bottom"/>
          </w:tcPr>
          <w:p>
            <w:pPr>
              <w:jc w:val="right"/>
              <w:ind w:right="7489"/>
              <w:spacing w:after="0"/>
              <w:rPr>
                <w:sz w:val="20"/>
                <w:szCs w:val="20"/>
                <w:color w:val="auto"/>
              </w:rPr>
            </w:pPr>
            <w:r>
              <w:rPr>
                <w:rFonts w:ascii="Arial" w:cs="Arial" w:eastAsia="Arial" w:hAnsi="Arial"/>
                <w:sz w:val="14"/>
                <w:szCs w:val="14"/>
                <w:color w:val="auto"/>
              </w:rPr>
              <w:t>Total lease liabilities</w:t>
            </w: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2,786</w:t>
            </w:r>
          </w:p>
        </w:tc>
      </w:tr>
      <w:tr>
        <w:trPr>
          <w:trHeight w:val="22"/>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340" w:firstLine="382"/>
        <w:spacing w:after="0" w:line="265" w:lineRule="auto"/>
        <w:rPr>
          <w:sz w:val="20"/>
          <w:szCs w:val="20"/>
          <w:color w:val="auto"/>
        </w:rPr>
      </w:pPr>
      <w:r>
        <w:rPr>
          <w:rFonts w:ascii="Arial" w:cs="Arial" w:eastAsia="Arial" w:hAnsi="Arial"/>
          <w:sz w:val="14"/>
          <w:szCs w:val="14"/>
          <w:color w:val="auto"/>
        </w:rPr>
        <w:t xml:space="preserve">The aggregate minimum commitments for renting the office spaces under non-cancellable operating leases as of December 31, 2021 are summarized in the following table. This table was populated in accordance with the prior guidance under ASC 840,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4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jc w:val="right"/>
              <w:ind w:right="809"/>
              <w:spacing w:after="0"/>
              <w:rPr>
                <w:sz w:val="20"/>
                <w:szCs w:val="20"/>
                <w:color w:val="auto"/>
              </w:rPr>
            </w:pPr>
            <w:r>
              <w:rPr>
                <w:rFonts w:ascii="Arial" w:cs="Arial" w:eastAsia="Arial" w:hAnsi="Arial"/>
                <w:sz w:val="14"/>
                <w:szCs w:val="14"/>
                <w:b w:val="1"/>
                <w:bCs w:val="1"/>
                <w:color w:val="auto"/>
              </w:rPr>
              <w:t>Minimum Commitment</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Arial" w:cs="Arial" w:eastAsia="Arial" w:hAnsi="Arial"/>
                <w:sz w:val="14"/>
                <w:szCs w:val="14"/>
                <w:color w:val="auto"/>
              </w:rPr>
              <w:t>2023</w:t>
            </w:r>
          </w:p>
        </w:tc>
        <w:tc>
          <w:tcPr>
            <w:tcW w:w="4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Arial" w:cs="Arial" w:eastAsia="Arial" w:hAnsi="Arial"/>
                <w:sz w:val="14"/>
                <w:szCs w:val="14"/>
                <w:color w:val="auto"/>
              </w:rPr>
              <w:t>2025</w:t>
            </w:r>
          </w:p>
        </w:tc>
        <w:tc>
          <w:tcPr>
            <w:tcW w:w="4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4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4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269"/>
              <w:spacing w:after="0"/>
              <w:rPr>
                <w:sz w:val="20"/>
                <w:szCs w:val="20"/>
                <w:color w:val="auto"/>
              </w:rPr>
            </w:pPr>
            <w:r>
              <w:rPr>
                <w:rFonts w:ascii="Arial" w:cs="Arial" w:eastAsia="Arial" w:hAnsi="Arial"/>
                <w:sz w:val="14"/>
                <w:szCs w:val="14"/>
                <w:color w:val="auto"/>
              </w:rPr>
              <w:t>96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6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40" w:type="dxa"/>
            <w:vAlign w:val="bottom"/>
            <w:tcBorders>
              <w:bottom w:val="single" w:sz="8" w:color="9A9A9A"/>
            </w:tcBorders>
          </w:tcPr>
          <w:p>
            <w:pPr>
              <w:spacing w:after="0"/>
              <w:rPr>
                <w:sz w:val="6"/>
                <w:szCs w:val="6"/>
                <w:color w:val="auto"/>
              </w:rPr>
            </w:pPr>
          </w:p>
        </w:tc>
        <w:tc>
          <w:tcPr>
            <w:tcW w:w="44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7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Table of Contents</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2022, 2021 AND 2020</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Subsequent Events</w:t>
      </w:r>
    </w:p>
    <w:p>
      <w:pPr>
        <w:spacing w:after="0" w:line="193" w:lineRule="exact"/>
        <w:rPr>
          <w:sz w:val="20"/>
          <w:szCs w:val="20"/>
          <w:color w:val="auto"/>
        </w:rPr>
      </w:pPr>
    </w:p>
    <w:p>
      <w:pPr>
        <w:ind w:right="120" w:firstLine="382"/>
        <w:spacing w:after="0" w:line="277" w:lineRule="auto"/>
        <w:rPr>
          <w:sz w:val="20"/>
          <w:szCs w:val="20"/>
          <w:color w:val="auto"/>
        </w:rPr>
      </w:pPr>
      <w:r>
        <w:rPr>
          <w:rFonts w:ascii="Arial" w:cs="Arial" w:eastAsia="Arial" w:hAnsi="Arial"/>
          <w:sz w:val="13"/>
          <w:szCs w:val="13"/>
          <w:color w:val="auto"/>
        </w:rPr>
        <w:t>On March 7, 2023, the Company announced that the board of directors of the Company approved the appointment of Corey Baker as the Company’s Chief Financial Officer. Mr. Baker joins the Company as Executive Vice President of Finance, and he will succeed to the position of Chief Financial Officer and assume the designation of Principal Financial Officer immediately following the filing of the Company’s Annual Report on Form 10-K for the fiscal year ended December 31, 2022 with the SEC. Mr. Baker will succeed Rowena Ricalde, who has served as the Company’s Interim Chief Financial Officer since September 2022. Ms. Ricalde will be appointed Chief Accounting Officer and continue as the Principal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5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2"/>
          <w:szCs w:val="12"/>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management is required to apply judgment in evaluating the benefits of possible controls and procedures relative to their costs.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management, with the participation of our principal executive officer and principal financial officer, evaluated, as of the end of the period covered by this Annual Report on Form 10-K,</w:t>
      </w:r>
    </w:p>
    <w:p>
      <w:pPr>
        <w:spacing w:after="0" w:line="11" w:lineRule="exact"/>
        <w:rPr>
          <w:sz w:val="20"/>
          <w:szCs w:val="20"/>
          <w:color w:val="auto"/>
        </w:rPr>
      </w:pPr>
    </w:p>
    <w:p>
      <w:pPr>
        <w:ind w:right="440"/>
        <w:spacing w:after="0" w:line="251" w:lineRule="auto"/>
        <w:rPr>
          <w:sz w:val="20"/>
          <w:szCs w:val="20"/>
          <w:color w:val="auto"/>
        </w:rPr>
      </w:pPr>
      <w:r>
        <w:rPr>
          <w:rFonts w:ascii="Arial" w:cs="Arial" w:eastAsia="Arial" w:hAnsi="Arial"/>
          <w:sz w:val="13"/>
          <w:szCs w:val="13"/>
          <w:color w:val="auto"/>
        </w:rPr>
        <w:t>the effectiveness of our disclosure controls and procedures (as defined in Rules 13a-15(e) and 15d-15(e) under the Exchange Act). Based on that evaluation, our principal executive officer and principal financial officer concluded that, as of December 31, 2022, our disclosure controls and procedures were effective at the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72"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174"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2022.</w:t>
      </w:r>
    </w:p>
    <w:p>
      <w:pPr>
        <w:spacing w:after="0" w:line="158" w:lineRule="exact"/>
        <w:rPr>
          <w:sz w:val="20"/>
          <w:szCs w:val="20"/>
          <w:color w:val="auto"/>
        </w:rPr>
      </w:pPr>
    </w:p>
    <w:p>
      <w:pPr>
        <w:ind w:right="440" w:firstLine="509"/>
        <w:spacing w:after="0" w:line="265" w:lineRule="auto"/>
        <w:rPr>
          <w:sz w:val="20"/>
          <w:szCs w:val="20"/>
          <w:color w:val="auto"/>
        </w:rPr>
      </w:pPr>
      <w:r>
        <w:rPr>
          <w:rFonts w:ascii="Arial" w:cs="Arial" w:eastAsia="Arial" w:hAnsi="Arial"/>
          <w:sz w:val="14"/>
          <w:szCs w:val="14"/>
          <w:color w:val="auto"/>
        </w:rPr>
        <w:t>This Annual Report on Form 10-K does not include an attestation report on the Company’s internal control over financial reporting from the Company’s independent registered public accounting firm due to the Company’s status as an “emerging growth company” under the JOBS 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1"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“Election of Directors," "Executive Officers," “Corporate Governance,” and “Delinquent Section 16(a) Reports” in our definitive proxy statement for our 2023 Annual Meeting of Stockholders, and such required information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51" w:lineRule="exact"/>
        <w:rPr>
          <w:sz w:val="20"/>
          <w:szCs w:val="20"/>
          <w:color w:val="auto"/>
        </w:rPr>
      </w:pPr>
    </w:p>
    <w:p>
      <w:pPr>
        <w:ind w:right="160" w:firstLine="509"/>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“Executive Compensation” and “Compensation Committee Interlocks and Insider Participation” in our definitive proxy statement for our 2023 Annual Meeting of Stockholders, and such information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66" w:lineRule="exact"/>
        <w:rPr>
          <w:sz w:val="20"/>
          <w:szCs w:val="20"/>
          <w:color w:val="auto"/>
        </w:rPr>
      </w:pPr>
    </w:p>
    <w:p>
      <w:pPr>
        <w:ind w:right="160" w:firstLine="509"/>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“Executive Compensation” and “Compensation Committee Interlocks and Insider Participation” in our definitive proxy statement for our 2023 Annual Meeting of Stockholders, and such information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66" w:lineRule="exact"/>
        <w:rPr>
          <w:sz w:val="20"/>
          <w:szCs w:val="20"/>
          <w:color w:val="auto"/>
        </w:rPr>
      </w:pPr>
    </w:p>
    <w:p>
      <w:pPr>
        <w:ind w:right="140" w:firstLine="509"/>
        <w:spacing w:after="0" w:line="236" w:lineRule="auto"/>
        <w:rPr>
          <w:sz w:val="20"/>
          <w:szCs w:val="20"/>
          <w:color w:val="auto"/>
        </w:rPr>
      </w:pPr>
      <w:r>
        <w:rPr>
          <w:rFonts w:ascii="Arial" w:cs="Arial" w:eastAsia="Arial" w:hAnsi="Arial"/>
          <w:sz w:val="14"/>
          <w:szCs w:val="14"/>
          <w:color w:val="auto"/>
        </w:rPr>
        <w:t>The remaining information required by this item will be included under the heading “Security Ownership of Certain Beneficial Owners and Management” in our definitive proxy statement for our 2023 Annual Meeting of Stockholders, and such required information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“Certain Relationships and Related Person Transactions,” “Corporate Governance” and “Director Independence” in our definitive proxy statement for our 2023 Annual Meeting of Stockholders, and such information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1" w:lineRule="exact"/>
        <w:rPr>
          <w:sz w:val="20"/>
          <w:szCs w:val="20"/>
          <w:color w:val="auto"/>
        </w:rPr>
      </w:pPr>
    </w:p>
    <w:p>
      <w:pPr>
        <w:ind w:right="480" w:firstLine="509"/>
        <w:spacing w:after="0" w:line="236" w:lineRule="auto"/>
        <w:rPr>
          <w:sz w:val="20"/>
          <w:szCs w:val="20"/>
          <w:color w:val="auto"/>
        </w:rPr>
      </w:pPr>
      <w:r>
        <w:rPr>
          <w:rFonts w:ascii="Arial" w:cs="Arial" w:eastAsia="Arial" w:hAnsi="Arial"/>
          <w:sz w:val="14"/>
          <w:szCs w:val="14"/>
          <w:color w:val="auto"/>
        </w:rPr>
        <w:t>The information required by this item will be included under the heading “Principal Accountant Fees and Services” in our definitive proxy statement for our 2023 Annual Meeting of Stockholders, and such information is incorporated herein by reference.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IV</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(a)(1)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See the listing of the consolidated financial statements included in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(a)(2) Financial Statement Schedules.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Separate financial schedules have been omitted because such information is inapplicable or is included in the financial statements or notes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(a)(3) Exhibits.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exhibits filed as part of this Annual Report on Form 10-K.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500"/>
              <w:spacing w:after="0"/>
              <w:rPr>
                <w:sz w:val="20"/>
                <w:szCs w:val="20"/>
                <w:color w:val="auto"/>
              </w:rPr>
            </w:pPr>
            <w:r>
              <w:rPr>
                <w:rFonts w:ascii="Arial" w:cs="Arial" w:eastAsia="Arial" w:hAnsi="Arial"/>
                <w:sz w:val="11"/>
                <w:szCs w:val="11"/>
                <w:b w:val="1"/>
                <w:bCs w:val="1"/>
                <w:color w:val="auto"/>
              </w:rPr>
              <w:t>Incorporated by Reference</w:t>
            </w: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1"/>
                <w:szCs w:val="11"/>
                <w:b w:val="1"/>
                <w:bCs w:val="1"/>
                <w:color w:val="auto"/>
                <w:w w:val="97"/>
              </w:rPr>
              <w:t>Filed/</w:t>
            </w:r>
          </w:p>
        </w:tc>
        <w:tc>
          <w:tcPr>
            <w:tcW w:w="0" w:type="dxa"/>
            <w:vAlign w:val="bottom"/>
          </w:tcPr>
          <w:p>
            <w:pPr>
              <w:spacing w:after="0"/>
              <w:rPr>
                <w:sz w:val="1"/>
                <w:szCs w:val="1"/>
                <w:color w:val="auto"/>
              </w:rPr>
            </w:pPr>
          </w:p>
        </w:tc>
      </w:tr>
      <w:tr>
        <w:trPr>
          <w:trHeight w:val="95"/>
        </w:trPr>
        <w:tc>
          <w:tcPr>
            <w:tcW w:w="1000" w:type="dxa"/>
            <w:vAlign w:val="bottom"/>
            <w:gridSpan w:val="2"/>
          </w:tcPr>
          <w:p>
            <w:pPr>
              <w:ind w:left="20"/>
              <w:spacing w:after="0" w:line="96" w:lineRule="exact"/>
              <w:rPr>
                <w:sz w:val="20"/>
                <w:szCs w:val="20"/>
                <w:color w:val="auto"/>
              </w:rPr>
            </w:pPr>
            <w:r>
              <w:rPr>
                <w:rFonts w:ascii="Arial" w:cs="Arial" w:eastAsia="Arial" w:hAnsi="Arial"/>
                <w:sz w:val="11"/>
                <w:szCs w:val="11"/>
                <w:b w:val="1"/>
                <w:bCs w:val="1"/>
                <w:color w:val="auto"/>
              </w:rPr>
              <w:t>Exhibit</w:t>
            </w:r>
          </w:p>
        </w:tc>
        <w:tc>
          <w:tcPr>
            <w:tcW w:w="4180" w:type="dxa"/>
            <w:vAlign w:val="bottom"/>
            <w:vMerge w:val="restart"/>
          </w:tcPr>
          <w:p>
            <w:pPr>
              <w:ind w:left="1620"/>
              <w:spacing w:after="0"/>
              <w:rPr>
                <w:sz w:val="20"/>
                <w:szCs w:val="20"/>
                <w:color w:val="auto"/>
              </w:rPr>
            </w:pPr>
            <w:r>
              <w:rPr>
                <w:rFonts w:ascii="Arial" w:cs="Arial" w:eastAsia="Arial" w:hAnsi="Arial"/>
                <w:sz w:val="11"/>
                <w:szCs w:val="11"/>
                <w:b w:val="1"/>
                <w:bCs w:val="1"/>
                <w:color w:val="auto"/>
              </w:rPr>
              <w:t>Exhibit Description</w:t>
            </w:r>
          </w:p>
        </w:tc>
        <w:tc>
          <w:tcPr>
            <w:tcW w:w="80" w:type="dxa"/>
            <w:vAlign w:val="bottom"/>
            <w:vMerge w:val="restart"/>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Form</w:t>
            </w:r>
          </w:p>
        </w:tc>
        <w:tc>
          <w:tcPr>
            <w:tcW w:w="100" w:type="dxa"/>
            <w:vAlign w:val="bottom"/>
            <w:vMerge w:val="restart"/>
          </w:tcPr>
          <w:p>
            <w:pPr>
              <w:spacing w:after="0"/>
              <w:rPr>
                <w:sz w:val="8"/>
                <w:szCs w:val="8"/>
                <w:color w:val="auto"/>
              </w:rPr>
            </w:pPr>
          </w:p>
        </w:tc>
        <w:tc>
          <w:tcPr>
            <w:tcW w:w="122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File No.</w:t>
            </w:r>
          </w:p>
        </w:tc>
        <w:tc>
          <w:tcPr>
            <w:tcW w:w="80" w:type="dxa"/>
            <w:vAlign w:val="bottom"/>
            <w:vMerge w:val="restart"/>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Exhibit</w:t>
            </w:r>
          </w:p>
        </w:tc>
        <w:tc>
          <w:tcPr>
            <w:tcW w:w="100" w:type="dxa"/>
            <w:vAlign w:val="bottom"/>
            <w:vMerge w:val="restart"/>
          </w:tcPr>
          <w:p>
            <w:pPr>
              <w:spacing w:after="0"/>
              <w:rPr>
                <w:sz w:val="8"/>
                <w:szCs w:val="8"/>
                <w:color w:val="auto"/>
              </w:rPr>
            </w:pPr>
          </w:p>
        </w:tc>
        <w:tc>
          <w:tcPr>
            <w:tcW w:w="9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Filing Date</w:t>
            </w:r>
          </w:p>
        </w:tc>
        <w:tc>
          <w:tcPr>
            <w:tcW w:w="140" w:type="dxa"/>
            <w:vAlign w:val="bottom"/>
            <w:vMerge w:val="restart"/>
          </w:tcPr>
          <w:p>
            <w:pPr>
              <w:spacing w:after="0"/>
              <w:rPr>
                <w:sz w:val="8"/>
                <w:szCs w:val="8"/>
                <w:color w:val="auto"/>
              </w:rPr>
            </w:pPr>
          </w:p>
        </w:tc>
        <w:tc>
          <w:tcPr>
            <w:tcW w:w="20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Furnished Herewith</w:t>
            </w:r>
          </w:p>
        </w:tc>
        <w:tc>
          <w:tcPr>
            <w:tcW w:w="0" w:type="dxa"/>
            <w:vAlign w:val="bottom"/>
          </w:tcPr>
          <w:p>
            <w:pPr>
              <w:spacing w:after="0"/>
              <w:rPr>
                <w:sz w:val="1"/>
                <w:szCs w:val="1"/>
                <w:color w:val="auto"/>
              </w:rPr>
            </w:pPr>
          </w:p>
        </w:tc>
      </w:tr>
      <w:tr>
        <w:trPr>
          <w:trHeight w:val="15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3"/>
                <w:szCs w:val="13"/>
                <w:color w:val="auto"/>
              </w:rPr>
            </w:pPr>
          </w:p>
        </w:tc>
        <w:tc>
          <w:tcPr>
            <w:tcW w:w="41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11280"/>
          </w:cols>
          <w:pgMar w:left="300" w:top="118" w:right="319" w:bottom="1440" w:gutter="0" w:footer="0" w:header="0"/>
        </w:sectPr>
      </w:pPr>
    </w:p>
    <w:tbl>
      <w:tblPr>
        <w:tblLayout w:type="fixed"/>
        <w:tblInd w:w="2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color w:val="auto"/>
              </w:rPr>
              <w:t>3.1</w:t>
            </w:r>
          </w:p>
        </w:tc>
        <w:tc>
          <w:tcPr>
            <w:tcW w:w="4180" w:type="dxa"/>
            <w:vAlign w:val="bottom"/>
            <w:gridSpan w:val="7"/>
          </w:tcPr>
          <w:p>
            <w:pPr>
              <w:spacing w:after="0"/>
              <w:rPr>
                <w:rFonts w:ascii="Arial" w:cs="Arial" w:eastAsia="Arial" w:hAnsi="Arial"/>
                <w:sz w:val="14"/>
                <w:szCs w:val="14"/>
                <w:color w:val="0000FF"/>
                <w:w w:val="94"/>
              </w:rPr>
            </w:pPr>
            <w:hyperlink r:id="rId157">
              <w:r>
                <w:rPr>
                  <w:rFonts w:ascii="Arial" w:cs="Arial" w:eastAsia="Arial" w:hAnsi="Arial"/>
                  <w:sz w:val="14"/>
                  <w:szCs w:val="14"/>
                  <w:color w:val="0000FF"/>
                  <w:w w:val="94"/>
                </w:rPr>
                <w:t>Second Amended and Restated Certificate of Incorporation of The Vita</w:t>
              </w:r>
            </w:hyperlink>
          </w:p>
        </w:tc>
        <w:tc>
          <w:tcPr>
            <w:tcW w:w="300" w:type="dxa"/>
            <w:vAlign w:val="bottom"/>
          </w:tcPr>
          <w:p>
            <w:pPr>
              <w:ind w:left="80"/>
              <w:spacing w:after="0"/>
              <w:rPr>
                <w:sz w:val="20"/>
                <w:szCs w:val="20"/>
                <w:color w:val="auto"/>
              </w:rPr>
            </w:pPr>
            <w:r>
              <w:rPr>
                <w:rFonts w:ascii="Arial" w:cs="Arial" w:eastAsia="Arial" w:hAnsi="Arial"/>
                <w:sz w:val="14"/>
                <w:szCs w:val="14"/>
                <w:color w:val="auto"/>
                <w:w w:val="91"/>
              </w:rPr>
              <w:t>8-K</w:t>
            </w:r>
          </w:p>
        </w:tc>
      </w:tr>
      <w:tr>
        <w:trPr>
          <w:trHeight w:val="118"/>
        </w:trPr>
        <w:tc>
          <w:tcPr>
            <w:tcW w:w="1000" w:type="dxa"/>
            <w:vAlign w:val="bottom"/>
          </w:tcPr>
          <w:p>
            <w:pPr>
              <w:spacing w:after="0"/>
              <w:rPr>
                <w:sz w:val="10"/>
                <w:szCs w:val="10"/>
                <w:color w:val="auto"/>
              </w:rPr>
            </w:pPr>
          </w:p>
        </w:tc>
        <w:tc>
          <w:tcPr>
            <w:tcW w:w="11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6"/>
              </w:rPr>
            </w:pPr>
            <w:r>
              <w:rPr>
                <w:rFonts w:ascii="Arial" w:cs="Arial" w:eastAsia="Arial" w:hAnsi="Arial"/>
                <w:sz w:val="13"/>
                <w:szCs w:val="13"/>
                <w:color w:val="0000FF"/>
                <w:w w:val="96"/>
              </w:rPr>
              <w:t xml:space="preserve">Coco </w:t>
            </w:r>
            <w:hyperlink r:id="rId157">
              <w:r>
                <w:rPr>
                  <w:rFonts w:ascii="Arial" w:cs="Arial" w:eastAsia="Arial" w:hAnsi="Arial"/>
                  <w:sz w:val="13"/>
                  <w:szCs w:val="13"/>
                  <w:color w:val="0000FF"/>
                  <w:w w:val="96"/>
                </w:rPr>
                <w:t>Company, Inc.</w:t>
              </w:r>
            </w:hyperlink>
          </w:p>
        </w:tc>
        <w:tc>
          <w:tcPr>
            <w:tcW w:w="2860" w:type="dxa"/>
            <w:vAlign w:val="bottom"/>
            <w:tcBorders>
              <w:top w:val="single" w:sz="8" w:color="0000FF"/>
            </w:tcBorders>
            <w:gridSpan w:val="4"/>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4"/>
                <w:szCs w:val="14"/>
                <w:color w:val="auto"/>
              </w:rPr>
              <w:t>3.2</w:t>
            </w:r>
          </w:p>
        </w:tc>
        <w:tc>
          <w:tcPr>
            <w:tcW w:w="4180" w:type="dxa"/>
            <w:vAlign w:val="bottom"/>
            <w:gridSpan w:val="7"/>
          </w:tcPr>
          <w:p>
            <w:pPr>
              <w:spacing w:after="0"/>
              <w:rPr>
                <w:rFonts w:ascii="Arial" w:cs="Arial" w:eastAsia="Arial" w:hAnsi="Arial"/>
                <w:sz w:val="14"/>
                <w:szCs w:val="14"/>
                <w:color w:val="0000FF"/>
              </w:rPr>
            </w:pPr>
            <w:hyperlink r:id="rId158">
              <w:r>
                <w:rPr>
                  <w:rFonts w:ascii="Arial" w:cs="Arial" w:eastAsia="Arial" w:hAnsi="Arial"/>
                  <w:sz w:val="14"/>
                  <w:szCs w:val="14"/>
                  <w:color w:val="0000FF"/>
                </w:rPr>
                <w:t>Amended and Restated Bylaws of The Vita Coco Company, Inc.</w:t>
              </w:r>
            </w:hyperlink>
          </w:p>
        </w:tc>
        <w:tc>
          <w:tcPr>
            <w:tcW w:w="300" w:type="dxa"/>
            <w:vAlign w:val="bottom"/>
          </w:tcPr>
          <w:p>
            <w:pPr>
              <w:ind w:left="80"/>
              <w:spacing w:after="0"/>
              <w:rPr>
                <w:sz w:val="20"/>
                <w:szCs w:val="20"/>
                <w:color w:val="auto"/>
              </w:rPr>
            </w:pPr>
            <w:r>
              <w:rPr>
                <w:rFonts w:ascii="Arial" w:cs="Arial" w:eastAsia="Arial" w:hAnsi="Arial"/>
                <w:sz w:val="14"/>
                <w:szCs w:val="14"/>
                <w:color w:val="auto"/>
                <w:w w:val="91"/>
              </w:rPr>
              <w:t>8-K</w:t>
            </w:r>
          </w:p>
        </w:tc>
      </w:tr>
      <w:tr>
        <w:trPr>
          <w:trHeight w:val="20"/>
        </w:trPr>
        <w:tc>
          <w:tcPr>
            <w:tcW w:w="100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2"/>
        </w:trPr>
        <w:tc>
          <w:tcPr>
            <w:tcW w:w="1000" w:type="dxa"/>
            <w:vAlign w:val="bottom"/>
          </w:tcPr>
          <w:p>
            <w:pPr>
              <w:spacing w:after="0"/>
              <w:rPr>
                <w:sz w:val="20"/>
                <w:szCs w:val="20"/>
                <w:color w:val="auto"/>
              </w:rPr>
            </w:pPr>
            <w:r>
              <w:rPr>
                <w:rFonts w:ascii="Arial" w:cs="Arial" w:eastAsia="Arial" w:hAnsi="Arial"/>
                <w:sz w:val="14"/>
                <w:szCs w:val="14"/>
                <w:color w:val="auto"/>
              </w:rPr>
              <w:t>4.1</w:t>
            </w:r>
          </w:p>
        </w:tc>
        <w:tc>
          <w:tcPr>
            <w:tcW w:w="4180" w:type="dxa"/>
            <w:vAlign w:val="bottom"/>
            <w:gridSpan w:val="7"/>
          </w:tcPr>
          <w:p>
            <w:pPr>
              <w:spacing w:after="0"/>
              <w:rPr>
                <w:rFonts w:ascii="Arial" w:cs="Arial" w:eastAsia="Arial" w:hAnsi="Arial"/>
                <w:sz w:val="14"/>
                <w:szCs w:val="14"/>
                <w:color w:val="0000FF"/>
                <w:w w:val="96"/>
              </w:rPr>
            </w:pPr>
            <w:hyperlink r:id="rId159">
              <w:r>
                <w:rPr>
                  <w:rFonts w:ascii="Arial" w:cs="Arial" w:eastAsia="Arial" w:hAnsi="Arial"/>
                  <w:sz w:val="14"/>
                  <w:szCs w:val="14"/>
                  <w:color w:val="0000FF"/>
                  <w:w w:val="96"/>
                </w:rPr>
                <w:t>Specimen Common Stock Certificate of The Vita Coco Company, Inc.</w:t>
              </w:r>
            </w:hyperlink>
          </w:p>
        </w:tc>
        <w:tc>
          <w:tcPr>
            <w:tcW w:w="300" w:type="dxa"/>
            <w:vAlign w:val="bottom"/>
          </w:tcPr>
          <w:p>
            <w:pPr>
              <w:ind w:left="80"/>
              <w:spacing w:after="0"/>
              <w:rPr>
                <w:sz w:val="20"/>
                <w:szCs w:val="20"/>
                <w:color w:val="auto"/>
              </w:rPr>
            </w:pPr>
            <w:r>
              <w:rPr>
                <w:rFonts w:ascii="Arial" w:cs="Arial" w:eastAsia="Arial" w:hAnsi="Arial"/>
                <w:sz w:val="14"/>
                <w:szCs w:val="14"/>
                <w:color w:val="auto"/>
                <w:w w:val="91"/>
              </w:rPr>
              <w:t>S-1</w:t>
            </w:r>
          </w:p>
        </w:tc>
      </w:tr>
      <w:tr>
        <w:trPr>
          <w:trHeight w:val="171"/>
        </w:trPr>
        <w:tc>
          <w:tcPr>
            <w:tcW w:w="1000" w:type="dxa"/>
            <w:vAlign w:val="bottom"/>
          </w:tcPr>
          <w:p>
            <w:pPr>
              <w:spacing w:after="0"/>
              <w:rPr>
                <w:sz w:val="20"/>
                <w:szCs w:val="20"/>
                <w:color w:val="auto"/>
              </w:rPr>
            </w:pPr>
            <w:r>
              <w:rPr>
                <w:rFonts w:ascii="Arial" w:cs="Arial" w:eastAsia="Arial" w:hAnsi="Arial"/>
                <w:sz w:val="14"/>
                <w:szCs w:val="14"/>
                <w:color w:val="auto"/>
              </w:rPr>
              <w:t>4.2</w:t>
            </w:r>
          </w:p>
        </w:tc>
        <w:tc>
          <w:tcPr>
            <w:tcW w:w="398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0000FF"/>
              </w:rPr>
              <w:t>Description of Capital Stock.</w:t>
            </w:r>
          </w:p>
        </w:tc>
        <w:tc>
          <w:tcPr>
            <w:tcW w:w="20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4"/>
                <w:szCs w:val="14"/>
                <w:color w:val="auto"/>
              </w:rPr>
              <w:t>4.3+</w:t>
            </w:r>
          </w:p>
        </w:tc>
        <w:tc>
          <w:tcPr>
            <w:tcW w:w="4180" w:type="dxa"/>
            <w:vAlign w:val="bottom"/>
            <w:gridSpan w:val="7"/>
          </w:tcPr>
          <w:p>
            <w:pPr>
              <w:spacing w:after="0"/>
              <w:rPr>
                <w:rFonts w:ascii="Arial" w:cs="Arial" w:eastAsia="Arial" w:hAnsi="Arial"/>
                <w:sz w:val="14"/>
                <w:szCs w:val="14"/>
                <w:color w:val="0000FF"/>
                <w:w w:val="92"/>
              </w:rPr>
            </w:pPr>
            <w:hyperlink r:id="rId160">
              <w:r>
                <w:rPr>
                  <w:rFonts w:ascii="Arial" w:cs="Arial" w:eastAsia="Arial" w:hAnsi="Arial"/>
                  <w:sz w:val="14"/>
                  <w:szCs w:val="14"/>
                  <w:color w:val="0000FF"/>
                  <w:w w:val="92"/>
                </w:rPr>
                <w:t>Registration Rights Agreement, by and among The Vita Coco Company,</w:t>
              </w:r>
            </w:hyperlink>
          </w:p>
        </w:tc>
        <w:tc>
          <w:tcPr>
            <w:tcW w:w="300" w:type="dxa"/>
            <w:vAlign w:val="bottom"/>
          </w:tcPr>
          <w:p>
            <w:pPr>
              <w:ind w:left="80"/>
              <w:spacing w:after="0"/>
              <w:rPr>
                <w:sz w:val="20"/>
                <w:szCs w:val="20"/>
                <w:color w:val="auto"/>
              </w:rPr>
            </w:pPr>
            <w:r>
              <w:rPr>
                <w:rFonts w:ascii="Arial" w:cs="Arial" w:eastAsia="Arial" w:hAnsi="Arial"/>
                <w:sz w:val="14"/>
                <w:szCs w:val="14"/>
                <w:color w:val="auto"/>
                <w:w w:val="91"/>
              </w:rPr>
              <w:t>8-K</w:t>
            </w:r>
          </w:p>
        </w:tc>
      </w:tr>
      <w:tr>
        <w:trPr>
          <w:trHeight w:val="119"/>
        </w:trPr>
        <w:tc>
          <w:tcPr>
            <w:tcW w:w="1000" w:type="dxa"/>
            <w:vAlign w:val="bottom"/>
          </w:tcPr>
          <w:p>
            <w:pPr>
              <w:spacing w:after="0"/>
              <w:rPr>
                <w:sz w:val="10"/>
                <w:szCs w:val="10"/>
                <w:color w:val="auto"/>
              </w:rPr>
            </w:pPr>
          </w:p>
        </w:tc>
        <w:tc>
          <w:tcPr>
            <w:tcW w:w="4100" w:type="dxa"/>
            <w:vAlign w:val="bottom"/>
            <w:tcBorders>
              <w:top w:val="single" w:sz="8" w:color="0000FF"/>
            </w:tcBorders>
            <w:gridSpan w:val="6"/>
          </w:tcPr>
          <w:p>
            <w:pPr>
              <w:spacing w:after="0" w:line="119" w:lineRule="exact"/>
              <w:rPr>
                <w:rFonts w:ascii="Arial" w:cs="Arial" w:eastAsia="Arial" w:hAnsi="Arial"/>
                <w:sz w:val="13"/>
                <w:szCs w:val="13"/>
                <w:u w:val="single" w:color="auto"/>
                <w:color w:val="0000FF"/>
                <w:w w:val="99"/>
              </w:rPr>
            </w:pPr>
            <w:hyperlink r:id="rId160">
              <w:r>
                <w:rPr>
                  <w:rFonts w:ascii="Arial" w:cs="Arial" w:eastAsia="Arial" w:hAnsi="Arial"/>
                  <w:sz w:val="13"/>
                  <w:szCs w:val="13"/>
                  <w:u w:val="single" w:color="auto"/>
                  <w:color w:val="0000FF"/>
                  <w:w w:val="99"/>
                </w:rPr>
                <w:t>Inc. and certain security holders of The Vita Coco Company, Inc., dated</w:t>
              </w:r>
            </w:hyperlink>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r>
    </w:tbl>
    <w:p>
      <w:pPr>
        <w:ind w:left="1020"/>
        <w:spacing w:after="0"/>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as of October 20, 2021.</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960" w:type="dxa"/>
            <w:vAlign w:val="bottom"/>
          </w:tcPr>
          <w:p>
            <w:pPr>
              <w:jc w:val="center"/>
              <w:ind w:right="229"/>
              <w:spacing w:after="0"/>
              <w:rPr>
                <w:sz w:val="20"/>
                <w:szCs w:val="20"/>
                <w:color w:val="auto"/>
              </w:rPr>
            </w:pPr>
            <w:r>
              <w:rPr>
                <w:rFonts w:ascii="Arial" w:cs="Arial" w:eastAsia="Arial" w:hAnsi="Arial"/>
                <w:sz w:val="14"/>
                <w:szCs w:val="14"/>
                <w:color w:val="auto"/>
                <w:w w:val="93"/>
              </w:rPr>
              <w:t>001- 40950</w:t>
            </w:r>
          </w:p>
        </w:tc>
        <w:tc>
          <w:tcPr>
            <w:tcW w:w="700" w:type="dxa"/>
            <w:vAlign w:val="bottom"/>
          </w:tcPr>
          <w:p>
            <w:pPr>
              <w:jc w:val="center"/>
              <w:ind w:left="49"/>
              <w:spacing w:after="0"/>
              <w:rPr>
                <w:sz w:val="20"/>
                <w:szCs w:val="20"/>
                <w:color w:val="auto"/>
              </w:rPr>
            </w:pPr>
            <w:r>
              <w:rPr>
                <w:rFonts w:ascii="Arial" w:cs="Arial" w:eastAsia="Arial" w:hAnsi="Arial"/>
                <w:sz w:val="14"/>
                <w:szCs w:val="14"/>
                <w:color w:val="auto"/>
                <w:w w:val="92"/>
              </w:rPr>
              <w:t>3.1</w:t>
            </w:r>
          </w:p>
        </w:tc>
        <w:tc>
          <w:tcPr>
            <w:tcW w:w="2320" w:type="dxa"/>
            <w:vAlign w:val="bottom"/>
          </w:tcPr>
          <w:p>
            <w:pPr>
              <w:ind w:left="160"/>
              <w:spacing w:after="0"/>
              <w:rPr>
                <w:sz w:val="20"/>
                <w:szCs w:val="20"/>
                <w:color w:val="auto"/>
              </w:rPr>
            </w:pPr>
            <w:r>
              <w:rPr>
                <w:rFonts w:ascii="Arial" w:cs="Arial" w:eastAsia="Arial" w:hAnsi="Arial"/>
                <w:sz w:val="14"/>
                <w:szCs w:val="14"/>
                <w:color w:val="auto"/>
              </w:rPr>
              <w:t>10/25/21</w:t>
            </w:r>
          </w:p>
        </w:tc>
      </w:tr>
      <w:tr>
        <w:trPr>
          <w:trHeight w:val="329"/>
        </w:trPr>
        <w:tc>
          <w:tcPr>
            <w:tcW w:w="960" w:type="dxa"/>
            <w:vAlign w:val="bottom"/>
          </w:tcPr>
          <w:p>
            <w:pPr>
              <w:jc w:val="center"/>
              <w:ind w:right="229"/>
              <w:spacing w:after="0"/>
              <w:rPr>
                <w:sz w:val="20"/>
                <w:szCs w:val="20"/>
                <w:color w:val="auto"/>
              </w:rPr>
            </w:pPr>
            <w:r>
              <w:rPr>
                <w:rFonts w:ascii="Arial" w:cs="Arial" w:eastAsia="Arial" w:hAnsi="Arial"/>
                <w:sz w:val="14"/>
                <w:szCs w:val="14"/>
                <w:color w:val="auto"/>
                <w:w w:val="93"/>
              </w:rPr>
              <w:t>001- 40950</w:t>
            </w:r>
          </w:p>
        </w:tc>
        <w:tc>
          <w:tcPr>
            <w:tcW w:w="700" w:type="dxa"/>
            <w:vAlign w:val="bottom"/>
          </w:tcPr>
          <w:p>
            <w:pPr>
              <w:jc w:val="center"/>
              <w:ind w:left="49"/>
              <w:spacing w:after="0"/>
              <w:rPr>
                <w:sz w:val="20"/>
                <w:szCs w:val="20"/>
                <w:color w:val="auto"/>
              </w:rPr>
            </w:pPr>
            <w:r>
              <w:rPr>
                <w:rFonts w:ascii="Arial" w:cs="Arial" w:eastAsia="Arial" w:hAnsi="Arial"/>
                <w:sz w:val="14"/>
                <w:szCs w:val="14"/>
                <w:color w:val="auto"/>
                <w:w w:val="92"/>
              </w:rPr>
              <w:t>3.2</w:t>
            </w:r>
          </w:p>
        </w:tc>
        <w:tc>
          <w:tcPr>
            <w:tcW w:w="2320" w:type="dxa"/>
            <w:vAlign w:val="bottom"/>
          </w:tcPr>
          <w:p>
            <w:pPr>
              <w:ind w:left="160"/>
              <w:spacing w:after="0"/>
              <w:rPr>
                <w:sz w:val="20"/>
                <w:szCs w:val="20"/>
                <w:color w:val="auto"/>
              </w:rPr>
            </w:pPr>
            <w:r>
              <w:rPr>
                <w:rFonts w:ascii="Arial" w:cs="Arial" w:eastAsia="Arial" w:hAnsi="Arial"/>
                <w:sz w:val="14"/>
                <w:szCs w:val="14"/>
                <w:color w:val="auto"/>
              </w:rPr>
              <w:t>10/25/21</w:t>
            </w:r>
          </w:p>
        </w:tc>
      </w:tr>
      <w:tr>
        <w:trPr>
          <w:trHeight w:val="191"/>
        </w:trPr>
        <w:tc>
          <w:tcPr>
            <w:tcW w:w="960" w:type="dxa"/>
            <w:vAlign w:val="bottom"/>
          </w:tcPr>
          <w:p>
            <w:pPr>
              <w:jc w:val="center"/>
              <w:ind w:right="229"/>
              <w:spacing w:after="0"/>
              <w:rPr>
                <w:sz w:val="20"/>
                <w:szCs w:val="20"/>
                <w:color w:val="auto"/>
              </w:rPr>
            </w:pPr>
            <w:r>
              <w:rPr>
                <w:rFonts w:ascii="Arial" w:cs="Arial" w:eastAsia="Arial" w:hAnsi="Arial"/>
                <w:sz w:val="14"/>
                <w:szCs w:val="14"/>
                <w:color w:val="auto"/>
                <w:w w:val="92"/>
              </w:rPr>
              <w:t>333-29825</w:t>
            </w:r>
          </w:p>
        </w:tc>
        <w:tc>
          <w:tcPr>
            <w:tcW w:w="700" w:type="dxa"/>
            <w:vAlign w:val="bottom"/>
          </w:tcPr>
          <w:p>
            <w:pPr>
              <w:jc w:val="center"/>
              <w:ind w:left="49"/>
              <w:spacing w:after="0"/>
              <w:rPr>
                <w:sz w:val="20"/>
                <w:szCs w:val="20"/>
                <w:color w:val="auto"/>
              </w:rPr>
            </w:pPr>
            <w:r>
              <w:rPr>
                <w:rFonts w:ascii="Arial" w:cs="Arial" w:eastAsia="Arial" w:hAnsi="Arial"/>
                <w:sz w:val="14"/>
                <w:szCs w:val="14"/>
                <w:color w:val="auto"/>
                <w:w w:val="92"/>
              </w:rPr>
              <w:t>4.1</w:t>
            </w:r>
          </w:p>
        </w:tc>
        <w:tc>
          <w:tcPr>
            <w:tcW w:w="2320" w:type="dxa"/>
            <w:vAlign w:val="bottom"/>
          </w:tcPr>
          <w:p>
            <w:pPr>
              <w:ind w:left="160"/>
              <w:spacing w:after="0"/>
              <w:rPr>
                <w:sz w:val="20"/>
                <w:szCs w:val="20"/>
                <w:color w:val="auto"/>
              </w:rPr>
            </w:pPr>
            <w:r>
              <w:rPr>
                <w:rFonts w:ascii="Arial" w:cs="Arial" w:eastAsia="Arial" w:hAnsi="Arial"/>
                <w:sz w:val="14"/>
                <w:szCs w:val="14"/>
                <w:color w:val="auto"/>
              </w:rPr>
              <w:t>9/27/21</w:t>
            </w:r>
          </w:p>
        </w:tc>
      </w:tr>
      <w:tr>
        <w:trPr>
          <w:trHeight w:val="180"/>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ind w:left="2260"/>
              <w:spacing w:after="0"/>
              <w:rPr>
                <w:sz w:val="20"/>
                <w:szCs w:val="20"/>
                <w:color w:val="auto"/>
              </w:rPr>
            </w:pPr>
            <w:r>
              <w:rPr>
                <w:rFonts w:ascii="Arial" w:cs="Arial" w:eastAsia="Arial" w:hAnsi="Arial"/>
                <w:sz w:val="14"/>
                <w:szCs w:val="14"/>
                <w:color w:val="auto"/>
                <w:w w:val="72"/>
              </w:rPr>
              <w:t>*</w:t>
            </w:r>
          </w:p>
        </w:tc>
      </w:tr>
      <w:tr>
        <w:trPr>
          <w:trHeight w:val="223"/>
        </w:trPr>
        <w:tc>
          <w:tcPr>
            <w:tcW w:w="960" w:type="dxa"/>
            <w:vAlign w:val="bottom"/>
          </w:tcPr>
          <w:p>
            <w:pPr>
              <w:jc w:val="center"/>
              <w:ind w:right="229"/>
              <w:spacing w:after="0"/>
              <w:rPr>
                <w:sz w:val="20"/>
                <w:szCs w:val="20"/>
                <w:color w:val="auto"/>
              </w:rPr>
            </w:pPr>
            <w:r>
              <w:rPr>
                <w:rFonts w:ascii="Arial" w:cs="Arial" w:eastAsia="Arial" w:hAnsi="Arial"/>
                <w:sz w:val="14"/>
                <w:szCs w:val="14"/>
                <w:color w:val="auto"/>
                <w:w w:val="93"/>
              </w:rPr>
              <w:t>001- 40950</w:t>
            </w:r>
          </w:p>
        </w:tc>
        <w:tc>
          <w:tcPr>
            <w:tcW w:w="700" w:type="dxa"/>
            <w:vAlign w:val="bottom"/>
          </w:tcPr>
          <w:p>
            <w:pPr>
              <w:jc w:val="center"/>
              <w:ind w:left="69"/>
              <w:spacing w:after="0"/>
              <w:rPr>
                <w:sz w:val="20"/>
                <w:szCs w:val="20"/>
                <w:color w:val="auto"/>
              </w:rPr>
            </w:pPr>
            <w:r>
              <w:rPr>
                <w:rFonts w:ascii="Arial" w:cs="Arial" w:eastAsia="Arial" w:hAnsi="Arial"/>
                <w:sz w:val="14"/>
                <w:szCs w:val="14"/>
                <w:color w:val="auto"/>
                <w:w w:val="87"/>
              </w:rPr>
              <w:t>10.1</w:t>
            </w:r>
          </w:p>
        </w:tc>
        <w:tc>
          <w:tcPr>
            <w:tcW w:w="2320" w:type="dxa"/>
            <w:vAlign w:val="bottom"/>
          </w:tcPr>
          <w:p>
            <w:pPr>
              <w:ind w:left="160"/>
              <w:spacing w:after="0"/>
              <w:rPr>
                <w:sz w:val="20"/>
                <w:szCs w:val="20"/>
                <w:color w:val="auto"/>
              </w:rPr>
            </w:pPr>
            <w:r>
              <w:rPr>
                <w:rFonts w:ascii="Arial" w:cs="Arial" w:eastAsia="Arial" w:hAnsi="Arial"/>
                <w:sz w:val="14"/>
                <w:szCs w:val="14"/>
                <w:color w:val="auto"/>
              </w:rPr>
              <w:t>10/25/21</w:t>
            </w:r>
          </w:p>
        </w:tc>
      </w:tr>
    </w:tbl>
    <w:p>
      <w:pPr>
        <w:spacing w:after="0" w:line="248" w:lineRule="exact"/>
        <w:rPr>
          <w:sz w:val="20"/>
          <w:szCs w:val="20"/>
          <w:color w:val="auto"/>
        </w:rPr>
      </w:pPr>
    </w:p>
    <w:p>
      <w:pPr>
        <w:sectPr>
          <w:pgSz w:w="11900" w:h="16838" w:orient="portrait"/>
          <w:cols w:equalWidth="0" w:num="2">
            <w:col w:w="5580" w:space="720"/>
            <w:col w:w="4980"/>
          </w:cols>
          <w:pgMar w:left="300" w:top="118" w:right="3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1020" w:type="dxa"/>
            <w:vAlign w:val="bottom"/>
          </w:tcPr>
          <w:p>
            <w:pPr>
              <w:ind w:left="20"/>
              <w:spacing w:after="0" w:line="157" w:lineRule="exact"/>
              <w:rPr>
                <w:sz w:val="20"/>
                <w:szCs w:val="20"/>
                <w:color w:val="auto"/>
              </w:rPr>
            </w:pPr>
            <w:r>
              <w:rPr>
                <w:rFonts w:ascii="Arial" w:cs="Arial" w:eastAsia="Arial" w:hAnsi="Arial"/>
                <w:sz w:val="14"/>
                <w:szCs w:val="14"/>
                <w:color w:val="auto"/>
              </w:rPr>
              <w:t>4.4+</w:t>
            </w:r>
          </w:p>
        </w:tc>
        <w:tc>
          <w:tcPr>
            <w:tcW w:w="3740" w:type="dxa"/>
            <w:vAlign w:val="bottom"/>
            <w:tcBorders>
              <w:bottom w:val="single" w:sz="8" w:color="0000FF"/>
            </w:tcBorders>
            <w:gridSpan w:val="10"/>
          </w:tcPr>
          <w:p>
            <w:pPr>
              <w:spacing w:after="0" w:line="147" w:lineRule="exact"/>
              <w:rPr>
                <w:rFonts w:ascii="Arial" w:cs="Arial" w:eastAsia="Arial" w:hAnsi="Arial"/>
                <w:sz w:val="14"/>
                <w:szCs w:val="14"/>
                <w:color w:val="0000FF"/>
                <w:w w:val="91"/>
              </w:rPr>
            </w:pPr>
            <w:hyperlink r:id="rId161">
              <w:r>
                <w:rPr>
                  <w:rFonts w:ascii="Arial" w:cs="Arial" w:eastAsia="Arial" w:hAnsi="Arial"/>
                  <w:sz w:val="14"/>
                  <w:szCs w:val="14"/>
                  <w:color w:val="0000FF"/>
                  <w:w w:val="91"/>
                </w:rPr>
                <w:t>Investor Rights Agreement, among The Vita Coco Company, Inc.,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ind w:left="60"/>
              <w:spacing w:after="0" w:line="157" w:lineRule="exact"/>
              <w:rPr>
                <w:sz w:val="20"/>
                <w:szCs w:val="20"/>
                <w:color w:val="auto"/>
              </w:rPr>
            </w:pPr>
            <w:r>
              <w:rPr>
                <w:rFonts w:ascii="Arial" w:cs="Arial" w:eastAsia="Arial" w:hAnsi="Arial"/>
                <w:sz w:val="14"/>
                <w:szCs w:val="14"/>
                <w:color w:val="auto"/>
              </w:rPr>
              <w:t>8-K</w:t>
            </w:r>
          </w:p>
        </w:tc>
        <w:tc>
          <w:tcPr>
            <w:tcW w:w="1380" w:type="dxa"/>
            <w:vAlign w:val="bottom"/>
          </w:tcPr>
          <w:p>
            <w:pPr>
              <w:jc w:val="center"/>
              <w:ind w:left="49"/>
              <w:spacing w:after="0" w:line="157" w:lineRule="exact"/>
              <w:rPr>
                <w:sz w:val="20"/>
                <w:szCs w:val="20"/>
                <w:color w:val="auto"/>
              </w:rPr>
            </w:pPr>
            <w:r>
              <w:rPr>
                <w:rFonts w:ascii="Arial" w:cs="Arial" w:eastAsia="Arial" w:hAnsi="Arial"/>
                <w:sz w:val="14"/>
                <w:szCs w:val="14"/>
                <w:color w:val="auto"/>
                <w:w w:val="93"/>
              </w:rPr>
              <w:t>001- 40950</w:t>
            </w:r>
          </w:p>
        </w:tc>
        <w:tc>
          <w:tcPr>
            <w:tcW w:w="700" w:type="dxa"/>
            <w:vAlign w:val="bottom"/>
          </w:tcPr>
          <w:p>
            <w:pPr>
              <w:jc w:val="right"/>
              <w:ind w:right="89"/>
              <w:spacing w:after="0" w:line="157" w:lineRule="exact"/>
              <w:rPr>
                <w:sz w:val="20"/>
                <w:szCs w:val="20"/>
                <w:color w:val="auto"/>
              </w:rPr>
            </w:pPr>
            <w:r>
              <w:rPr>
                <w:rFonts w:ascii="Arial" w:cs="Arial" w:eastAsia="Arial" w:hAnsi="Arial"/>
                <w:sz w:val="14"/>
                <w:szCs w:val="14"/>
                <w:color w:val="auto"/>
              </w:rPr>
              <w:t>10.2</w:t>
            </w:r>
          </w:p>
        </w:tc>
        <w:tc>
          <w:tcPr>
            <w:tcW w:w="3320" w:type="dxa"/>
            <w:vAlign w:val="bottom"/>
          </w:tcPr>
          <w:p>
            <w:pPr>
              <w:ind w:left="160"/>
              <w:spacing w:after="0" w:line="157" w:lineRule="exact"/>
              <w:rPr>
                <w:sz w:val="20"/>
                <w:szCs w:val="20"/>
                <w:color w:val="auto"/>
              </w:rPr>
            </w:pPr>
            <w:r>
              <w:rPr>
                <w:rFonts w:ascii="Arial" w:cs="Arial" w:eastAsia="Arial" w:hAnsi="Arial"/>
                <w:sz w:val="14"/>
                <w:szCs w:val="14"/>
                <w:color w:val="auto"/>
              </w:rPr>
              <w:t>10/25/21</w:t>
            </w:r>
          </w:p>
        </w:tc>
      </w:tr>
      <w:tr>
        <w:trPr>
          <w:trHeight w:val="118"/>
        </w:trPr>
        <w:tc>
          <w:tcPr>
            <w:tcW w:w="1020" w:type="dxa"/>
            <w:vAlign w:val="bottom"/>
          </w:tcPr>
          <w:p>
            <w:pPr>
              <w:spacing w:after="0"/>
              <w:rPr>
                <w:sz w:val="10"/>
                <w:szCs w:val="10"/>
                <w:color w:val="auto"/>
              </w:rPr>
            </w:pPr>
          </w:p>
        </w:tc>
        <w:tc>
          <w:tcPr>
            <w:tcW w:w="4200" w:type="dxa"/>
            <w:vAlign w:val="bottom"/>
            <w:gridSpan w:val="22"/>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Verlinvest Beverages SA, Michael Kirban and Ira Liran, dated as of</w:t>
              </w:r>
            </w:hyperlink>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10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r:id="rId161">
              <w:r>
                <w:rPr>
                  <w:rFonts w:ascii="Arial" w:cs="Arial" w:eastAsia="Arial" w:hAnsi="Arial"/>
                  <w:sz w:val="13"/>
                  <w:szCs w:val="13"/>
                  <w:color w:val="0000FF"/>
                  <w:w w:val="96"/>
                </w:rPr>
                <w:t>October 20, 2021.</w:t>
              </w:r>
            </w:hyperlink>
          </w:p>
        </w:tc>
        <w:tc>
          <w:tcPr>
            <w:tcW w:w="2800" w:type="dxa"/>
            <w:vAlign w:val="bottom"/>
            <w:tcBorders>
              <w:top w:val="single" w:sz="8" w:color="0000FF"/>
            </w:tcBorders>
            <w:gridSpan w:val="10"/>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10.1+</w:t>
            </w:r>
          </w:p>
        </w:tc>
        <w:tc>
          <w:tcPr>
            <w:tcW w:w="4200" w:type="dxa"/>
            <w:vAlign w:val="bottom"/>
            <w:gridSpan w:val="22"/>
          </w:tcPr>
          <w:p>
            <w:pPr>
              <w:spacing w:after="0"/>
              <w:rPr>
                <w:rFonts w:ascii="Arial" w:cs="Arial" w:eastAsia="Arial" w:hAnsi="Arial"/>
                <w:sz w:val="14"/>
                <w:szCs w:val="14"/>
                <w:color w:val="0000FF"/>
                <w:w w:val="96"/>
              </w:rPr>
            </w:pPr>
            <w:hyperlink r:id="rId162">
              <w:r>
                <w:rPr>
                  <w:rFonts w:ascii="Arial" w:cs="Arial" w:eastAsia="Arial" w:hAnsi="Arial"/>
                  <w:sz w:val="14"/>
                  <w:szCs w:val="14"/>
                  <w:color w:val="0000FF"/>
                  <w:w w:val="96"/>
                </w:rPr>
                <w:t>Amendment to Credit Agreement, by and between All Market Inc., the</w:t>
              </w:r>
            </w:hyperlink>
          </w:p>
        </w:tc>
        <w:tc>
          <w:tcPr>
            <w:tcW w:w="660" w:type="dxa"/>
            <w:vAlign w:val="bottom"/>
          </w:tcPr>
          <w:p>
            <w:pPr>
              <w:ind w:left="60"/>
              <w:spacing w:after="0"/>
              <w:rPr>
                <w:sz w:val="20"/>
                <w:szCs w:val="20"/>
                <w:color w:val="auto"/>
              </w:rPr>
            </w:pPr>
            <w:r>
              <w:rPr>
                <w:rFonts w:ascii="Arial" w:cs="Arial" w:eastAsia="Arial" w:hAnsi="Arial"/>
                <w:sz w:val="14"/>
                <w:szCs w:val="14"/>
                <w:color w:val="auto"/>
              </w:rPr>
              <w:t>S-1</w:t>
            </w:r>
          </w:p>
        </w:tc>
        <w:tc>
          <w:tcPr>
            <w:tcW w:w="1380" w:type="dxa"/>
            <w:vAlign w:val="bottom"/>
          </w:tcPr>
          <w:p>
            <w:pPr>
              <w:jc w:val="center"/>
              <w:ind w:left="29"/>
              <w:spacing w:after="0" w:line="151" w:lineRule="exact"/>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10.1</w:t>
            </w:r>
          </w:p>
        </w:tc>
        <w:tc>
          <w:tcPr>
            <w:tcW w:w="3320" w:type="dxa"/>
            <w:vAlign w:val="bottom"/>
          </w:tcPr>
          <w:p>
            <w:pPr>
              <w:ind w:left="160"/>
              <w:spacing w:after="0"/>
              <w:rPr>
                <w:sz w:val="20"/>
                <w:szCs w:val="20"/>
                <w:color w:val="auto"/>
              </w:rPr>
            </w:pPr>
            <w:r>
              <w:rPr>
                <w:rFonts w:ascii="Arial" w:cs="Arial" w:eastAsia="Arial" w:hAnsi="Arial"/>
                <w:sz w:val="14"/>
                <w:szCs w:val="14"/>
                <w:color w:val="auto"/>
              </w:rPr>
              <w:t>9/27/21</w:t>
            </w:r>
          </w:p>
        </w:tc>
      </w:tr>
      <w:tr>
        <w:trPr>
          <w:trHeight w:val="118"/>
        </w:trPr>
        <w:tc>
          <w:tcPr>
            <w:tcW w:w="1020" w:type="dxa"/>
            <w:vAlign w:val="bottom"/>
          </w:tcPr>
          <w:p>
            <w:pPr>
              <w:spacing w:after="0"/>
              <w:rPr>
                <w:sz w:val="10"/>
                <w:szCs w:val="10"/>
                <w:color w:val="auto"/>
              </w:rPr>
            </w:pPr>
          </w:p>
        </w:tc>
        <w:tc>
          <w:tcPr>
            <w:tcW w:w="400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Guarantors, and Wells Fargo Bank, National Association, dated as of</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10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4"/>
              </w:rPr>
            </w:pPr>
            <w:hyperlink r:id="rId162">
              <w:r>
                <w:rPr>
                  <w:rFonts w:ascii="Arial" w:cs="Arial" w:eastAsia="Arial" w:hAnsi="Arial"/>
                  <w:sz w:val="13"/>
                  <w:szCs w:val="13"/>
                  <w:color w:val="0000FF"/>
                  <w:w w:val="94"/>
                </w:rPr>
                <w:t>January 11, 2021.</w:t>
              </w:r>
            </w:hyperlink>
          </w:p>
        </w:tc>
        <w:tc>
          <w:tcPr>
            <w:tcW w:w="2900" w:type="dxa"/>
            <w:vAlign w:val="bottom"/>
            <w:tcBorders>
              <w:top w:val="single" w:sz="8" w:color="0000FF"/>
            </w:tcBorders>
            <w:gridSpan w:val="1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10.2+</w:t>
            </w:r>
          </w:p>
        </w:tc>
        <w:tc>
          <w:tcPr>
            <w:tcW w:w="3980" w:type="dxa"/>
            <w:vAlign w:val="bottom"/>
            <w:tcBorders>
              <w:bottom w:val="single" w:sz="8" w:color="0000FF"/>
            </w:tcBorders>
            <w:gridSpan w:val="16"/>
          </w:tcPr>
          <w:p>
            <w:pPr>
              <w:spacing w:after="0"/>
              <w:rPr>
                <w:rFonts w:ascii="Arial" w:cs="Arial" w:eastAsia="Arial" w:hAnsi="Arial"/>
                <w:sz w:val="14"/>
                <w:szCs w:val="14"/>
                <w:color w:val="0000FF"/>
                <w:w w:val="92"/>
              </w:rPr>
            </w:pPr>
            <w:hyperlink r:id="rId163">
              <w:r>
                <w:rPr>
                  <w:rFonts w:ascii="Arial" w:cs="Arial" w:eastAsia="Arial" w:hAnsi="Arial"/>
                  <w:sz w:val="14"/>
                  <w:szCs w:val="14"/>
                  <w:color w:val="0000FF"/>
                  <w:w w:val="92"/>
                </w:rPr>
                <w:t>Second Amendment to Credit Agreement, by and between All Market</w:t>
              </w:r>
            </w:hyperlink>
          </w:p>
        </w:tc>
        <w:tc>
          <w:tcPr>
            <w:tcW w:w="220" w:type="dxa"/>
            <w:vAlign w:val="bottom"/>
            <w:gridSpan w:val="6"/>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S-1</w:t>
            </w:r>
          </w:p>
        </w:tc>
        <w:tc>
          <w:tcPr>
            <w:tcW w:w="1380" w:type="dxa"/>
            <w:vAlign w:val="bottom"/>
          </w:tcPr>
          <w:p>
            <w:pPr>
              <w:jc w:val="center"/>
              <w:ind w:left="29"/>
              <w:spacing w:after="0" w:line="151" w:lineRule="exact"/>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10.2</w:t>
            </w:r>
          </w:p>
        </w:tc>
        <w:tc>
          <w:tcPr>
            <w:tcW w:w="3320" w:type="dxa"/>
            <w:vAlign w:val="bottom"/>
          </w:tcPr>
          <w:p>
            <w:pPr>
              <w:ind w:left="160"/>
              <w:spacing w:after="0"/>
              <w:rPr>
                <w:sz w:val="20"/>
                <w:szCs w:val="20"/>
                <w:color w:val="auto"/>
              </w:rPr>
            </w:pPr>
            <w:r>
              <w:rPr>
                <w:rFonts w:ascii="Arial" w:cs="Arial" w:eastAsia="Arial" w:hAnsi="Arial"/>
                <w:sz w:val="14"/>
                <w:szCs w:val="14"/>
                <w:color w:val="auto"/>
              </w:rPr>
              <w:t>9/27/21</w:t>
            </w:r>
          </w:p>
        </w:tc>
      </w:tr>
      <w:tr>
        <w:trPr>
          <w:trHeight w:val="118"/>
        </w:trPr>
        <w:tc>
          <w:tcPr>
            <w:tcW w:w="1020" w:type="dxa"/>
            <w:vAlign w:val="bottom"/>
          </w:tcPr>
          <w:p>
            <w:pPr>
              <w:spacing w:after="0"/>
              <w:rPr>
                <w:sz w:val="10"/>
                <w:szCs w:val="10"/>
                <w:color w:val="auto"/>
              </w:rPr>
            </w:pPr>
          </w:p>
        </w:tc>
        <w:tc>
          <w:tcPr>
            <w:tcW w:w="4200" w:type="dxa"/>
            <w:vAlign w:val="bottom"/>
            <w:gridSpan w:val="22"/>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Inc., the Guarantors, and Wells Fargo Bank, National Association, dated</w:t>
              </w:r>
            </w:hyperlink>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40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as of May 21, 2021.</w:t>
              </w:r>
            </w:hyperlink>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10.3+</w:t>
            </w:r>
          </w:p>
        </w:tc>
        <w:tc>
          <w:tcPr>
            <w:tcW w:w="4200" w:type="dxa"/>
            <w:vAlign w:val="bottom"/>
            <w:gridSpan w:val="22"/>
          </w:tcPr>
          <w:p>
            <w:pPr>
              <w:spacing w:after="0"/>
              <w:rPr>
                <w:rFonts w:ascii="Arial" w:cs="Arial" w:eastAsia="Arial" w:hAnsi="Arial"/>
                <w:sz w:val="14"/>
                <w:szCs w:val="14"/>
                <w:color w:val="0000FF"/>
              </w:rPr>
            </w:pPr>
            <w:hyperlink r:id="rId164">
              <w:r>
                <w:rPr>
                  <w:rFonts w:ascii="Arial" w:cs="Arial" w:eastAsia="Arial" w:hAnsi="Arial"/>
                  <w:sz w:val="14"/>
                  <w:szCs w:val="14"/>
                  <w:color w:val="0000FF"/>
                </w:rPr>
                <w:t>Third Amendment to Credit Agreement, by and between All Market</w:t>
              </w:r>
            </w:hyperlink>
          </w:p>
        </w:tc>
        <w:tc>
          <w:tcPr>
            <w:tcW w:w="660" w:type="dxa"/>
            <w:vAlign w:val="bottom"/>
          </w:tcPr>
          <w:p>
            <w:pPr>
              <w:ind w:left="60"/>
              <w:spacing w:after="0"/>
              <w:rPr>
                <w:sz w:val="20"/>
                <w:szCs w:val="20"/>
                <w:color w:val="auto"/>
              </w:rPr>
            </w:pPr>
            <w:r>
              <w:rPr>
                <w:rFonts w:ascii="Arial" w:cs="Arial" w:eastAsia="Arial" w:hAnsi="Arial"/>
                <w:sz w:val="14"/>
                <w:szCs w:val="14"/>
                <w:color w:val="auto"/>
              </w:rPr>
              <w:t>10-K</w:t>
            </w:r>
          </w:p>
        </w:tc>
        <w:tc>
          <w:tcPr>
            <w:tcW w:w="1380" w:type="dxa"/>
            <w:vAlign w:val="bottom"/>
          </w:tcPr>
          <w:p>
            <w:pPr>
              <w:jc w:val="right"/>
              <w:ind w:right="549"/>
              <w:spacing w:after="0"/>
              <w:rPr>
                <w:sz w:val="20"/>
                <w:szCs w:val="20"/>
                <w:color w:val="auto"/>
              </w:rPr>
            </w:pPr>
            <w:r>
              <w:rPr>
                <w:rFonts w:ascii="Arial" w:cs="Arial" w:eastAsia="Arial" w:hAnsi="Arial"/>
                <w:sz w:val="14"/>
                <w:szCs w:val="14"/>
                <w:color w:val="auto"/>
              </w:rPr>
              <w:t>001-10950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3320" w:type="dxa"/>
            <w:vAlign w:val="bottom"/>
          </w:tcPr>
          <w:p>
            <w:pPr>
              <w:ind w:left="160"/>
              <w:spacing w:after="0"/>
              <w:rPr>
                <w:sz w:val="20"/>
                <w:szCs w:val="20"/>
                <w:color w:val="auto"/>
              </w:rPr>
            </w:pPr>
            <w:r>
              <w:rPr>
                <w:rFonts w:ascii="Arial" w:cs="Arial" w:eastAsia="Arial" w:hAnsi="Arial"/>
                <w:sz w:val="14"/>
                <w:szCs w:val="14"/>
                <w:color w:val="auto"/>
              </w:rPr>
              <w:t>3/14/22</w:t>
            </w:r>
          </w:p>
        </w:tc>
      </w:tr>
      <w:tr>
        <w:trPr>
          <w:trHeight w:val="20"/>
        </w:trPr>
        <w:tc>
          <w:tcPr>
            <w:tcW w:w="102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18"/>
        </w:trPr>
        <w:tc>
          <w:tcPr>
            <w:tcW w:w="1020" w:type="dxa"/>
            <w:vAlign w:val="bottom"/>
          </w:tcPr>
          <w:p>
            <w:pPr>
              <w:spacing w:after="0"/>
              <w:rPr>
                <w:sz w:val="10"/>
                <w:szCs w:val="10"/>
                <w:color w:val="auto"/>
              </w:rPr>
            </w:pPr>
          </w:p>
        </w:tc>
        <w:tc>
          <w:tcPr>
            <w:tcW w:w="4200" w:type="dxa"/>
            <w:vAlign w:val="bottom"/>
            <w:gridSpan w:val="22"/>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Inc., the Guarantors, and Wells Fargo Bank, National Association, dated</w:t>
              </w:r>
            </w:hyperlink>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40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as of November 2, 2021</w:t>
              </w:r>
              <w:r>
                <w:rPr>
                  <w:rFonts w:ascii="Arial" w:cs="Arial" w:eastAsia="Arial" w:hAnsi="Arial"/>
                  <w:sz w:val="13"/>
                  <w:szCs w:val="13"/>
                  <w:color w:val="000000"/>
                </w:rPr>
                <w:t>.</w:t>
              </w:r>
            </w:hyperlink>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10.4+</w:t>
            </w:r>
          </w:p>
        </w:tc>
        <w:tc>
          <w:tcPr>
            <w:tcW w:w="4200" w:type="dxa"/>
            <w:vAlign w:val="bottom"/>
            <w:gridSpan w:val="22"/>
          </w:tcPr>
          <w:p>
            <w:pPr>
              <w:spacing w:after="0"/>
              <w:rPr>
                <w:sz w:val="20"/>
                <w:szCs w:val="20"/>
                <w:color w:val="auto"/>
              </w:rPr>
            </w:pPr>
            <w:r>
              <w:rPr>
                <w:rFonts w:ascii="Arial" w:cs="Arial" w:eastAsia="Arial" w:hAnsi="Arial"/>
                <w:sz w:val="14"/>
                <w:szCs w:val="14"/>
                <w:color w:val="0000FF"/>
                <w:w w:val="93"/>
              </w:rPr>
              <w:t>Fourth Amendment to the Credit Agreement, by and between All Market</w:t>
            </w: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Pr>
          <w:p>
            <w:pPr>
              <w:ind w:left="2260"/>
              <w:spacing w:after="0"/>
              <w:rPr>
                <w:sz w:val="20"/>
                <w:szCs w:val="20"/>
                <w:color w:val="auto"/>
              </w:rPr>
            </w:pPr>
            <w:r>
              <w:rPr>
                <w:rFonts w:ascii="Arial" w:cs="Arial" w:eastAsia="Arial" w:hAnsi="Arial"/>
                <w:sz w:val="14"/>
                <w:szCs w:val="14"/>
                <w:color w:val="auto"/>
              </w:rPr>
              <w:t>*</w:t>
            </w:r>
          </w:p>
        </w:tc>
      </w:tr>
      <w:tr>
        <w:trPr>
          <w:trHeight w:val="118"/>
        </w:trPr>
        <w:tc>
          <w:tcPr>
            <w:tcW w:w="1020" w:type="dxa"/>
            <w:vAlign w:val="bottom"/>
          </w:tcPr>
          <w:p>
            <w:pPr>
              <w:spacing w:after="0"/>
              <w:rPr>
                <w:sz w:val="10"/>
                <w:szCs w:val="10"/>
                <w:color w:val="auto"/>
              </w:rPr>
            </w:pPr>
          </w:p>
        </w:tc>
        <w:tc>
          <w:tcPr>
            <w:tcW w:w="4140" w:type="dxa"/>
            <w:vAlign w:val="bottom"/>
            <w:tcBorders>
              <w:top w:val="single" w:sz="8" w:color="0000FF"/>
            </w:tcBorders>
            <w:gridSpan w:val="21"/>
          </w:tcPr>
          <w:p>
            <w:pPr>
              <w:spacing w:after="0" w:line="118" w:lineRule="exact"/>
              <w:rPr>
                <w:sz w:val="20"/>
                <w:szCs w:val="20"/>
                <w:color w:val="auto"/>
              </w:rPr>
            </w:pPr>
            <w:r>
              <w:rPr>
                <w:rFonts w:ascii="Arial" w:cs="Arial" w:eastAsia="Arial" w:hAnsi="Arial"/>
                <w:sz w:val="13"/>
                <w:szCs w:val="13"/>
                <w:color w:val="0000FF"/>
                <w:w w:val="99"/>
              </w:rPr>
              <w:t>Inc., the Guarantors, and Wells Fargo Bank, National Association, dated</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18"/>
        </w:trPr>
        <w:tc>
          <w:tcPr>
            <w:tcW w:w="102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5"/>
          </w:tcPr>
          <w:p>
            <w:pPr>
              <w:spacing w:after="0" w:line="118" w:lineRule="exact"/>
              <w:rPr>
                <w:sz w:val="20"/>
                <w:szCs w:val="20"/>
                <w:color w:val="auto"/>
              </w:rPr>
            </w:pPr>
            <w:r>
              <w:rPr>
                <w:rFonts w:ascii="Arial" w:cs="Arial" w:eastAsia="Arial" w:hAnsi="Arial"/>
                <w:sz w:val="13"/>
                <w:szCs w:val="13"/>
                <w:color w:val="0000FF"/>
                <w:w w:val="95"/>
              </w:rPr>
              <w:t>as of December 5, 2022.</w:t>
            </w:r>
          </w:p>
        </w:tc>
        <w:tc>
          <w:tcPr>
            <w:tcW w:w="2700" w:type="dxa"/>
            <w:vAlign w:val="bottom"/>
            <w:tcBorders>
              <w:top w:val="single" w:sz="8" w:color="0000FF"/>
            </w:tcBorders>
            <w:gridSpan w:val="15"/>
          </w:tcPr>
          <w:p>
            <w:pPr>
              <w:spacing w:after="0"/>
              <w:rPr>
                <w:sz w:val="10"/>
                <w:szCs w:val="10"/>
                <w:color w:val="auto"/>
              </w:rPr>
            </w:pPr>
          </w:p>
        </w:tc>
        <w:tc>
          <w:tcPr>
            <w:tcW w:w="1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10.5†</w:t>
            </w:r>
          </w:p>
        </w:tc>
        <w:tc>
          <w:tcPr>
            <w:tcW w:w="3540" w:type="dxa"/>
            <w:vAlign w:val="bottom"/>
            <w:tcBorders>
              <w:bottom w:val="single" w:sz="8" w:color="0000FF"/>
            </w:tcBorders>
            <w:gridSpan w:val="9"/>
          </w:tcPr>
          <w:p>
            <w:pPr>
              <w:spacing w:after="0"/>
              <w:rPr>
                <w:rFonts w:ascii="Arial" w:cs="Arial" w:eastAsia="Arial" w:hAnsi="Arial"/>
                <w:sz w:val="14"/>
                <w:szCs w:val="14"/>
                <w:color w:val="0000FF"/>
                <w:w w:val="93"/>
              </w:rPr>
            </w:pPr>
            <w:hyperlink r:id="rId165">
              <w:r>
                <w:rPr>
                  <w:rFonts w:ascii="Arial" w:cs="Arial" w:eastAsia="Arial" w:hAnsi="Arial"/>
                  <w:sz w:val="14"/>
                  <w:szCs w:val="14"/>
                  <w:color w:val="0000FF"/>
                  <w:w w:val="93"/>
                </w:rPr>
                <w:t>All Market Inc. 2014 Stock Option And Restricted Stock Plan.</w:t>
              </w:r>
            </w:hyperlink>
          </w:p>
        </w:tc>
        <w:tc>
          <w:tcPr>
            <w:tcW w:w="26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29"/>
              <w:spacing w:after="0"/>
              <w:rPr>
                <w:sz w:val="20"/>
                <w:szCs w:val="20"/>
                <w:color w:val="auto"/>
              </w:rPr>
            </w:pPr>
            <w:r>
              <w:rPr>
                <w:rFonts w:ascii="Arial" w:cs="Arial" w:eastAsia="Arial" w:hAnsi="Arial"/>
                <w:sz w:val="14"/>
                <w:szCs w:val="14"/>
                <w:color w:val="auto"/>
                <w:w w:val="90"/>
              </w:rPr>
              <w:t>333-259825</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3320" w:type="dxa"/>
            <w:vAlign w:val="bottom"/>
          </w:tcPr>
          <w:p>
            <w:pPr>
              <w:ind w:left="160"/>
              <w:spacing w:after="0"/>
              <w:rPr>
                <w:sz w:val="20"/>
                <w:szCs w:val="20"/>
                <w:color w:val="auto"/>
              </w:rPr>
            </w:pPr>
            <w:r>
              <w:rPr>
                <w:rFonts w:ascii="Arial" w:cs="Arial" w:eastAsia="Arial" w:hAnsi="Arial"/>
                <w:sz w:val="14"/>
                <w:szCs w:val="14"/>
                <w:color w:val="auto"/>
              </w:rPr>
              <w:t>10/12/21</w:t>
            </w:r>
          </w:p>
        </w:tc>
      </w:tr>
      <w:tr>
        <w:trPr>
          <w:trHeight w:val="182"/>
        </w:trPr>
        <w:tc>
          <w:tcPr>
            <w:tcW w:w="1020" w:type="dxa"/>
            <w:vAlign w:val="bottom"/>
          </w:tcPr>
          <w:p>
            <w:pPr>
              <w:ind w:left="20"/>
              <w:spacing w:after="0"/>
              <w:rPr>
                <w:sz w:val="20"/>
                <w:szCs w:val="20"/>
                <w:color w:val="auto"/>
              </w:rPr>
            </w:pPr>
            <w:r>
              <w:rPr>
                <w:rFonts w:ascii="Arial" w:cs="Arial" w:eastAsia="Arial" w:hAnsi="Arial"/>
                <w:sz w:val="14"/>
                <w:szCs w:val="14"/>
                <w:color w:val="auto"/>
              </w:rPr>
              <w:t>10.6†</w:t>
            </w:r>
          </w:p>
        </w:tc>
        <w:tc>
          <w:tcPr>
            <w:tcW w:w="4200" w:type="dxa"/>
            <w:vAlign w:val="bottom"/>
            <w:gridSpan w:val="22"/>
          </w:tcPr>
          <w:p>
            <w:pPr>
              <w:spacing w:after="0"/>
              <w:rPr>
                <w:rFonts w:ascii="Arial" w:cs="Arial" w:eastAsia="Arial" w:hAnsi="Arial"/>
                <w:sz w:val="14"/>
                <w:szCs w:val="14"/>
                <w:color w:val="0000FF"/>
              </w:rPr>
            </w:pPr>
            <w:hyperlink r:id="rId166">
              <w:r>
                <w:rPr>
                  <w:rFonts w:ascii="Arial" w:cs="Arial" w:eastAsia="Arial" w:hAnsi="Arial"/>
                  <w:sz w:val="14"/>
                  <w:szCs w:val="14"/>
                  <w:color w:val="0000FF"/>
                </w:rPr>
                <w:t>The Vita Coco Company, Inc. 2021 Incentive Award Plan</w:t>
              </w:r>
            </w:hyperlink>
            <w:r>
              <w:rPr>
                <w:rFonts w:ascii="Arial" w:cs="Arial" w:eastAsia="Arial" w:hAnsi="Arial"/>
                <w:sz w:val="14"/>
                <w:szCs w:val="14"/>
                <w:color w:val="000000"/>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10-K</w:t>
            </w:r>
          </w:p>
        </w:tc>
        <w:tc>
          <w:tcPr>
            <w:tcW w:w="1380" w:type="dxa"/>
            <w:vAlign w:val="bottom"/>
          </w:tcPr>
          <w:p>
            <w:pPr>
              <w:jc w:val="center"/>
              <w:ind w:left="49"/>
              <w:spacing w:after="0"/>
              <w:rPr>
                <w:sz w:val="20"/>
                <w:szCs w:val="20"/>
                <w:color w:val="auto"/>
              </w:rPr>
            </w:pPr>
            <w:r>
              <w:rPr>
                <w:rFonts w:ascii="Arial" w:cs="Arial" w:eastAsia="Arial" w:hAnsi="Arial"/>
                <w:sz w:val="14"/>
                <w:szCs w:val="14"/>
                <w:color w:val="auto"/>
                <w:w w:val="92"/>
              </w:rPr>
              <w:t>001-10950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3320" w:type="dxa"/>
            <w:vAlign w:val="bottom"/>
          </w:tcPr>
          <w:p>
            <w:pPr>
              <w:ind w:left="160"/>
              <w:spacing w:after="0"/>
              <w:rPr>
                <w:sz w:val="20"/>
                <w:szCs w:val="20"/>
                <w:color w:val="auto"/>
              </w:rPr>
            </w:pPr>
            <w:r>
              <w:rPr>
                <w:rFonts w:ascii="Arial" w:cs="Arial" w:eastAsia="Arial" w:hAnsi="Arial"/>
                <w:sz w:val="14"/>
                <w:szCs w:val="14"/>
                <w:color w:val="auto"/>
              </w:rPr>
              <w:t>3/14/22</w:t>
            </w:r>
          </w:p>
        </w:tc>
      </w:tr>
      <w:tr>
        <w:trPr>
          <w:trHeight w:val="20"/>
        </w:trPr>
        <w:tc>
          <w:tcPr>
            <w:tcW w:w="10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6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10.7†</w:t>
            </w:r>
          </w:p>
        </w:tc>
        <w:tc>
          <w:tcPr>
            <w:tcW w:w="4200" w:type="dxa"/>
            <w:vAlign w:val="bottom"/>
            <w:gridSpan w:val="22"/>
          </w:tcPr>
          <w:p>
            <w:pPr>
              <w:spacing w:after="0" w:line="150" w:lineRule="exact"/>
              <w:rPr>
                <w:rFonts w:ascii="Arial" w:cs="Arial" w:eastAsia="Arial" w:hAnsi="Arial"/>
                <w:sz w:val="14"/>
                <w:szCs w:val="14"/>
                <w:color w:val="0000FF"/>
                <w:w w:val="99"/>
              </w:rPr>
            </w:pPr>
            <w:hyperlink r:id="rId167">
              <w:r>
                <w:rPr>
                  <w:rFonts w:ascii="Arial" w:cs="Arial" w:eastAsia="Arial" w:hAnsi="Arial"/>
                  <w:sz w:val="14"/>
                  <w:szCs w:val="14"/>
                  <w:color w:val="0000FF"/>
                  <w:w w:val="99"/>
                </w:rPr>
                <w:t>The Vita Coco Company, Inc. 2021 Employee Stock Purchase Plan</w:t>
              </w:r>
            </w:hyperlink>
            <w:r>
              <w:rPr>
                <w:rFonts w:ascii="Arial" w:cs="Arial" w:eastAsia="Arial" w:hAnsi="Arial"/>
                <w:sz w:val="14"/>
                <w:szCs w:val="14"/>
                <w:color w:val="000000"/>
                <w:w w:val="99"/>
              </w:rPr>
              <w:t>.</w:t>
            </w:r>
          </w:p>
        </w:tc>
        <w:tc>
          <w:tcPr>
            <w:tcW w:w="660" w:type="dxa"/>
            <w:vAlign w:val="bottom"/>
          </w:tcPr>
          <w:p>
            <w:pPr>
              <w:ind w:left="60"/>
              <w:spacing w:after="0" w:line="150" w:lineRule="exact"/>
              <w:rPr>
                <w:sz w:val="20"/>
                <w:szCs w:val="20"/>
                <w:color w:val="auto"/>
              </w:rPr>
            </w:pPr>
            <w:r>
              <w:rPr>
                <w:rFonts w:ascii="Arial" w:cs="Arial" w:eastAsia="Arial" w:hAnsi="Arial"/>
                <w:sz w:val="14"/>
                <w:szCs w:val="14"/>
                <w:color w:val="auto"/>
              </w:rPr>
              <w:t>S-1/A</w:t>
            </w:r>
          </w:p>
        </w:tc>
        <w:tc>
          <w:tcPr>
            <w:tcW w:w="1380" w:type="dxa"/>
            <w:vAlign w:val="bottom"/>
          </w:tcPr>
          <w:p>
            <w:pPr>
              <w:jc w:val="center"/>
              <w:ind w:left="29"/>
              <w:spacing w:after="0" w:line="150" w:lineRule="exact"/>
              <w:rPr>
                <w:sz w:val="20"/>
                <w:szCs w:val="20"/>
                <w:color w:val="auto"/>
              </w:rPr>
            </w:pPr>
            <w:r>
              <w:rPr>
                <w:rFonts w:ascii="Arial" w:cs="Arial" w:eastAsia="Arial" w:hAnsi="Arial"/>
                <w:sz w:val="14"/>
                <w:szCs w:val="14"/>
                <w:color w:val="auto"/>
                <w:w w:val="90"/>
              </w:rPr>
              <w:t>333-259825</w:t>
            </w:r>
          </w:p>
        </w:tc>
        <w:tc>
          <w:tcPr>
            <w:tcW w:w="700" w:type="dxa"/>
            <w:vAlign w:val="bottom"/>
          </w:tcPr>
          <w:p>
            <w:pPr>
              <w:jc w:val="right"/>
              <w:ind w:right="89"/>
              <w:spacing w:after="0" w:line="150" w:lineRule="exact"/>
              <w:rPr>
                <w:sz w:val="20"/>
                <w:szCs w:val="20"/>
                <w:color w:val="auto"/>
              </w:rPr>
            </w:pPr>
            <w:r>
              <w:rPr>
                <w:rFonts w:ascii="Arial" w:cs="Arial" w:eastAsia="Arial" w:hAnsi="Arial"/>
                <w:sz w:val="14"/>
                <w:szCs w:val="14"/>
                <w:color w:val="auto"/>
              </w:rPr>
              <w:t>10.5</w:t>
            </w:r>
          </w:p>
        </w:tc>
        <w:tc>
          <w:tcPr>
            <w:tcW w:w="3320" w:type="dxa"/>
            <w:vAlign w:val="bottom"/>
          </w:tcPr>
          <w:p>
            <w:pPr>
              <w:ind w:left="160"/>
              <w:spacing w:after="0" w:line="150" w:lineRule="exact"/>
              <w:rPr>
                <w:sz w:val="20"/>
                <w:szCs w:val="20"/>
                <w:color w:val="auto"/>
              </w:rPr>
            </w:pPr>
            <w:r>
              <w:rPr>
                <w:rFonts w:ascii="Arial" w:cs="Arial" w:eastAsia="Arial" w:hAnsi="Arial"/>
                <w:sz w:val="14"/>
                <w:szCs w:val="14"/>
                <w:color w:val="auto"/>
              </w:rPr>
              <w:t>10/12/21</w:t>
            </w:r>
          </w:p>
        </w:tc>
      </w:tr>
      <w:tr>
        <w:trPr>
          <w:trHeight w:val="182"/>
        </w:trPr>
        <w:tc>
          <w:tcPr>
            <w:tcW w:w="1020" w:type="dxa"/>
            <w:vAlign w:val="bottom"/>
          </w:tcPr>
          <w:p>
            <w:pPr>
              <w:ind w:left="20"/>
              <w:spacing w:after="0"/>
              <w:rPr>
                <w:sz w:val="20"/>
                <w:szCs w:val="20"/>
                <w:color w:val="auto"/>
              </w:rPr>
            </w:pPr>
            <w:r>
              <w:rPr>
                <w:rFonts w:ascii="Arial" w:cs="Arial" w:eastAsia="Arial" w:hAnsi="Arial"/>
                <w:sz w:val="14"/>
                <w:szCs w:val="14"/>
                <w:color w:val="auto"/>
              </w:rPr>
              <w:t>10.8†</w:t>
            </w:r>
          </w:p>
        </w:tc>
        <w:tc>
          <w:tcPr>
            <w:tcW w:w="2020" w:type="dxa"/>
            <w:vAlign w:val="bottom"/>
            <w:tcBorders>
              <w:top w:val="single" w:sz="8" w:color="0000FF"/>
              <w:bottom w:val="single" w:sz="8" w:color="0000FF"/>
            </w:tcBorders>
            <w:gridSpan w:val="6"/>
          </w:tcPr>
          <w:p>
            <w:pPr>
              <w:spacing w:after="0"/>
              <w:rPr>
                <w:rFonts w:ascii="Arial" w:cs="Arial" w:eastAsia="Arial" w:hAnsi="Arial"/>
                <w:sz w:val="14"/>
                <w:szCs w:val="14"/>
                <w:color w:val="0000FF"/>
                <w:w w:val="93"/>
              </w:rPr>
            </w:pPr>
            <w:hyperlink r:id="rId168">
              <w:r>
                <w:rPr>
                  <w:rFonts w:ascii="Arial" w:cs="Arial" w:eastAsia="Arial" w:hAnsi="Arial"/>
                  <w:sz w:val="14"/>
                  <w:szCs w:val="14"/>
                  <w:color w:val="0000FF"/>
                  <w:w w:val="93"/>
                </w:rPr>
                <w:t>Form of Stock Option Grant Notice</w:t>
              </w:r>
            </w:hyperlink>
          </w:p>
        </w:tc>
        <w:tc>
          <w:tcPr>
            <w:tcW w:w="1780" w:type="dxa"/>
            <w:vAlign w:val="bottom"/>
            <w:tcBorders>
              <w:top w:val="single" w:sz="8" w:color="0000FF"/>
            </w:tcBorders>
            <w:gridSpan w:val="5"/>
          </w:tcPr>
          <w:p>
            <w:pPr>
              <w:spacing w:after="0"/>
              <w:rPr>
                <w:sz w:val="15"/>
                <w:szCs w:val="15"/>
                <w:color w:val="auto"/>
              </w:rPr>
            </w:pPr>
          </w:p>
        </w:tc>
        <w:tc>
          <w:tcPr>
            <w:tcW w:w="400" w:type="dxa"/>
            <w:vAlign w:val="bottom"/>
            <w:gridSpan w:val="11"/>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10-K</w:t>
            </w:r>
          </w:p>
        </w:tc>
        <w:tc>
          <w:tcPr>
            <w:tcW w:w="1380" w:type="dxa"/>
            <w:vAlign w:val="bottom"/>
          </w:tcPr>
          <w:p>
            <w:pPr>
              <w:jc w:val="center"/>
              <w:ind w:left="49"/>
              <w:spacing w:after="0"/>
              <w:rPr>
                <w:sz w:val="20"/>
                <w:szCs w:val="20"/>
                <w:color w:val="auto"/>
              </w:rPr>
            </w:pPr>
            <w:r>
              <w:rPr>
                <w:rFonts w:ascii="Arial" w:cs="Arial" w:eastAsia="Arial" w:hAnsi="Arial"/>
                <w:sz w:val="14"/>
                <w:szCs w:val="14"/>
                <w:color w:val="auto"/>
                <w:w w:val="92"/>
              </w:rPr>
              <w:t>001-10950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3320" w:type="dxa"/>
            <w:vAlign w:val="bottom"/>
          </w:tcPr>
          <w:p>
            <w:pPr>
              <w:ind w:left="160"/>
              <w:spacing w:after="0"/>
              <w:rPr>
                <w:sz w:val="20"/>
                <w:szCs w:val="20"/>
                <w:color w:val="auto"/>
              </w:rPr>
            </w:pPr>
            <w:r>
              <w:rPr>
                <w:rFonts w:ascii="Arial" w:cs="Arial" w:eastAsia="Arial" w:hAnsi="Arial"/>
                <w:sz w:val="14"/>
                <w:szCs w:val="14"/>
                <w:color w:val="auto"/>
              </w:rPr>
              <w:t>3/14/22</w:t>
            </w:r>
          </w:p>
        </w:tc>
      </w:tr>
      <w:tr>
        <w:trPr>
          <w:trHeight w:val="160"/>
        </w:trPr>
        <w:tc>
          <w:tcPr>
            <w:tcW w:w="1020" w:type="dxa"/>
            <w:vAlign w:val="bottom"/>
          </w:tcPr>
          <w:p>
            <w:pPr>
              <w:ind w:left="20"/>
              <w:spacing w:after="0"/>
              <w:rPr>
                <w:sz w:val="20"/>
                <w:szCs w:val="20"/>
                <w:color w:val="auto"/>
              </w:rPr>
            </w:pPr>
            <w:r>
              <w:rPr>
                <w:rFonts w:ascii="Arial" w:cs="Arial" w:eastAsia="Arial" w:hAnsi="Arial"/>
                <w:sz w:val="14"/>
                <w:szCs w:val="14"/>
                <w:color w:val="auto"/>
              </w:rPr>
              <w:t>10.9†</w:t>
            </w:r>
          </w:p>
        </w:tc>
        <w:tc>
          <w:tcPr>
            <w:tcW w:w="2200" w:type="dxa"/>
            <w:vAlign w:val="bottom"/>
            <w:tcBorders>
              <w:bottom w:val="single" w:sz="8" w:color="0000FF"/>
            </w:tcBorders>
            <w:gridSpan w:val="7"/>
          </w:tcPr>
          <w:p>
            <w:pPr>
              <w:spacing w:after="0"/>
              <w:rPr>
                <w:rFonts w:ascii="Arial" w:cs="Arial" w:eastAsia="Arial" w:hAnsi="Arial"/>
                <w:sz w:val="14"/>
                <w:szCs w:val="14"/>
                <w:color w:val="0000FF"/>
                <w:w w:val="92"/>
              </w:rPr>
            </w:pPr>
            <w:hyperlink r:id="rId169">
              <w:r>
                <w:rPr>
                  <w:rFonts w:ascii="Arial" w:cs="Arial" w:eastAsia="Arial" w:hAnsi="Arial"/>
                  <w:sz w:val="14"/>
                  <w:szCs w:val="14"/>
                  <w:color w:val="0000FF"/>
                  <w:w w:val="92"/>
                </w:rPr>
                <w:t>Form of Restricted Stock Grant Notice</w:t>
              </w:r>
            </w:hyperlink>
          </w:p>
        </w:tc>
        <w:tc>
          <w:tcPr>
            <w:tcW w:w="2000" w:type="dxa"/>
            <w:vAlign w:val="bottom"/>
            <w:gridSpan w:val="15"/>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10-K</w:t>
            </w:r>
          </w:p>
        </w:tc>
        <w:tc>
          <w:tcPr>
            <w:tcW w:w="1380" w:type="dxa"/>
            <w:vAlign w:val="bottom"/>
          </w:tcPr>
          <w:p>
            <w:pPr>
              <w:jc w:val="center"/>
              <w:ind w:left="49"/>
              <w:spacing w:after="0"/>
              <w:rPr>
                <w:sz w:val="20"/>
                <w:szCs w:val="20"/>
                <w:color w:val="auto"/>
              </w:rPr>
            </w:pPr>
            <w:r>
              <w:rPr>
                <w:rFonts w:ascii="Arial" w:cs="Arial" w:eastAsia="Arial" w:hAnsi="Arial"/>
                <w:sz w:val="14"/>
                <w:szCs w:val="14"/>
                <w:color w:val="auto"/>
                <w:w w:val="92"/>
              </w:rPr>
              <w:t>001-10950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3320" w:type="dxa"/>
            <w:vAlign w:val="bottom"/>
          </w:tcPr>
          <w:p>
            <w:pPr>
              <w:ind w:left="160"/>
              <w:spacing w:after="0"/>
              <w:rPr>
                <w:sz w:val="20"/>
                <w:szCs w:val="20"/>
                <w:color w:val="auto"/>
              </w:rPr>
            </w:pPr>
            <w:r>
              <w:rPr>
                <w:rFonts w:ascii="Arial" w:cs="Arial" w:eastAsia="Arial" w:hAnsi="Arial"/>
                <w:sz w:val="14"/>
                <w:szCs w:val="14"/>
                <w:color w:val="auto"/>
              </w:rPr>
              <w:t>3/14/22</w:t>
            </w:r>
          </w:p>
        </w:tc>
      </w:tr>
      <w:tr>
        <w:trPr>
          <w:trHeight w:val="160"/>
        </w:trPr>
        <w:tc>
          <w:tcPr>
            <w:tcW w:w="1020" w:type="dxa"/>
            <w:vAlign w:val="bottom"/>
          </w:tcPr>
          <w:p>
            <w:pPr>
              <w:ind w:left="20"/>
              <w:spacing w:after="0"/>
              <w:rPr>
                <w:sz w:val="20"/>
                <w:szCs w:val="20"/>
                <w:color w:val="auto"/>
              </w:rPr>
            </w:pPr>
            <w:r>
              <w:rPr>
                <w:rFonts w:ascii="Arial" w:cs="Arial" w:eastAsia="Arial" w:hAnsi="Arial"/>
                <w:sz w:val="14"/>
                <w:szCs w:val="14"/>
                <w:color w:val="auto"/>
              </w:rPr>
              <w:t>10.10†</w:t>
            </w:r>
          </w:p>
        </w:tc>
        <w:tc>
          <w:tcPr>
            <w:tcW w:w="4200" w:type="dxa"/>
            <w:vAlign w:val="bottom"/>
            <w:gridSpan w:val="22"/>
          </w:tcPr>
          <w:p>
            <w:pPr>
              <w:spacing w:after="0"/>
              <w:rPr>
                <w:rFonts w:ascii="Arial" w:cs="Arial" w:eastAsia="Arial" w:hAnsi="Arial"/>
                <w:sz w:val="14"/>
                <w:szCs w:val="14"/>
                <w:color w:val="0000FF"/>
                <w:w w:val="95"/>
              </w:rPr>
            </w:pPr>
            <w:hyperlink r:id="rId170">
              <w:r>
                <w:rPr>
                  <w:rFonts w:ascii="Arial" w:cs="Arial" w:eastAsia="Arial" w:hAnsi="Arial"/>
                  <w:sz w:val="14"/>
                  <w:szCs w:val="14"/>
                  <w:color w:val="0000FF"/>
                  <w:w w:val="95"/>
                </w:rPr>
                <w:t>Amended and Restated Employment Agreement, by and between The</w:t>
              </w:r>
            </w:hyperlink>
          </w:p>
        </w:tc>
        <w:tc>
          <w:tcPr>
            <w:tcW w:w="660" w:type="dxa"/>
            <w:vAlign w:val="bottom"/>
          </w:tcPr>
          <w:p>
            <w:pPr>
              <w:ind w:left="60"/>
              <w:spacing w:after="0"/>
              <w:rPr>
                <w:sz w:val="20"/>
                <w:szCs w:val="20"/>
                <w:color w:val="auto"/>
              </w:rPr>
            </w:pPr>
            <w:r>
              <w:rPr>
                <w:rFonts w:ascii="Arial" w:cs="Arial" w:eastAsia="Arial" w:hAnsi="Arial"/>
                <w:sz w:val="14"/>
                <w:szCs w:val="14"/>
                <w:color w:val="auto"/>
              </w:rPr>
              <w:t>10-Q</w:t>
            </w:r>
          </w:p>
        </w:tc>
        <w:tc>
          <w:tcPr>
            <w:tcW w:w="1380" w:type="dxa"/>
            <w:vAlign w:val="bottom"/>
          </w:tcPr>
          <w:p>
            <w:pPr>
              <w:jc w:val="center"/>
              <w:ind w:left="49"/>
              <w:spacing w:after="0"/>
              <w:rPr>
                <w:sz w:val="20"/>
                <w:szCs w:val="20"/>
                <w:color w:val="auto"/>
              </w:rPr>
            </w:pPr>
            <w:r>
              <w:rPr>
                <w:rFonts w:ascii="Arial" w:cs="Arial" w:eastAsia="Arial" w:hAnsi="Arial"/>
                <w:sz w:val="14"/>
                <w:szCs w:val="14"/>
                <w:color w:val="auto"/>
                <w:w w:val="92"/>
              </w:rPr>
              <w:t>001-40950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3320" w:type="dxa"/>
            <w:vAlign w:val="bottom"/>
          </w:tcPr>
          <w:p>
            <w:pPr>
              <w:ind w:left="160"/>
              <w:spacing w:after="0"/>
              <w:rPr>
                <w:sz w:val="20"/>
                <w:szCs w:val="20"/>
                <w:color w:val="auto"/>
              </w:rPr>
            </w:pPr>
            <w:r>
              <w:rPr>
                <w:rFonts w:ascii="Arial" w:cs="Arial" w:eastAsia="Arial" w:hAnsi="Arial"/>
                <w:sz w:val="14"/>
                <w:szCs w:val="14"/>
                <w:color w:val="auto"/>
              </w:rPr>
              <w:t>11/17/21</w:t>
            </w:r>
          </w:p>
        </w:tc>
      </w:tr>
      <w:tr>
        <w:trPr>
          <w:trHeight w:val="118"/>
        </w:trPr>
        <w:tc>
          <w:tcPr>
            <w:tcW w:w="102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w w:val="97"/>
              </w:rPr>
            </w:pPr>
            <w:hyperlink r:id="rId170">
              <w:r>
                <w:rPr>
                  <w:rFonts w:ascii="Arial" w:cs="Arial" w:eastAsia="Arial" w:hAnsi="Arial"/>
                  <w:sz w:val="13"/>
                  <w:szCs w:val="13"/>
                  <w:color w:val="0000FF"/>
                  <w:w w:val="97"/>
                </w:rPr>
                <w:t>Vita Coco Company, Inc. and Michael Kirban, dated October 20, 2021.</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10.11†</w:t>
            </w:r>
          </w:p>
        </w:tc>
        <w:tc>
          <w:tcPr>
            <w:tcW w:w="4200" w:type="dxa"/>
            <w:vAlign w:val="bottom"/>
            <w:gridSpan w:val="22"/>
          </w:tcPr>
          <w:p>
            <w:pPr>
              <w:spacing w:after="0"/>
              <w:rPr>
                <w:rFonts w:ascii="Arial" w:cs="Arial" w:eastAsia="Arial" w:hAnsi="Arial"/>
                <w:sz w:val="14"/>
                <w:szCs w:val="14"/>
                <w:color w:val="0000FF"/>
                <w:w w:val="95"/>
              </w:rPr>
            </w:pPr>
            <w:hyperlink r:id="rId171">
              <w:r>
                <w:rPr>
                  <w:rFonts w:ascii="Arial" w:cs="Arial" w:eastAsia="Arial" w:hAnsi="Arial"/>
                  <w:sz w:val="14"/>
                  <w:szCs w:val="14"/>
                  <w:color w:val="0000FF"/>
                  <w:w w:val="95"/>
                </w:rPr>
                <w:t>First Amendment to Employment Agreement, by and between The Vita</w:t>
              </w:r>
            </w:hyperlink>
          </w:p>
        </w:tc>
        <w:tc>
          <w:tcPr>
            <w:tcW w:w="660" w:type="dxa"/>
            <w:vAlign w:val="bottom"/>
          </w:tcPr>
          <w:p>
            <w:pPr>
              <w:ind w:left="60"/>
              <w:spacing w:after="0"/>
              <w:rPr>
                <w:sz w:val="20"/>
                <w:szCs w:val="20"/>
                <w:color w:val="auto"/>
              </w:rPr>
            </w:pPr>
            <w:r>
              <w:rPr>
                <w:rFonts w:ascii="Arial" w:cs="Arial" w:eastAsia="Arial" w:hAnsi="Arial"/>
                <w:sz w:val="14"/>
                <w:szCs w:val="14"/>
                <w:color w:val="auto"/>
              </w:rPr>
              <w:t>10-Q</w:t>
            </w:r>
          </w:p>
        </w:tc>
        <w:tc>
          <w:tcPr>
            <w:tcW w:w="1380" w:type="dxa"/>
            <w:vAlign w:val="bottom"/>
          </w:tcPr>
          <w:p>
            <w:pPr>
              <w:jc w:val="center"/>
              <w:ind w:left="49"/>
              <w:spacing w:after="0"/>
              <w:rPr>
                <w:sz w:val="20"/>
                <w:szCs w:val="20"/>
                <w:color w:val="auto"/>
              </w:rPr>
            </w:pPr>
            <w:r>
              <w:rPr>
                <w:rFonts w:ascii="Arial" w:cs="Arial" w:eastAsia="Arial" w:hAnsi="Arial"/>
                <w:sz w:val="14"/>
                <w:szCs w:val="14"/>
                <w:color w:val="auto"/>
                <w:w w:val="92"/>
              </w:rPr>
              <w:t>001-40950</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10.1</w:t>
            </w:r>
          </w:p>
        </w:tc>
        <w:tc>
          <w:tcPr>
            <w:tcW w:w="3320" w:type="dxa"/>
            <w:vAlign w:val="bottom"/>
          </w:tcPr>
          <w:p>
            <w:pPr>
              <w:ind w:left="160"/>
              <w:spacing w:after="0"/>
              <w:rPr>
                <w:sz w:val="20"/>
                <w:szCs w:val="20"/>
                <w:color w:val="auto"/>
              </w:rPr>
            </w:pPr>
            <w:r>
              <w:rPr>
                <w:rFonts w:ascii="Arial" w:cs="Arial" w:eastAsia="Arial" w:hAnsi="Arial"/>
                <w:sz w:val="14"/>
                <w:szCs w:val="14"/>
                <w:color w:val="auto"/>
              </w:rPr>
              <w:t>11/10/22</w:t>
            </w:r>
          </w:p>
        </w:tc>
      </w:tr>
      <w:tr>
        <w:trPr>
          <w:trHeight w:val="118"/>
        </w:trPr>
        <w:tc>
          <w:tcPr>
            <w:tcW w:w="1020" w:type="dxa"/>
            <w:vAlign w:val="bottom"/>
          </w:tcPr>
          <w:p>
            <w:pPr>
              <w:spacing w:after="0"/>
              <w:rPr>
                <w:sz w:val="10"/>
                <w:szCs w:val="10"/>
                <w:color w:val="auto"/>
              </w:rPr>
            </w:pPr>
          </w:p>
        </w:tc>
        <w:tc>
          <w:tcPr>
            <w:tcW w:w="404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Coco Company, Inc. and Michael Kirban, effective as of May 2, 2022.</w:t>
              </w:r>
            </w:hyperlink>
          </w:p>
        </w:tc>
        <w:tc>
          <w:tcPr>
            <w:tcW w:w="1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743"/>
        </w:trPr>
        <w:tc>
          <w:tcPr>
            <w:tcW w:w="10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100</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5"/>
        </w:trPr>
        <w:tc>
          <w:tcPr>
            <w:tcW w:w="10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3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1"/>
        </w:trPr>
        <w:tc>
          <w:tcPr>
            <w:tcW w:w="1020" w:type="dxa"/>
            <w:vAlign w:val="bottom"/>
          </w:tcPr>
          <w:p>
            <w:pPr>
              <w:spacing w:after="0"/>
              <w:rPr>
                <w:sz w:val="20"/>
                <w:szCs w:val="20"/>
                <w:color w:val="auto"/>
              </w:rPr>
            </w:pPr>
            <w:r>
              <w:rPr>
                <w:rFonts w:ascii="Arial" w:cs="Arial" w:eastAsia="Arial" w:hAnsi="Arial"/>
                <w:sz w:val="14"/>
                <w:szCs w:val="14"/>
                <w:color w:val="auto"/>
                <w:w w:val="90"/>
              </w:rPr>
              <w:t>Table of Contents</w:t>
            </w: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1020" w:type="dxa"/>
            <w:vAlign w:val="bottom"/>
          </w:tcPr>
          <w:p>
            <w:pPr>
              <w:ind w:left="20"/>
              <w:spacing w:after="0"/>
              <w:rPr>
                <w:sz w:val="20"/>
                <w:szCs w:val="20"/>
                <w:color w:val="auto"/>
              </w:rPr>
            </w:pPr>
            <w:r>
              <w:rPr>
                <w:rFonts w:ascii="Arial" w:cs="Arial" w:eastAsia="Arial" w:hAnsi="Arial"/>
                <w:sz w:val="14"/>
                <w:szCs w:val="14"/>
                <w:color w:val="auto"/>
              </w:rPr>
              <w:t>10.12†</w:t>
            </w:r>
          </w:p>
        </w:tc>
        <w:tc>
          <w:tcPr>
            <w:tcW w:w="4100" w:type="dxa"/>
            <w:vAlign w:val="bottom"/>
            <w:gridSpan w:val="11"/>
          </w:tcPr>
          <w:p>
            <w:pPr>
              <w:spacing w:after="0"/>
              <w:rPr>
                <w:rFonts w:ascii="Arial" w:cs="Arial" w:eastAsia="Arial" w:hAnsi="Arial"/>
                <w:sz w:val="14"/>
                <w:szCs w:val="14"/>
                <w:color w:val="0000FF"/>
                <w:w w:val="93"/>
              </w:rPr>
            </w:pPr>
            <w:hyperlink r:id="rId174">
              <w:r>
                <w:rPr>
                  <w:rFonts w:ascii="Arial" w:cs="Arial" w:eastAsia="Arial" w:hAnsi="Arial"/>
                  <w:sz w:val="14"/>
                  <w:szCs w:val="14"/>
                  <w:color w:val="0000FF"/>
                  <w:w w:val="93"/>
                </w:rPr>
                <w:t>Amended and Restated Employment Agreement, by and between The</w:t>
              </w:r>
            </w:hyperlink>
          </w:p>
        </w:tc>
        <w:tc>
          <w:tcPr>
            <w:tcW w:w="840" w:type="dxa"/>
            <w:vAlign w:val="bottom"/>
          </w:tcPr>
          <w:p>
            <w:pPr>
              <w:ind w:left="160"/>
              <w:spacing w:after="0"/>
              <w:rPr>
                <w:sz w:val="20"/>
                <w:szCs w:val="20"/>
                <w:color w:val="auto"/>
              </w:rPr>
            </w:pPr>
            <w:r>
              <w:rPr>
                <w:rFonts w:ascii="Arial" w:cs="Arial" w:eastAsia="Arial" w:hAnsi="Arial"/>
                <w:sz w:val="14"/>
                <w:szCs w:val="14"/>
                <w:color w:val="auto"/>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001-40950</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w w:val="95"/>
              </w:rPr>
              <w:t>10.6</w:t>
            </w:r>
          </w:p>
        </w:tc>
        <w:tc>
          <w:tcPr>
            <w:tcW w:w="2280" w:type="dxa"/>
            <w:vAlign w:val="bottom"/>
          </w:tcPr>
          <w:p>
            <w:pPr>
              <w:ind w:left="140"/>
              <w:spacing w:after="0"/>
              <w:rPr>
                <w:sz w:val="20"/>
                <w:szCs w:val="20"/>
                <w:color w:val="auto"/>
              </w:rPr>
            </w:pPr>
            <w:r>
              <w:rPr>
                <w:rFonts w:ascii="Arial" w:cs="Arial" w:eastAsia="Arial" w:hAnsi="Arial"/>
                <w:sz w:val="14"/>
                <w:szCs w:val="14"/>
                <w:color w:val="auto"/>
              </w:rPr>
              <w:t>11/17/21</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398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Vita Coco Company, Inc. and Martin Roper, dated October 20, 2021.</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10.13†</w:t>
            </w:r>
          </w:p>
        </w:tc>
        <w:tc>
          <w:tcPr>
            <w:tcW w:w="4100" w:type="dxa"/>
            <w:vAlign w:val="bottom"/>
            <w:gridSpan w:val="11"/>
          </w:tcPr>
          <w:p>
            <w:pPr>
              <w:spacing w:after="0"/>
              <w:rPr>
                <w:rFonts w:ascii="Arial" w:cs="Arial" w:eastAsia="Arial" w:hAnsi="Arial"/>
                <w:sz w:val="14"/>
                <w:szCs w:val="14"/>
                <w:color w:val="0000FF"/>
                <w:w w:val="95"/>
              </w:rPr>
            </w:pPr>
            <w:hyperlink r:id="rId175">
              <w:r>
                <w:rPr>
                  <w:rFonts w:ascii="Arial" w:cs="Arial" w:eastAsia="Arial" w:hAnsi="Arial"/>
                  <w:sz w:val="14"/>
                  <w:szCs w:val="14"/>
                  <w:color w:val="0000FF"/>
                  <w:w w:val="95"/>
                </w:rPr>
                <w:t>The Vita Coco Company, Inc. Non-Employee Director Compensation</w:t>
              </w:r>
            </w:hyperlink>
          </w:p>
        </w:tc>
        <w:tc>
          <w:tcPr>
            <w:tcW w:w="840" w:type="dxa"/>
            <w:vAlign w:val="bottom"/>
          </w:tcPr>
          <w:p>
            <w:pPr>
              <w:ind w:left="160"/>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w w:val="95"/>
              </w:rPr>
              <w:t>10.6</w:t>
            </w:r>
          </w:p>
        </w:tc>
        <w:tc>
          <w:tcPr>
            <w:tcW w:w="2280" w:type="dxa"/>
            <w:vAlign w:val="bottom"/>
          </w:tcPr>
          <w:p>
            <w:pPr>
              <w:ind w:left="140"/>
              <w:spacing w:after="0"/>
              <w:rPr>
                <w:sz w:val="20"/>
                <w:szCs w:val="20"/>
                <w:color w:val="auto"/>
              </w:rPr>
            </w:pPr>
            <w:r>
              <w:rPr>
                <w:rFonts w:ascii="Arial" w:cs="Arial" w:eastAsia="Arial" w:hAnsi="Arial"/>
                <w:sz w:val="14"/>
                <w:szCs w:val="14"/>
                <w:color w:val="auto"/>
              </w:rPr>
              <w:t>10/12/21</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9"/>
              </w:rPr>
            </w:pPr>
            <w:hyperlink r:id="rId175">
              <w:r>
                <w:rPr>
                  <w:rFonts w:ascii="Arial" w:cs="Arial" w:eastAsia="Arial" w:hAnsi="Arial"/>
                  <w:sz w:val="13"/>
                  <w:szCs w:val="13"/>
                  <w:color w:val="0000FF"/>
                  <w:w w:val="99"/>
                </w:rPr>
                <w:t>Policy.</w:t>
              </w:r>
            </w:hyperlink>
          </w:p>
        </w:tc>
        <w:tc>
          <w:tcPr>
            <w:tcW w:w="3560" w:type="dxa"/>
            <w:vAlign w:val="bottom"/>
            <w:tcBorders>
              <w:top w:val="single" w:sz="8" w:color="0000FF"/>
            </w:tcBorders>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4"/>
                <w:szCs w:val="14"/>
                <w:color w:val="auto"/>
              </w:rPr>
              <w:t>10.14</w:t>
            </w:r>
          </w:p>
        </w:tc>
        <w:tc>
          <w:tcPr>
            <w:tcW w:w="4100" w:type="dxa"/>
            <w:vAlign w:val="bottom"/>
            <w:gridSpan w:val="11"/>
          </w:tcPr>
          <w:p>
            <w:pPr>
              <w:spacing w:after="0"/>
              <w:rPr>
                <w:rFonts w:ascii="Arial" w:cs="Arial" w:eastAsia="Arial" w:hAnsi="Arial"/>
                <w:sz w:val="14"/>
                <w:szCs w:val="14"/>
                <w:color w:val="0000FF"/>
              </w:rPr>
            </w:pPr>
            <w:hyperlink r:id="rId176">
              <w:r>
                <w:rPr>
                  <w:rFonts w:ascii="Arial" w:cs="Arial" w:eastAsia="Arial" w:hAnsi="Arial"/>
                  <w:sz w:val="14"/>
                  <w:szCs w:val="14"/>
                  <w:color w:val="0000FF"/>
                </w:rPr>
                <w:t>Form of Indemnification Agreement.</w:t>
              </w:r>
            </w:hyperlink>
          </w:p>
        </w:tc>
        <w:tc>
          <w:tcPr>
            <w:tcW w:w="840" w:type="dxa"/>
            <w:vAlign w:val="bottom"/>
          </w:tcPr>
          <w:p>
            <w:pPr>
              <w:ind w:left="160"/>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w w:val="95"/>
              </w:rPr>
              <w:t>10.7</w:t>
            </w:r>
          </w:p>
        </w:tc>
        <w:tc>
          <w:tcPr>
            <w:tcW w:w="2280" w:type="dxa"/>
            <w:vAlign w:val="bottom"/>
          </w:tcPr>
          <w:p>
            <w:pPr>
              <w:ind w:left="140"/>
              <w:spacing w:after="0"/>
              <w:rPr>
                <w:sz w:val="20"/>
                <w:szCs w:val="20"/>
                <w:color w:val="auto"/>
              </w:rPr>
            </w:pPr>
            <w:r>
              <w:rPr>
                <w:rFonts w:ascii="Arial" w:cs="Arial" w:eastAsia="Arial" w:hAnsi="Arial"/>
                <w:sz w:val="14"/>
                <w:szCs w:val="14"/>
                <w:color w:val="auto"/>
              </w:rPr>
              <w:t>10/12/21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20" w:type="dxa"/>
            <w:vAlign w:val="bottom"/>
          </w:tcPr>
          <w:p>
            <w:pPr>
              <w:ind w:left="20"/>
              <w:spacing w:after="0" w:line="161" w:lineRule="exact"/>
              <w:rPr>
                <w:sz w:val="20"/>
                <w:szCs w:val="20"/>
                <w:color w:val="auto"/>
              </w:rPr>
            </w:pPr>
            <w:r>
              <w:rPr>
                <w:rFonts w:ascii="Arial" w:cs="Arial" w:eastAsia="Arial" w:hAnsi="Arial"/>
                <w:sz w:val="14"/>
                <w:szCs w:val="14"/>
                <w:color w:val="auto"/>
              </w:rPr>
              <w:t>10.15</w:t>
            </w:r>
            <w:r>
              <w:rPr>
                <w:rFonts w:ascii="Arial" w:cs="Arial" w:eastAsia="Arial" w:hAnsi="Arial"/>
                <w:sz w:val="16"/>
                <w:szCs w:val="16"/>
                <w:color w:val="auto"/>
              </w:rPr>
              <w:t>+†</w:t>
            </w:r>
          </w:p>
        </w:tc>
        <w:tc>
          <w:tcPr>
            <w:tcW w:w="4040" w:type="dxa"/>
            <w:vAlign w:val="bottom"/>
            <w:tcBorders>
              <w:bottom w:val="single" w:sz="8" w:color="0000FF"/>
            </w:tcBorders>
            <w:gridSpan w:val="10"/>
          </w:tcPr>
          <w:p>
            <w:pPr>
              <w:spacing w:after="0" w:line="150" w:lineRule="exact"/>
              <w:rPr>
                <w:rFonts w:ascii="Arial" w:cs="Arial" w:eastAsia="Arial" w:hAnsi="Arial"/>
                <w:sz w:val="14"/>
                <w:szCs w:val="14"/>
                <w:color w:val="0000FF"/>
                <w:w w:val="91"/>
              </w:rPr>
            </w:pPr>
            <w:hyperlink r:id="rId177">
              <w:r>
                <w:rPr>
                  <w:rFonts w:ascii="Arial" w:cs="Arial" w:eastAsia="Arial" w:hAnsi="Arial"/>
                  <w:sz w:val="14"/>
                  <w:szCs w:val="14"/>
                  <w:color w:val="0000FF"/>
                  <w:w w:val="91"/>
                </w:rPr>
                <w:t>Employment Agreement, by and between All Market Inc. and Jonathan</w:t>
              </w:r>
            </w:hyperlink>
          </w:p>
        </w:tc>
        <w:tc>
          <w:tcPr>
            <w:tcW w:w="6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4"/>
                <w:szCs w:val="14"/>
                <w:color w:val="auto"/>
              </w:rPr>
              <w:t>S-1</w:t>
            </w:r>
          </w:p>
        </w:tc>
        <w:tc>
          <w:tcPr>
            <w:tcW w:w="1300" w:type="dxa"/>
            <w:vAlign w:val="bottom"/>
            <w:vMerge w:val="continue"/>
          </w:tcPr>
          <w:p>
            <w:pPr>
              <w:spacing w:after="0"/>
              <w:rPr>
                <w:sz w:val="13"/>
                <w:szCs w:val="13"/>
                <w:color w:val="auto"/>
              </w:rPr>
            </w:pPr>
          </w:p>
        </w:tc>
        <w:tc>
          <w:tcPr>
            <w:tcW w:w="740" w:type="dxa"/>
            <w:vAlign w:val="bottom"/>
          </w:tcPr>
          <w:p>
            <w:pPr>
              <w:jc w:val="center"/>
              <w:ind w:left="29"/>
              <w:spacing w:after="0"/>
              <w:rPr>
                <w:sz w:val="20"/>
                <w:szCs w:val="20"/>
                <w:color w:val="auto"/>
              </w:rPr>
            </w:pPr>
            <w:r>
              <w:rPr>
                <w:rFonts w:ascii="Arial" w:cs="Arial" w:eastAsia="Arial" w:hAnsi="Arial"/>
                <w:sz w:val="14"/>
                <w:szCs w:val="14"/>
                <w:color w:val="auto"/>
                <w:w w:val="91"/>
              </w:rPr>
              <w:t>10.10</w:t>
            </w:r>
          </w:p>
        </w:tc>
        <w:tc>
          <w:tcPr>
            <w:tcW w:w="2280" w:type="dxa"/>
            <w:vAlign w:val="bottom"/>
          </w:tcPr>
          <w:p>
            <w:pPr>
              <w:ind w:left="140"/>
              <w:spacing w:after="0"/>
              <w:rPr>
                <w:sz w:val="20"/>
                <w:szCs w:val="20"/>
                <w:color w:val="auto"/>
              </w:rPr>
            </w:pPr>
            <w:r>
              <w:rPr>
                <w:rFonts w:ascii="Arial" w:cs="Arial" w:eastAsia="Arial" w:hAnsi="Arial"/>
                <w:sz w:val="14"/>
                <w:szCs w:val="14"/>
                <w:color w:val="auto"/>
              </w:rPr>
              <w:t>9/27/21</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4040" w:type="dxa"/>
            <w:vAlign w:val="bottom"/>
            <w:gridSpan w:val="10"/>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Burth, dated as of February 10, 2020.</w:t>
              </w:r>
            </w:hyperlink>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tcPr>
          <w:p>
            <w:pPr>
              <w:ind w:left="20"/>
              <w:spacing w:after="0" w:line="171" w:lineRule="exact"/>
              <w:rPr>
                <w:sz w:val="20"/>
                <w:szCs w:val="20"/>
                <w:color w:val="auto"/>
              </w:rPr>
            </w:pPr>
            <w:r>
              <w:rPr>
                <w:rFonts w:ascii="Arial" w:cs="Arial" w:eastAsia="Arial" w:hAnsi="Arial"/>
                <w:sz w:val="14"/>
                <w:szCs w:val="14"/>
                <w:color w:val="auto"/>
              </w:rPr>
              <w:t>10.16</w:t>
            </w:r>
            <w:r>
              <w:rPr>
                <w:rFonts w:ascii="Arial" w:cs="Arial" w:eastAsia="Arial" w:hAnsi="Arial"/>
                <w:sz w:val="16"/>
                <w:szCs w:val="16"/>
                <w:color w:val="auto"/>
              </w:rPr>
              <w:t>+†</w:t>
            </w:r>
          </w:p>
        </w:tc>
        <w:tc>
          <w:tcPr>
            <w:tcW w:w="40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92"/>
              </w:rPr>
              <w:t>Employment Agreement, by and between All Market Inc. and Rowena</w:t>
            </w:r>
          </w:p>
        </w:tc>
        <w:tc>
          <w:tcPr>
            <w:tcW w:w="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ind w:left="2240"/>
              <w:spacing w:after="0"/>
              <w:rPr>
                <w:sz w:val="20"/>
                <w:szCs w:val="20"/>
                <w:color w:val="auto"/>
              </w:rPr>
            </w:pPr>
            <w:r>
              <w:rPr>
                <w:rFonts w:ascii="Arial" w:cs="Arial" w:eastAsia="Arial" w:hAnsi="Arial"/>
                <w:sz w:val="7"/>
                <w:szCs w:val="7"/>
                <w:color w:val="auto"/>
                <w:w w:val="71"/>
              </w:rPr>
              <w:t>*</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1920" w:type="dxa"/>
            <w:vAlign w:val="bottom"/>
            <w:tcBorders>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w w:val="96"/>
              </w:rPr>
              <w:t>Ricalde, dated as of June 1, 2021.</w:t>
            </w:r>
          </w:p>
        </w:tc>
        <w:tc>
          <w:tcPr>
            <w:tcW w:w="2080" w:type="dxa"/>
            <w:vAlign w:val="bottom"/>
            <w:gridSpan w:val="7"/>
          </w:tcPr>
          <w:p>
            <w:pPr>
              <w:spacing w:after="0"/>
              <w:rPr>
                <w:sz w:val="10"/>
                <w:szCs w:val="10"/>
                <w:color w:val="auto"/>
              </w:rPr>
            </w:pPr>
          </w:p>
        </w:tc>
        <w:tc>
          <w:tcPr>
            <w:tcW w:w="10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tcPr>
          <w:p>
            <w:pPr>
              <w:ind w:left="20"/>
              <w:spacing w:after="0" w:line="171" w:lineRule="exact"/>
              <w:rPr>
                <w:sz w:val="20"/>
                <w:szCs w:val="20"/>
                <w:color w:val="auto"/>
              </w:rPr>
            </w:pPr>
            <w:r>
              <w:rPr>
                <w:rFonts w:ascii="Arial" w:cs="Arial" w:eastAsia="Arial" w:hAnsi="Arial"/>
                <w:sz w:val="14"/>
                <w:szCs w:val="14"/>
                <w:color w:val="auto"/>
              </w:rPr>
              <w:t>10.17</w:t>
            </w:r>
            <w:r>
              <w:rPr>
                <w:rFonts w:ascii="Arial" w:cs="Arial" w:eastAsia="Arial" w:hAnsi="Arial"/>
                <w:sz w:val="16"/>
                <w:szCs w:val="16"/>
                <w:color w:val="auto"/>
              </w:rPr>
              <w:t>†</w:t>
            </w:r>
          </w:p>
        </w:tc>
        <w:tc>
          <w:tcPr>
            <w:tcW w:w="41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2"/>
              </w:rPr>
              <w:t>Amendment to the Employment Agreement, by and between All Market</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ind w:left="2240"/>
              <w:spacing w:after="0"/>
              <w:rPr>
                <w:sz w:val="20"/>
                <w:szCs w:val="20"/>
                <w:color w:val="auto"/>
              </w:rPr>
            </w:pPr>
            <w:r>
              <w:rPr>
                <w:rFonts w:ascii="Arial" w:cs="Arial" w:eastAsia="Arial" w:hAnsi="Arial"/>
                <w:sz w:val="7"/>
                <w:szCs w:val="7"/>
                <w:color w:val="auto"/>
                <w:w w:val="71"/>
              </w:rPr>
              <w:t>*</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3160" w:type="dxa"/>
            <w:vAlign w:val="bottom"/>
            <w:tcBorders>
              <w:bottom w:val="single" w:sz="8" w:color="0000FF"/>
            </w:tcBorders>
            <w:gridSpan w:val="5"/>
          </w:tcPr>
          <w:p>
            <w:pPr>
              <w:spacing w:after="0" w:line="118" w:lineRule="exact"/>
              <w:rPr>
                <w:sz w:val="20"/>
                <w:szCs w:val="20"/>
                <w:color w:val="auto"/>
              </w:rPr>
            </w:pPr>
            <w:r>
              <w:rPr>
                <w:rFonts w:ascii="Arial" w:cs="Arial" w:eastAsia="Arial" w:hAnsi="Arial"/>
                <w:sz w:val="13"/>
                <w:szCs w:val="13"/>
                <w:color w:val="0000FF"/>
                <w:w w:val="96"/>
              </w:rPr>
              <w:t>Inc. and Rowena Ricalde, dated as of January 12, 2022.</w:t>
            </w:r>
          </w:p>
        </w:tc>
        <w:tc>
          <w:tcPr>
            <w:tcW w:w="940" w:type="dxa"/>
            <w:vAlign w:val="bottom"/>
            <w:gridSpan w:val="6"/>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80"/>
          </w:cols>
          <w:pgMar w:left="300" w:top="118" w:right="31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10.18</w:t>
      </w:r>
      <w:r>
        <w:rPr>
          <w:rFonts w:ascii="Arial" w:cs="Arial" w:eastAsia="Arial" w:hAnsi="Arial"/>
          <w:sz w:val="15"/>
          <w:szCs w:val="15"/>
          <w:color w:val="auto"/>
        </w:rPr>
        <w: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10.19</w:t>
      </w:r>
      <w:r>
        <w:rPr>
          <w:rFonts w:ascii="Arial" w:cs="Arial" w:eastAsia="Arial" w:hAnsi="Arial"/>
          <w:sz w:val="15"/>
          <w:szCs w:val="15"/>
          <w:color w:val="auto"/>
        </w:rPr>
        <w: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10.20</w:t>
      </w:r>
      <w:r>
        <w:rPr>
          <w:rFonts w:ascii="Arial" w:cs="Arial" w:eastAsia="Arial" w:hAnsi="Arial"/>
          <w:sz w:val="15"/>
          <w:szCs w:val="15"/>
          <w:color w:val="auto"/>
        </w:rPr>
        <w:t>+</w:t>
      </w:r>
      <w:r>
        <w:rPr>
          <w:rFonts w:ascii="Arial" w:cs="Arial" w:eastAsia="Arial" w:hAnsi="Arial"/>
          <w:sz w:val="13"/>
          <w:szCs w:val="13"/>
          <w:color w:val="auto"/>
        </w:rPr>
        <w:t>X</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10.21</w:t>
      </w:r>
      <w:r>
        <w:rPr>
          <w:rFonts w:ascii="Arial" w:cs="Arial" w:eastAsia="Arial" w:hAnsi="Arial"/>
          <w:sz w:val="15"/>
          <w:szCs w:val="15"/>
          <w:color w:val="auto"/>
        </w:rPr>
        <w:t>+</w:t>
      </w:r>
      <w:r>
        <w:rPr>
          <w:rFonts w:ascii="Arial" w:cs="Arial" w:eastAsia="Arial" w:hAnsi="Arial"/>
          <w:sz w:val="13"/>
          <w:szCs w:val="13"/>
          <w:color w:val="auto"/>
        </w:rPr>
        <w:t>X</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23.1</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15"/>
          </w:tcPr>
          <w:p>
            <w:pPr>
              <w:spacing w:after="0"/>
              <w:rPr>
                <w:rFonts w:ascii="Arial" w:cs="Arial" w:eastAsia="Arial" w:hAnsi="Arial"/>
                <w:sz w:val="14"/>
                <w:szCs w:val="14"/>
                <w:color w:val="0000FF"/>
                <w:w w:val="96"/>
              </w:rPr>
            </w:pPr>
            <w:hyperlink r:id="rId178">
              <w:r>
                <w:rPr>
                  <w:rFonts w:ascii="Arial" w:cs="Arial" w:eastAsia="Arial" w:hAnsi="Arial"/>
                  <w:sz w:val="14"/>
                  <w:szCs w:val="14"/>
                  <w:color w:val="0000FF"/>
                  <w:w w:val="96"/>
                </w:rPr>
                <w:t>Employment Agreement, by and between All Market Inc. and Charles</w:t>
              </w:r>
            </w:hyperlink>
          </w:p>
        </w:tc>
        <w:tc>
          <w:tcPr>
            <w:tcW w:w="720" w:type="dxa"/>
            <w:vAlign w:val="bottom"/>
          </w:tcPr>
          <w:p>
            <w:pPr>
              <w:ind w:left="120"/>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10.12</w:t>
            </w:r>
          </w:p>
        </w:tc>
        <w:tc>
          <w:tcPr>
            <w:tcW w:w="2300" w:type="dxa"/>
            <w:vAlign w:val="bottom"/>
          </w:tcPr>
          <w:p>
            <w:pPr>
              <w:jc w:val="right"/>
              <w:ind w:right="1669"/>
              <w:spacing w:after="0"/>
              <w:rPr>
                <w:sz w:val="20"/>
                <w:szCs w:val="20"/>
                <w:color w:val="auto"/>
              </w:rPr>
            </w:pPr>
            <w:r>
              <w:rPr>
                <w:rFonts w:ascii="Arial" w:cs="Arial" w:eastAsia="Arial" w:hAnsi="Arial"/>
                <w:sz w:val="14"/>
                <w:szCs w:val="14"/>
                <w:color w:val="auto"/>
              </w:rPr>
              <w:t>9/27/21</w:t>
            </w:r>
          </w:p>
        </w:tc>
        <w:tc>
          <w:tcPr>
            <w:tcW w:w="0" w:type="dxa"/>
            <w:vAlign w:val="bottom"/>
          </w:tcPr>
          <w:p>
            <w:pPr>
              <w:spacing w:after="0"/>
              <w:rPr>
                <w:sz w:val="1"/>
                <w:szCs w:val="1"/>
                <w:color w:val="auto"/>
              </w:rPr>
            </w:pPr>
          </w:p>
        </w:tc>
      </w:tr>
      <w:tr>
        <w:trPr>
          <w:trHeight w:val="118"/>
        </w:trPr>
        <w:tc>
          <w:tcPr>
            <w:tcW w:w="22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6"/>
              </w:rPr>
            </w:pPr>
            <w:hyperlink r:id="rId178">
              <w:r>
                <w:rPr>
                  <w:rFonts w:ascii="Arial" w:cs="Arial" w:eastAsia="Arial" w:hAnsi="Arial"/>
                  <w:sz w:val="13"/>
                  <w:szCs w:val="13"/>
                  <w:color w:val="0000FF"/>
                  <w:w w:val="96"/>
                </w:rPr>
                <w:t>Van Es, dated as of February 10, 2020.</w:t>
              </w:r>
            </w:hyperlink>
          </w:p>
        </w:tc>
        <w:tc>
          <w:tcPr>
            <w:tcW w:w="1780" w:type="dxa"/>
            <w:vAlign w:val="bottom"/>
            <w:tcBorders>
              <w:top w:val="single" w:sz="8" w:color="0000FF"/>
            </w:tcBorders>
            <w:gridSpan w:val="8"/>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0000FF"/>
            </w:tcBorders>
            <w:gridSpan w:val="15"/>
          </w:tcPr>
          <w:p>
            <w:pPr>
              <w:spacing w:after="0"/>
              <w:rPr>
                <w:rFonts w:ascii="Arial" w:cs="Arial" w:eastAsia="Arial" w:hAnsi="Arial"/>
                <w:sz w:val="14"/>
                <w:szCs w:val="14"/>
                <w:color w:val="0000FF"/>
                <w:w w:val="91"/>
              </w:rPr>
            </w:pPr>
            <w:hyperlink r:id="rId179">
              <w:r>
                <w:rPr>
                  <w:rFonts w:ascii="Arial" w:cs="Arial" w:eastAsia="Arial" w:hAnsi="Arial"/>
                  <w:sz w:val="14"/>
                  <w:szCs w:val="14"/>
                  <w:color w:val="0000FF"/>
                  <w:w w:val="91"/>
                </w:rPr>
                <w:t>Employment Agreement, by and between All Market Inc. and Jane Prior,</w:t>
              </w:r>
            </w:hyperlink>
          </w:p>
        </w:tc>
        <w:tc>
          <w:tcPr>
            <w:tcW w:w="720" w:type="dxa"/>
            <w:vAlign w:val="bottom"/>
          </w:tcPr>
          <w:p>
            <w:pPr>
              <w:ind w:left="120"/>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10.13</w:t>
            </w:r>
          </w:p>
        </w:tc>
        <w:tc>
          <w:tcPr>
            <w:tcW w:w="2300" w:type="dxa"/>
            <w:vAlign w:val="bottom"/>
          </w:tcPr>
          <w:p>
            <w:pPr>
              <w:jc w:val="right"/>
              <w:ind w:right="1669"/>
              <w:spacing w:after="0"/>
              <w:rPr>
                <w:sz w:val="20"/>
                <w:szCs w:val="20"/>
                <w:color w:val="auto"/>
              </w:rPr>
            </w:pPr>
            <w:r>
              <w:rPr>
                <w:rFonts w:ascii="Arial" w:cs="Arial" w:eastAsia="Arial" w:hAnsi="Arial"/>
                <w:sz w:val="14"/>
                <w:szCs w:val="14"/>
                <w:color w:val="auto"/>
              </w:rPr>
              <w:t>9/27/21</w:t>
            </w:r>
          </w:p>
        </w:tc>
        <w:tc>
          <w:tcPr>
            <w:tcW w:w="0" w:type="dxa"/>
            <w:vAlign w:val="bottom"/>
          </w:tcPr>
          <w:p>
            <w:pPr>
              <w:spacing w:after="0"/>
              <w:rPr>
                <w:sz w:val="1"/>
                <w:szCs w:val="1"/>
                <w:color w:val="auto"/>
              </w:rPr>
            </w:pPr>
          </w:p>
        </w:tc>
      </w:tr>
      <w:tr>
        <w:trPr>
          <w:trHeight w:val="118"/>
        </w:trPr>
        <w:tc>
          <w:tcPr>
            <w:tcW w:w="1740" w:type="dxa"/>
            <w:vAlign w:val="bottom"/>
            <w:tcBorders>
              <w:bottom w:val="single" w:sz="8" w:color="0000FF"/>
            </w:tcBorders>
            <w:gridSpan w:val="4"/>
          </w:tcPr>
          <w:p>
            <w:pPr>
              <w:spacing w:after="0" w:line="118" w:lineRule="exact"/>
              <w:rPr>
                <w:rFonts w:ascii="Arial" w:cs="Arial" w:eastAsia="Arial" w:hAnsi="Arial"/>
                <w:sz w:val="13"/>
                <w:szCs w:val="13"/>
                <w:color w:val="0000FF"/>
                <w:w w:val="96"/>
              </w:rPr>
            </w:pPr>
            <w:hyperlink r:id="rId179">
              <w:r>
                <w:rPr>
                  <w:rFonts w:ascii="Arial" w:cs="Arial" w:eastAsia="Arial" w:hAnsi="Arial"/>
                  <w:sz w:val="13"/>
                  <w:szCs w:val="13"/>
                  <w:color w:val="0000FF"/>
                  <w:w w:val="96"/>
                </w:rPr>
                <w:t>dated as of February 10, 2020.</w:t>
              </w:r>
            </w:hyperlink>
          </w:p>
        </w:tc>
        <w:tc>
          <w:tcPr>
            <w:tcW w:w="2400" w:type="dxa"/>
            <w:vAlign w:val="bottom"/>
            <w:gridSpan w:val="11"/>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gridSpan w:val="15"/>
          </w:tcPr>
          <w:p>
            <w:pPr>
              <w:spacing w:after="0"/>
              <w:rPr>
                <w:rFonts w:ascii="Arial" w:cs="Arial" w:eastAsia="Arial" w:hAnsi="Arial"/>
                <w:sz w:val="14"/>
                <w:szCs w:val="14"/>
                <w:color w:val="0000FF"/>
              </w:rPr>
            </w:pPr>
            <w:hyperlink r:id="rId180">
              <w:r>
                <w:rPr>
                  <w:rFonts w:ascii="Arial" w:cs="Arial" w:eastAsia="Arial" w:hAnsi="Arial"/>
                  <w:sz w:val="14"/>
                  <w:szCs w:val="14"/>
                  <w:color w:val="0000FF"/>
                </w:rPr>
                <w:t>Manufacturing and Purchasing Agreement, by and among Century</w:t>
              </w:r>
            </w:hyperlink>
          </w:p>
        </w:tc>
        <w:tc>
          <w:tcPr>
            <w:tcW w:w="720" w:type="dxa"/>
            <w:vAlign w:val="bottom"/>
          </w:tcPr>
          <w:p>
            <w:pPr>
              <w:ind w:left="120"/>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10.14</w:t>
            </w:r>
          </w:p>
        </w:tc>
        <w:tc>
          <w:tcPr>
            <w:tcW w:w="2300" w:type="dxa"/>
            <w:vAlign w:val="bottom"/>
          </w:tcPr>
          <w:p>
            <w:pPr>
              <w:jc w:val="right"/>
              <w:ind w:right="1669"/>
              <w:spacing w:after="0"/>
              <w:rPr>
                <w:sz w:val="20"/>
                <w:szCs w:val="20"/>
                <w:color w:val="auto"/>
              </w:rPr>
            </w:pPr>
            <w:r>
              <w:rPr>
                <w:rFonts w:ascii="Arial" w:cs="Arial" w:eastAsia="Arial" w:hAnsi="Arial"/>
                <w:sz w:val="14"/>
                <w:szCs w:val="14"/>
                <w:color w:val="auto"/>
              </w:rPr>
              <w:t>9/27/21</w:t>
            </w:r>
          </w:p>
        </w:tc>
        <w:tc>
          <w:tcPr>
            <w:tcW w:w="0" w:type="dxa"/>
            <w:vAlign w:val="bottom"/>
          </w:tcPr>
          <w:p>
            <w:pPr>
              <w:spacing w:after="0"/>
              <w:rPr>
                <w:sz w:val="1"/>
                <w:szCs w:val="1"/>
                <w:color w:val="auto"/>
              </w:rPr>
            </w:pPr>
          </w:p>
        </w:tc>
      </w:tr>
      <w:tr>
        <w:trPr>
          <w:trHeight w:val="118"/>
        </w:trPr>
        <w:tc>
          <w:tcPr>
            <w:tcW w:w="378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Agriculture Corporation and All Market Singapore Pte. Ltd., dated</w:t>
              </w:r>
            </w:hyperlink>
          </w:p>
        </w:tc>
        <w:tc>
          <w:tcPr>
            <w:tcW w:w="20" w:type="dxa"/>
            <w:vAlign w:val="bottom"/>
          </w:tcPr>
          <w:p>
            <w:pPr>
              <w:spacing w:after="0"/>
              <w:rPr>
                <w:sz w:val="10"/>
                <w:szCs w:val="10"/>
                <w:color w:val="auto"/>
              </w:rPr>
            </w:pPr>
          </w:p>
        </w:tc>
        <w:tc>
          <w:tcPr>
            <w:tcW w:w="340" w:type="dxa"/>
            <w:vAlign w:val="bottom"/>
            <w:gridSpan w:val="4"/>
          </w:tcPr>
          <w:p>
            <w:pPr>
              <w:ind w:left="20"/>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as of</w:t>
              </w:r>
            </w:hyperlink>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88"/>
              </w:rPr>
            </w:pPr>
            <w:hyperlink r:id="rId180">
              <w:r>
                <w:rPr>
                  <w:rFonts w:ascii="Arial" w:cs="Arial" w:eastAsia="Arial" w:hAnsi="Arial"/>
                  <w:sz w:val="14"/>
                  <w:szCs w:val="14"/>
                  <w:color w:val="0000FF"/>
                  <w:w w:val="88"/>
                </w:rPr>
                <w:t>September 17, 2012.</w:t>
              </w:r>
            </w:hyperlink>
          </w:p>
        </w:tc>
        <w:tc>
          <w:tcPr>
            <w:tcW w:w="2900" w:type="dxa"/>
            <w:vAlign w:val="bottom"/>
            <w:tcBorders>
              <w:top w:val="single" w:sz="8" w:color="0000FF"/>
            </w:tcBorders>
            <w:gridSpan w:val="11"/>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vMerge w:val="restart"/>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40" w:type="dxa"/>
            <w:vAlign w:val="bottom"/>
            <w:gridSpan w:val="15"/>
          </w:tcPr>
          <w:p>
            <w:pPr>
              <w:spacing w:after="0"/>
              <w:rPr>
                <w:rFonts w:ascii="Arial" w:cs="Arial" w:eastAsia="Arial" w:hAnsi="Arial"/>
                <w:sz w:val="14"/>
                <w:szCs w:val="14"/>
                <w:color w:val="0000FF"/>
                <w:w w:val="95"/>
              </w:rPr>
            </w:pPr>
            <w:hyperlink r:id="rId181">
              <w:r>
                <w:rPr>
                  <w:rFonts w:ascii="Arial" w:cs="Arial" w:eastAsia="Arial" w:hAnsi="Arial"/>
                  <w:sz w:val="14"/>
                  <w:szCs w:val="14"/>
                  <w:color w:val="0000FF"/>
                  <w:w w:val="95"/>
                </w:rPr>
                <w:t>Manufacturing and Purchasing Agreement, by and among Fresh Fruit</w:t>
              </w:r>
            </w:hyperlink>
          </w:p>
        </w:tc>
        <w:tc>
          <w:tcPr>
            <w:tcW w:w="720" w:type="dxa"/>
            <w:vAlign w:val="bottom"/>
          </w:tcPr>
          <w:p>
            <w:pPr>
              <w:ind w:left="120"/>
              <w:spacing w:after="0"/>
              <w:rPr>
                <w:sz w:val="20"/>
                <w:szCs w:val="20"/>
                <w:color w:val="auto"/>
              </w:rPr>
            </w:pPr>
            <w:r>
              <w:rPr>
                <w:rFonts w:ascii="Arial" w:cs="Arial" w:eastAsia="Arial" w:hAnsi="Arial"/>
                <w:sz w:val="14"/>
                <w:szCs w:val="14"/>
                <w:color w:val="auto"/>
              </w:rPr>
              <w:t>S-1</w:t>
            </w:r>
          </w:p>
        </w:tc>
        <w:tc>
          <w:tcPr>
            <w:tcW w:w="1380" w:type="dxa"/>
            <w:vAlign w:val="bottom"/>
            <w:vMerge w:val="continue"/>
          </w:tcPr>
          <w:p>
            <w:pPr>
              <w:spacing w:after="0"/>
              <w:rPr>
                <w:sz w:val="13"/>
                <w:szCs w:val="13"/>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10.15</w:t>
            </w:r>
          </w:p>
        </w:tc>
        <w:tc>
          <w:tcPr>
            <w:tcW w:w="2300" w:type="dxa"/>
            <w:vAlign w:val="bottom"/>
          </w:tcPr>
          <w:p>
            <w:pPr>
              <w:jc w:val="right"/>
              <w:ind w:right="1669"/>
              <w:spacing w:after="0"/>
              <w:rPr>
                <w:sz w:val="20"/>
                <w:szCs w:val="20"/>
                <w:color w:val="auto"/>
              </w:rPr>
            </w:pPr>
            <w:r>
              <w:rPr>
                <w:rFonts w:ascii="Arial" w:cs="Arial" w:eastAsia="Arial" w:hAnsi="Arial"/>
                <w:sz w:val="14"/>
                <w:szCs w:val="14"/>
                <w:color w:val="auto"/>
              </w:rPr>
              <w:t>9/27/21</w:t>
            </w:r>
          </w:p>
        </w:tc>
        <w:tc>
          <w:tcPr>
            <w:tcW w:w="0" w:type="dxa"/>
            <w:vAlign w:val="bottom"/>
          </w:tcPr>
          <w:p>
            <w:pPr>
              <w:spacing w:after="0"/>
              <w:rPr>
                <w:sz w:val="1"/>
                <w:szCs w:val="1"/>
                <w:color w:val="auto"/>
              </w:rPr>
            </w:pPr>
          </w:p>
        </w:tc>
      </w:tr>
      <w:tr>
        <w:trPr>
          <w:trHeight w:val="118"/>
        </w:trPr>
        <w:tc>
          <w:tcPr>
            <w:tcW w:w="394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Ingredients, Inc. and All Market, Inc., dated as of April 8, 2010.</w:t>
              </w:r>
            </w:hyperlink>
          </w:p>
        </w:tc>
        <w:tc>
          <w:tcPr>
            <w:tcW w:w="200" w:type="dxa"/>
            <w:vAlign w:val="bottom"/>
            <w:gridSpan w:val="3"/>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List of Subsidiaries of The Vita Coco Company, Inc.</w:t>
            </w:r>
          </w:p>
        </w:tc>
        <w:tc>
          <w:tcPr>
            <w:tcW w:w="520" w:type="dxa"/>
            <w:vAlign w:val="bottom"/>
            <w:gridSpan w:val="8"/>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40" w:type="dxa"/>
            <w:vAlign w:val="bottom"/>
            <w:gridSpan w:val="15"/>
          </w:tcPr>
          <w:p>
            <w:pPr>
              <w:spacing w:after="0"/>
              <w:rPr>
                <w:sz w:val="20"/>
                <w:szCs w:val="20"/>
                <w:color w:val="auto"/>
              </w:rPr>
            </w:pPr>
            <w:r>
              <w:rPr>
                <w:rFonts w:ascii="Arial" w:cs="Arial" w:eastAsia="Arial" w:hAnsi="Arial"/>
                <w:sz w:val="14"/>
                <w:szCs w:val="14"/>
                <w:color w:val="0000FF"/>
              </w:rPr>
              <w:t>Consent of Deloitte &amp; Touche LLP Independent Registered Public</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1020" w:type="dxa"/>
            <w:vAlign w:val="bottom"/>
            <w:tcBorders>
              <w:top w:val="single" w:sz="8" w:color="0000FF"/>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rPr>
              <w:t>Accounting Firm.</w:t>
            </w:r>
          </w:p>
        </w:tc>
        <w:tc>
          <w:tcPr>
            <w:tcW w:w="274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340" w:type="dxa"/>
            <w:vAlign w:val="bottom"/>
            <w:gridSpan w:val="4"/>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4"/>
              </w:rPr>
              <w:t>Rule 13a-14(a)/15d-14(a) Certification of Chief Executive Officer.</w:t>
            </w:r>
          </w:p>
        </w:tc>
        <w:tc>
          <w:tcPr>
            <w:tcW w:w="34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140" w:type="dxa"/>
            <w:vAlign w:val="bottom"/>
            <w:gridSpan w:val="15"/>
          </w:tcPr>
          <w:p>
            <w:pPr>
              <w:spacing w:after="0"/>
              <w:rPr>
                <w:sz w:val="20"/>
                <w:szCs w:val="20"/>
                <w:color w:val="auto"/>
              </w:rPr>
            </w:pPr>
            <w:r>
              <w:rPr>
                <w:rFonts w:ascii="Arial" w:cs="Arial" w:eastAsia="Arial" w:hAnsi="Arial"/>
                <w:sz w:val="14"/>
                <w:szCs w:val="14"/>
                <w:color w:val="0000FF"/>
              </w:rPr>
              <w:t>Rule 13a-14(a)/15d-14(a) Certification of Interim Chief Financial</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720" w:type="dxa"/>
            <w:vAlign w:val="bottom"/>
            <w:tcBorders>
              <w:top w:val="single" w:sz="8" w:color="0000FF"/>
            </w:tcBorders>
            <w:gridSpan w:val="8"/>
          </w:tcPr>
          <w:p>
            <w:pPr>
              <w:spacing w:after="0" w:line="118" w:lineRule="exact"/>
              <w:rPr>
                <w:sz w:val="20"/>
                <w:szCs w:val="20"/>
                <w:color w:val="auto"/>
              </w:rPr>
            </w:pPr>
            <w:r>
              <w:rPr>
                <w:rFonts w:ascii="Arial" w:cs="Arial" w:eastAsia="Arial" w:hAnsi="Arial"/>
                <w:sz w:val="13"/>
                <w:szCs w:val="13"/>
                <w:color w:val="0000FF"/>
              </w:rPr>
              <w:t>Officer.</w:t>
            </w:r>
          </w:p>
        </w:tc>
        <w:tc>
          <w:tcPr>
            <w:tcW w:w="420" w:type="dxa"/>
            <w:vAlign w:val="bottom"/>
            <w:gridSpan w:val="7"/>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2">
            <w:col w:w="540" w:space="480"/>
            <w:col w:w="10260"/>
          </w:cols>
          <w:pgMar w:left="300" w:top="118"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color w:val="auto"/>
              </w:rPr>
              <w:t>32.1</w:t>
            </w:r>
          </w:p>
        </w:tc>
        <w:tc>
          <w:tcPr>
            <w:tcW w:w="30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4"/>
              </w:rPr>
              <w:t>Section 1350 Certification of Chief Executive Officer.</w:t>
            </w:r>
          </w:p>
        </w:tc>
        <w:tc>
          <w:tcPr>
            <w:tcW w:w="1200" w:type="dxa"/>
            <w:vAlign w:val="bottom"/>
            <w:gridSpan w:val="2"/>
          </w:tcPr>
          <w:p>
            <w:pPr>
              <w:spacing w:after="0"/>
              <w:rPr>
                <w:sz w:val="14"/>
                <w:szCs w:val="14"/>
                <w:color w:val="auto"/>
              </w:rPr>
            </w:pPr>
          </w:p>
        </w:tc>
        <w:tc>
          <w:tcPr>
            <w:tcW w:w="5980" w:type="dxa"/>
            <w:vAlign w:val="bottom"/>
          </w:tcPr>
          <w:p>
            <w:pPr>
              <w:jc w:val="center"/>
              <w:ind w:left="3869"/>
              <w:spacing w:after="0"/>
              <w:rPr>
                <w:sz w:val="20"/>
                <w:szCs w:val="20"/>
                <w:color w:val="auto"/>
              </w:rPr>
            </w:pPr>
            <w:r>
              <w:rPr>
                <w:rFonts w:ascii="Arial" w:cs="Arial" w:eastAsia="Arial" w:hAnsi="Arial"/>
                <w:sz w:val="14"/>
                <w:szCs w:val="14"/>
                <w:color w:val="auto"/>
              </w:rPr>
              <w:t>**</w:t>
            </w:r>
          </w:p>
        </w:tc>
      </w:tr>
      <w:tr>
        <w:trPr>
          <w:trHeight w:val="160"/>
        </w:trPr>
        <w:tc>
          <w:tcPr>
            <w:tcW w:w="1020" w:type="dxa"/>
            <w:vAlign w:val="bottom"/>
          </w:tcPr>
          <w:p>
            <w:pPr>
              <w:ind w:left="20"/>
              <w:spacing w:after="0"/>
              <w:rPr>
                <w:sz w:val="20"/>
                <w:szCs w:val="20"/>
                <w:color w:val="auto"/>
              </w:rPr>
            </w:pPr>
            <w:r>
              <w:rPr>
                <w:rFonts w:ascii="Arial" w:cs="Arial" w:eastAsia="Arial" w:hAnsi="Arial"/>
                <w:sz w:val="14"/>
                <w:szCs w:val="14"/>
                <w:color w:val="auto"/>
              </w:rPr>
              <w:t>32.2</w:t>
            </w:r>
          </w:p>
        </w:tc>
        <w:tc>
          <w:tcPr>
            <w:tcW w:w="4280" w:type="dxa"/>
            <w:vAlign w:val="bottom"/>
            <w:gridSpan w:val="3"/>
          </w:tcPr>
          <w:p>
            <w:pPr>
              <w:spacing w:after="0"/>
              <w:rPr>
                <w:sz w:val="20"/>
                <w:szCs w:val="20"/>
                <w:color w:val="auto"/>
              </w:rPr>
            </w:pPr>
            <w:r>
              <w:rPr>
                <w:rFonts w:ascii="Arial" w:cs="Arial" w:eastAsia="Arial" w:hAnsi="Arial"/>
                <w:sz w:val="14"/>
                <w:szCs w:val="14"/>
                <w:color w:val="0000FF"/>
              </w:rPr>
              <w:t>Section 1350 Certification of Interim Chief Financial Officer.</w:t>
            </w:r>
          </w:p>
        </w:tc>
        <w:tc>
          <w:tcPr>
            <w:tcW w:w="5980" w:type="dxa"/>
            <w:vAlign w:val="bottom"/>
          </w:tcPr>
          <w:p>
            <w:pPr>
              <w:jc w:val="center"/>
              <w:ind w:left="3869"/>
              <w:spacing w:after="0"/>
              <w:rPr>
                <w:sz w:val="20"/>
                <w:szCs w:val="20"/>
                <w:color w:val="auto"/>
              </w:rPr>
            </w:pPr>
            <w:r>
              <w:rPr>
                <w:rFonts w:ascii="Arial" w:cs="Arial" w:eastAsia="Arial" w:hAnsi="Arial"/>
                <w:sz w:val="14"/>
                <w:szCs w:val="14"/>
                <w:color w:val="auto"/>
              </w:rPr>
              <w:t>**</w:t>
            </w:r>
          </w:p>
        </w:tc>
      </w:tr>
      <w:tr>
        <w:trPr>
          <w:trHeight w:val="20"/>
        </w:trPr>
        <w:tc>
          <w:tcPr>
            <w:tcW w:w="10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101.INS</w:t>
            </w:r>
          </w:p>
        </w:tc>
        <w:tc>
          <w:tcPr>
            <w:tcW w:w="4280" w:type="dxa"/>
            <w:vAlign w:val="bottom"/>
            <w:gridSpan w:val="3"/>
          </w:tcPr>
          <w:p>
            <w:pPr>
              <w:spacing w:after="0" w:line="150" w:lineRule="exact"/>
              <w:rPr>
                <w:sz w:val="20"/>
                <w:szCs w:val="20"/>
                <w:color w:val="auto"/>
              </w:rPr>
            </w:pPr>
            <w:r>
              <w:rPr>
                <w:rFonts w:ascii="Arial" w:cs="Arial" w:eastAsia="Arial" w:hAnsi="Arial"/>
                <w:sz w:val="14"/>
                <w:szCs w:val="14"/>
                <w:color w:val="auto"/>
              </w:rPr>
              <w:t>Inline XBRL Instance Document - the instance document does not</w:t>
            </w:r>
          </w:p>
        </w:tc>
        <w:tc>
          <w:tcPr>
            <w:tcW w:w="5980" w:type="dxa"/>
            <w:vAlign w:val="bottom"/>
          </w:tcPr>
          <w:p>
            <w:pPr>
              <w:jc w:val="center"/>
              <w:ind w:left="3869"/>
              <w:spacing w:after="0" w:line="150" w:lineRule="exact"/>
              <w:rPr>
                <w:sz w:val="20"/>
                <w:szCs w:val="20"/>
                <w:color w:val="auto"/>
              </w:rPr>
            </w:pPr>
            <w:r>
              <w:rPr>
                <w:rFonts w:ascii="Arial" w:cs="Arial" w:eastAsia="Arial" w:hAnsi="Arial"/>
                <w:sz w:val="14"/>
                <w:szCs w:val="14"/>
                <w:color w:val="auto"/>
              </w:rPr>
              <w:t>*</w:t>
            </w:r>
          </w:p>
        </w:tc>
      </w:tr>
      <w:tr>
        <w:trPr>
          <w:trHeight w:val="148"/>
        </w:trPr>
        <w:tc>
          <w:tcPr>
            <w:tcW w:w="1020" w:type="dxa"/>
            <w:vAlign w:val="bottom"/>
          </w:tcPr>
          <w:p>
            <w:pPr>
              <w:spacing w:after="0"/>
              <w:rPr>
                <w:sz w:val="12"/>
                <w:szCs w:val="12"/>
                <w:color w:val="auto"/>
              </w:rPr>
            </w:pPr>
          </w:p>
        </w:tc>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w w:val="95"/>
              </w:rPr>
              <w:t>appear in the Interactive Data file because its XBRL tags are embedded</w:t>
            </w:r>
          </w:p>
        </w:tc>
        <w:tc>
          <w:tcPr>
            <w:tcW w:w="5980" w:type="dxa"/>
            <w:vAlign w:val="bottom"/>
          </w:tcPr>
          <w:p>
            <w:pPr>
              <w:spacing w:after="0"/>
              <w:rPr>
                <w:sz w:val="12"/>
                <w:szCs w:val="12"/>
                <w:color w:val="auto"/>
              </w:rPr>
            </w:pPr>
          </w:p>
        </w:tc>
      </w:tr>
      <w:tr>
        <w:trPr>
          <w:trHeight w:val="180"/>
        </w:trPr>
        <w:tc>
          <w:tcPr>
            <w:tcW w:w="1020" w:type="dxa"/>
            <w:vAlign w:val="bottom"/>
          </w:tcPr>
          <w:p>
            <w:pPr>
              <w:spacing w:after="0"/>
              <w:rPr>
                <w:sz w:val="15"/>
                <w:szCs w:val="15"/>
                <w:color w:val="auto"/>
              </w:rPr>
            </w:pPr>
          </w:p>
        </w:tc>
        <w:tc>
          <w:tcPr>
            <w:tcW w:w="4280" w:type="dxa"/>
            <w:vAlign w:val="bottom"/>
            <w:gridSpan w:val="3"/>
          </w:tcPr>
          <w:p>
            <w:pPr>
              <w:spacing w:after="0"/>
              <w:rPr>
                <w:sz w:val="20"/>
                <w:szCs w:val="20"/>
                <w:color w:val="auto"/>
              </w:rPr>
            </w:pPr>
            <w:r>
              <w:rPr>
                <w:rFonts w:ascii="Arial" w:cs="Arial" w:eastAsia="Arial" w:hAnsi="Arial"/>
                <w:sz w:val="14"/>
                <w:szCs w:val="14"/>
                <w:color w:val="auto"/>
              </w:rPr>
              <w:t>within the Inline XBRL document.</w:t>
            </w:r>
          </w:p>
        </w:tc>
        <w:tc>
          <w:tcPr>
            <w:tcW w:w="5980" w:type="dxa"/>
            <w:vAlign w:val="bottom"/>
          </w:tcPr>
          <w:p>
            <w:pPr>
              <w:spacing w:after="0"/>
              <w:rPr>
                <w:sz w:val="15"/>
                <w:szCs w:val="15"/>
                <w:color w:val="auto"/>
              </w:rPr>
            </w:pPr>
          </w:p>
        </w:tc>
      </w:tr>
      <w:tr>
        <w:trPr>
          <w:trHeight w:val="180"/>
        </w:trPr>
        <w:tc>
          <w:tcPr>
            <w:tcW w:w="1020" w:type="dxa"/>
            <w:vAlign w:val="bottom"/>
          </w:tcPr>
          <w:p>
            <w:pPr>
              <w:ind w:left="20"/>
              <w:spacing w:after="0"/>
              <w:rPr>
                <w:sz w:val="20"/>
                <w:szCs w:val="20"/>
                <w:color w:val="auto"/>
              </w:rPr>
            </w:pPr>
            <w:r>
              <w:rPr>
                <w:rFonts w:ascii="Arial" w:cs="Arial" w:eastAsia="Arial" w:hAnsi="Arial"/>
                <w:sz w:val="14"/>
                <w:szCs w:val="14"/>
                <w:color w:val="auto"/>
              </w:rPr>
              <w:t>101.SCH</w:t>
            </w:r>
          </w:p>
        </w:tc>
        <w:tc>
          <w:tcPr>
            <w:tcW w:w="4280" w:type="dxa"/>
            <w:vAlign w:val="bottom"/>
            <w:gridSpan w:val="3"/>
          </w:tcPr>
          <w:p>
            <w:pPr>
              <w:spacing w:after="0"/>
              <w:rPr>
                <w:sz w:val="20"/>
                <w:szCs w:val="20"/>
                <w:color w:val="auto"/>
              </w:rPr>
            </w:pPr>
            <w:r>
              <w:rPr>
                <w:rFonts w:ascii="Arial" w:cs="Arial" w:eastAsia="Arial" w:hAnsi="Arial"/>
                <w:sz w:val="14"/>
                <w:szCs w:val="14"/>
                <w:color w:val="auto"/>
              </w:rPr>
              <w:t>Inline XBRL Taxonomy Extension Schema Document.</w:t>
            </w:r>
          </w:p>
        </w:tc>
        <w:tc>
          <w:tcPr>
            <w:tcW w:w="5980" w:type="dxa"/>
            <w:vAlign w:val="bottom"/>
          </w:tcPr>
          <w:p>
            <w:pPr>
              <w:jc w:val="center"/>
              <w:ind w:left="3869"/>
              <w:spacing w:after="0"/>
              <w:rPr>
                <w:sz w:val="20"/>
                <w:szCs w:val="20"/>
                <w:color w:val="auto"/>
              </w:rPr>
            </w:pPr>
            <w:r>
              <w:rPr>
                <w:rFonts w:ascii="Arial" w:cs="Arial" w:eastAsia="Arial" w:hAnsi="Arial"/>
                <w:sz w:val="14"/>
                <w:szCs w:val="14"/>
                <w:color w:val="auto"/>
              </w:rPr>
              <w:t>*</w:t>
            </w:r>
          </w:p>
        </w:tc>
      </w:tr>
      <w:tr>
        <w:trPr>
          <w:trHeight w:val="180"/>
        </w:trPr>
        <w:tc>
          <w:tcPr>
            <w:tcW w:w="1020" w:type="dxa"/>
            <w:vAlign w:val="bottom"/>
          </w:tcPr>
          <w:p>
            <w:pPr>
              <w:ind w:left="20"/>
              <w:spacing w:after="0"/>
              <w:rPr>
                <w:sz w:val="20"/>
                <w:szCs w:val="20"/>
                <w:color w:val="auto"/>
              </w:rPr>
            </w:pPr>
            <w:r>
              <w:rPr>
                <w:rFonts w:ascii="Arial" w:cs="Arial" w:eastAsia="Arial" w:hAnsi="Arial"/>
                <w:sz w:val="14"/>
                <w:szCs w:val="14"/>
                <w:color w:val="auto"/>
              </w:rPr>
              <w:t>101.CAL</w:t>
            </w:r>
          </w:p>
        </w:tc>
        <w:tc>
          <w:tcPr>
            <w:tcW w:w="4280" w:type="dxa"/>
            <w:vAlign w:val="bottom"/>
            <w:gridSpan w:val="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5980" w:type="dxa"/>
            <w:vAlign w:val="bottom"/>
          </w:tcPr>
          <w:p>
            <w:pPr>
              <w:jc w:val="center"/>
              <w:ind w:left="3869"/>
              <w:spacing w:after="0"/>
              <w:rPr>
                <w:sz w:val="20"/>
                <w:szCs w:val="20"/>
                <w:color w:val="auto"/>
              </w:rPr>
            </w:pPr>
            <w:r>
              <w:rPr>
                <w:rFonts w:ascii="Arial" w:cs="Arial" w:eastAsia="Arial" w:hAnsi="Arial"/>
                <w:sz w:val="14"/>
                <w:szCs w:val="14"/>
                <w:color w:val="auto"/>
              </w:rPr>
              <w:t>*</w:t>
            </w:r>
          </w:p>
        </w:tc>
      </w:tr>
      <w:tr>
        <w:trPr>
          <w:trHeight w:val="180"/>
        </w:trPr>
        <w:tc>
          <w:tcPr>
            <w:tcW w:w="1020" w:type="dxa"/>
            <w:vAlign w:val="bottom"/>
          </w:tcPr>
          <w:p>
            <w:pPr>
              <w:ind w:left="20"/>
              <w:spacing w:after="0"/>
              <w:rPr>
                <w:sz w:val="20"/>
                <w:szCs w:val="20"/>
                <w:color w:val="auto"/>
              </w:rPr>
            </w:pPr>
            <w:r>
              <w:rPr>
                <w:rFonts w:ascii="Arial" w:cs="Arial" w:eastAsia="Arial" w:hAnsi="Arial"/>
                <w:sz w:val="14"/>
                <w:szCs w:val="14"/>
                <w:color w:val="auto"/>
              </w:rPr>
              <w:t>101.DEF</w:t>
            </w:r>
          </w:p>
        </w:tc>
        <w:tc>
          <w:tcPr>
            <w:tcW w:w="4280" w:type="dxa"/>
            <w:vAlign w:val="bottom"/>
            <w:gridSpan w:val="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5980" w:type="dxa"/>
            <w:vAlign w:val="bottom"/>
          </w:tcPr>
          <w:p>
            <w:pPr>
              <w:spacing w:after="0"/>
              <w:rPr>
                <w:sz w:val="15"/>
                <w:szCs w:val="15"/>
                <w:color w:val="auto"/>
              </w:rPr>
            </w:pPr>
          </w:p>
        </w:tc>
      </w:tr>
      <w:tr>
        <w:trPr>
          <w:trHeight w:val="180"/>
        </w:trPr>
        <w:tc>
          <w:tcPr>
            <w:tcW w:w="1020" w:type="dxa"/>
            <w:vAlign w:val="bottom"/>
          </w:tcPr>
          <w:p>
            <w:pPr>
              <w:ind w:left="20"/>
              <w:spacing w:after="0"/>
              <w:rPr>
                <w:sz w:val="20"/>
                <w:szCs w:val="20"/>
                <w:color w:val="auto"/>
              </w:rPr>
            </w:pPr>
            <w:r>
              <w:rPr>
                <w:rFonts w:ascii="Arial" w:cs="Arial" w:eastAsia="Arial" w:hAnsi="Arial"/>
                <w:sz w:val="14"/>
                <w:szCs w:val="14"/>
                <w:color w:val="auto"/>
              </w:rPr>
              <w:t>101.LAB</w:t>
            </w:r>
          </w:p>
        </w:tc>
        <w:tc>
          <w:tcPr>
            <w:tcW w:w="4280" w:type="dxa"/>
            <w:vAlign w:val="bottom"/>
            <w:gridSpan w:val="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5980" w:type="dxa"/>
            <w:vAlign w:val="bottom"/>
          </w:tcPr>
          <w:p>
            <w:pPr>
              <w:jc w:val="center"/>
              <w:ind w:left="3869"/>
              <w:spacing w:after="0"/>
              <w:rPr>
                <w:sz w:val="20"/>
                <w:szCs w:val="20"/>
                <w:color w:val="auto"/>
              </w:rPr>
            </w:pPr>
            <w:r>
              <w:rPr>
                <w:rFonts w:ascii="Arial" w:cs="Arial" w:eastAsia="Arial" w:hAnsi="Arial"/>
                <w:sz w:val="14"/>
                <w:szCs w:val="14"/>
                <w:color w:val="auto"/>
              </w:rPr>
              <w:t>*</w:t>
            </w:r>
          </w:p>
        </w:tc>
      </w:tr>
      <w:tr>
        <w:trPr>
          <w:trHeight w:val="721"/>
        </w:trPr>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80" w:type="dxa"/>
            <w:vAlign w:val="bottom"/>
          </w:tcPr>
          <w:p>
            <w:pPr>
              <w:jc w:val="right"/>
              <w:ind w:right="5449"/>
              <w:spacing w:after="0"/>
              <w:rPr>
                <w:sz w:val="20"/>
                <w:szCs w:val="20"/>
                <w:color w:val="auto"/>
              </w:rPr>
            </w:pPr>
            <w:r>
              <w:rPr>
                <w:rFonts w:ascii="Arial" w:cs="Arial" w:eastAsia="Arial" w:hAnsi="Arial"/>
                <w:sz w:val="14"/>
                <w:szCs w:val="14"/>
                <w:color w:val="auto"/>
              </w:rPr>
              <w:t>101</w:t>
            </w:r>
          </w:p>
        </w:tc>
      </w:tr>
      <w:tr>
        <w:trPr>
          <w:trHeight w:val="76"/>
        </w:trPr>
        <w:tc>
          <w:tcPr>
            <w:tcW w:w="1020" w:type="dxa"/>
            <w:vAlign w:val="bottom"/>
            <w:tcBorders>
              <w:bottom w:val="single" w:sz="8" w:color="9A9A9A"/>
            </w:tcBorders>
          </w:tcPr>
          <w:p>
            <w:pPr>
              <w:spacing w:after="0"/>
              <w:rPr>
                <w:sz w:val="6"/>
                <w:szCs w:val="6"/>
                <w:color w:val="auto"/>
              </w:rPr>
            </w:pPr>
          </w:p>
        </w:tc>
        <w:tc>
          <w:tcPr>
            <w:tcW w:w="30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9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1"/>
        </w:trPr>
        <w:tc>
          <w:tcPr>
            <w:tcW w:w="1020" w:type="dxa"/>
            <w:vAlign w:val="bottom"/>
          </w:tcPr>
          <w:p>
            <w:pPr>
              <w:spacing w:after="0"/>
              <w:rPr>
                <w:sz w:val="20"/>
                <w:szCs w:val="20"/>
                <w:color w:val="auto"/>
              </w:rPr>
            </w:pPr>
            <w:r>
              <w:rPr>
                <w:rFonts w:ascii="Arial" w:cs="Arial" w:eastAsia="Arial" w:hAnsi="Arial"/>
                <w:sz w:val="14"/>
                <w:szCs w:val="14"/>
                <w:color w:val="auto"/>
                <w:w w:val="90"/>
              </w:rPr>
              <w:t>Table of Contents</w:t>
            </w:r>
          </w:p>
        </w:tc>
        <w:tc>
          <w:tcPr>
            <w:tcW w:w="656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679"/>
        </w:trPr>
        <w:tc>
          <w:tcPr>
            <w:tcW w:w="1020" w:type="dxa"/>
            <w:vAlign w:val="bottom"/>
          </w:tcPr>
          <w:p>
            <w:pPr>
              <w:ind w:left="20"/>
              <w:spacing w:after="0"/>
              <w:rPr>
                <w:sz w:val="20"/>
                <w:szCs w:val="20"/>
                <w:color w:val="auto"/>
              </w:rPr>
            </w:pPr>
            <w:r>
              <w:rPr>
                <w:rFonts w:ascii="Arial" w:cs="Arial" w:eastAsia="Arial" w:hAnsi="Arial"/>
                <w:sz w:val="14"/>
                <w:szCs w:val="14"/>
                <w:color w:val="auto"/>
              </w:rPr>
              <w:t>101.PRE</w:t>
            </w:r>
          </w:p>
        </w:tc>
        <w:tc>
          <w:tcPr>
            <w:tcW w:w="6560" w:type="dxa"/>
            <w:vAlign w:val="bottom"/>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8"/>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104</w:t>
            </w:r>
          </w:p>
        </w:tc>
        <w:tc>
          <w:tcPr>
            <w:tcW w:w="6560" w:type="dxa"/>
            <w:vAlign w:val="bottom"/>
          </w:tcPr>
          <w:p>
            <w:pPr>
              <w:spacing w:after="0" w:line="139" w:lineRule="exact"/>
              <w:rPr>
                <w:sz w:val="20"/>
                <w:szCs w:val="20"/>
                <w:color w:val="auto"/>
              </w:rPr>
            </w:pPr>
            <w:r>
              <w:rPr>
                <w:rFonts w:ascii="Arial" w:cs="Arial" w:eastAsia="Arial" w:hAnsi="Arial"/>
                <w:sz w:val="14"/>
                <w:szCs w:val="14"/>
                <w:color w:val="auto"/>
              </w:rPr>
              <w:t>Cover Page Interactive Data File (formatted in Inline XBRL and</w:t>
            </w:r>
          </w:p>
        </w:tc>
        <w:tc>
          <w:tcPr>
            <w:tcW w:w="27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r>
      <w:tr>
        <w:trPr>
          <w:trHeight w:val="180"/>
        </w:trPr>
        <w:tc>
          <w:tcPr>
            <w:tcW w:w="10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contained in Exhibit 101).</w:t>
            </w:r>
          </w:p>
        </w:tc>
        <w:tc>
          <w:tcPr>
            <w:tcW w:w="2700" w:type="dxa"/>
            <w:vAlign w:val="bottom"/>
          </w:tcPr>
          <w:p>
            <w:pPr>
              <w:spacing w:after="0"/>
              <w:rPr>
                <w:sz w:val="15"/>
                <w:szCs w:val="15"/>
                <w:color w:val="auto"/>
              </w:rPr>
            </w:pPr>
          </w:p>
        </w:tc>
      </w:tr>
    </w:tbl>
    <w:p>
      <w:pPr>
        <w:spacing w:after="0" w:line="276" w:lineRule="exact"/>
        <w:rPr>
          <w:sz w:val="20"/>
          <w:szCs w:val="20"/>
          <w:color w:val="auto"/>
        </w:rPr>
      </w:pPr>
    </w:p>
    <w:p>
      <w:pPr>
        <w:ind w:left="820" w:hanging="801"/>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820" w:hanging="801"/>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9" w:lineRule="exact"/>
        <w:rPr>
          <w:sz w:val="20"/>
          <w:szCs w:val="20"/>
          <w:color w:val="auto"/>
        </w:rPr>
      </w:pPr>
    </w:p>
    <w:p>
      <w:pPr>
        <w:ind w:left="820" w:hanging="801"/>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6480" w:type="dxa"/>
            <w:vAlign w:val="bottom"/>
          </w:tcPr>
          <w:p>
            <w:pPr>
              <w:ind w:left="340"/>
              <w:spacing w:after="0"/>
              <w:rPr>
                <w:sz w:val="20"/>
                <w:szCs w:val="20"/>
                <w:color w:val="auto"/>
              </w:rPr>
            </w:pPr>
            <w:r>
              <w:rPr>
                <w:rFonts w:ascii="Arial" w:cs="Arial" w:eastAsia="Arial" w:hAnsi="Arial"/>
                <w:sz w:val="14"/>
                <w:szCs w:val="14"/>
                <w:color w:val="auto"/>
                <w:w w:val="93"/>
              </w:rPr>
              <w:t>Certain portions of this exhibit (indicated by “####”) have been redacted pursuant to Regulation S-K, Item</w:t>
            </w:r>
          </w:p>
        </w:tc>
        <w:tc>
          <w:tcPr>
            <w:tcW w:w="960" w:type="dxa"/>
            <w:vAlign w:val="bottom"/>
          </w:tcPr>
          <w:p>
            <w:pPr>
              <w:ind w:left="80"/>
              <w:spacing w:after="0"/>
              <w:rPr>
                <w:sz w:val="20"/>
                <w:szCs w:val="20"/>
                <w:color w:val="auto"/>
              </w:rPr>
            </w:pPr>
            <w:r>
              <w:rPr>
                <w:rFonts w:ascii="Arial" w:cs="Arial" w:eastAsia="Arial" w:hAnsi="Arial"/>
                <w:sz w:val="14"/>
                <w:szCs w:val="14"/>
                <w:color w:val="auto"/>
              </w:rPr>
              <w:t>601(a)(6).</w:t>
            </w:r>
          </w:p>
        </w:tc>
      </w:tr>
      <w:tr>
        <w:trPr>
          <w:trHeight w:val="202"/>
        </w:trPr>
        <w:tc>
          <w:tcPr>
            <w:tcW w:w="460" w:type="dxa"/>
            <w:vAlign w:val="bottom"/>
          </w:tcPr>
          <w:p>
            <w:pPr>
              <w:spacing w:after="0"/>
              <w:rPr>
                <w:sz w:val="20"/>
                <w:szCs w:val="20"/>
                <w:color w:val="auto"/>
              </w:rPr>
            </w:pPr>
            <w:r>
              <w:rPr>
                <w:rFonts w:ascii="Arial" w:cs="Arial" w:eastAsia="Arial" w:hAnsi="Arial"/>
                <w:sz w:val="14"/>
                <w:szCs w:val="14"/>
                <w:color w:val="auto"/>
              </w:rPr>
              <w:t>X</w:t>
            </w:r>
          </w:p>
        </w:tc>
        <w:tc>
          <w:tcPr>
            <w:tcW w:w="6480" w:type="dxa"/>
            <w:vAlign w:val="bottom"/>
          </w:tcPr>
          <w:p>
            <w:pPr>
              <w:ind w:left="340"/>
              <w:spacing w:after="0"/>
              <w:rPr>
                <w:sz w:val="20"/>
                <w:szCs w:val="20"/>
                <w:color w:val="auto"/>
              </w:rPr>
            </w:pPr>
            <w:r>
              <w:rPr>
                <w:rFonts w:ascii="Arial" w:cs="Arial" w:eastAsia="Arial" w:hAnsi="Arial"/>
                <w:sz w:val="14"/>
                <w:szCs w:val="14"/>
                <w:color w:val="auto"/>
                <w:w w:val="94"/>
              </w:rPr>
              <w:t>Certain portions of this exhibit (indicated by “[***]”) have been redacted pursuant to Regulation S-K, Item</w:t>
            </w:r>
          </w:p>
        </w:tc>
        <w:tc>
          <w:tcPr>
            <w:tcW w:w="960" w:type="dxa"/>
            <w:vAlign w:val="bottom"/>
          </w:tcPr>
          <w:p>
            <w:pPr>
              <w:ind w:left="100"/>
              <w:spacing w:after="0"/>
              <w:rPr>
                <w:sz w:val="20"/>
                <w:szCs w:val="20"/>
                <w:color w:val="auto"/>
              </w:rPr>
            </w:pPr>
            <w:r>
              <w:rPr>
                <w:rFonts w:ascii="Arial" w:cs="Arial" w:eastAsia="Arial" w:hAnsi="Arial"/>
                <w:sz w:val="14"/>
                <w:szCs w:val="14"/>
                <w:color w:val="auto"/>
                <w:w w:val="94"/>
              </w:rPr>
              <w:t>601(b)(10)(iv).</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300" w:top="118" w:right="1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4"/>
          <w:szCs w:val="14"/>
          <w:b w:val="1"/>
          <w:bCs w:val="1"/>
          <w:color w:val="auto"/>
        </w:rPr>
        <w:t>.</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THE VITA COCO COMPANY, INC.</w:t>
      </w:r>
    </w:p>
    <w:p>
      <w:pPr>
        <w:spacing w:after="0" w:line="232" w:lineRule="exact"/>
        <w:rPr>
          <w:sz w:val="20"/>
          <w:szCs w:val="20"/>
          <w:color w:val="auto"/>
        </w:rPr>
      </w:pPr>
    </w:p>
    <w:p>
      <w:pPr>
        <w:ind w:left="20"/>
        <w:spacing w:after="0"/>
        <w:tabs>
          <w:tab w:leader="none" w:pos="5840" w:val="left"/>
          <w:tab w:leader="none" w:pos="8300" w:val="left"/>
        </w:tabs>
        <w:rPr>
          <w:sz w:val="20"/>
          <w:szCs w:val="20"/>
          <w:color w:val="auto"/>
        </w:rPr>
      </w:pPr>
      <w:r>
        <w:rPr>
          <w:rFonts w:ascii="Arial" w:cs="Arial" w:eastAsia="Arial" w:hAnsi="Arial"/>
          <w:sz w:val="14"/>
          <w:szCs w:val="14"/>
          <w:color w:val="auto"/>
        </w:rPr>
        <w:t>Date: March 14,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26035</wp:posOffset>
            </wp:positionV>
            <wp:extent cx="31527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Martin Roper</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60"/>
          </w:cols>
          <w:pgMar w:left="300" w:top="118" w:right="339" w:bottom="1440" w:gutter="0" w:footer="0" w:header="0"/>
        </w:sectPr>
      </w:pP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tcPr>
          <w:p>
            <w:pPr>
              <w:ind w:left="3000"/>
              <w:spacing w:after="0"/>
              <w:rPr>
                <w:sz w:val="20"/>
                <w:szCs w:val="20"/>
                <w:color w:val="auto"/>
              </w:rPr>
            </w:pPr>
            <w:r>
              <w:rPr>
                <w:rFonts w:ascii="Arial" w:cs="Arial" w:eastAsia="Arial" w:hAnsi="Arial"/>
                <w:sz w:val="14"/>
                <w:szCs w:val="14"/>
                <w:b w:val="1"/>
                <w:bCs w:val="1"/>
                <w:color w:val="auto"/>
                <w:w w:val="90"/>
              </w:rPr>
              <w:t>Title</w:t>
            </w:r>
          </w:p>
        </w:tc>
      </w:tr>
      <w:tr>
        <w:trPr>
          <w:trHeight w:val="198"/>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4"/>
              </w:rPr>
              <w:t>/s/ Martin Roper</w:t>
            </w:r>
          </w:p>
        </w:tc>
        <w:tc>
          <w:tcPr>
            <w:tcW w:w="3280" w:type="dxa"/>
            <w:vAlign w:val="bottom"/>
          </w:tcPr>
          <w:p>
            <w:pPr>
              <w:ind w:left="660"/>
              <w:spacing w:after="0"/>
              <w:rPr>
                <w:sz w:val="20"/>
                <w:szCs w:val="20"/>
                <w:color w:val="auto"/>
              </w:rPr>
            </w:pPr>
            <w:r>
              <w:rPr>
                <w:rFonts w:ascii="Arial" w:cs="Arial" w:eastAsia="Arial" w:hAnsi="Arial"/>
                <w:sz w:val="14"/>
                <w:szCs w:val="14"/>
                <w:color w:val="auto"/>
              </w:rPr>
              <w:t>Chief Executive Officer and 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7"/>
              </w:rPr>
              <w:t>Martin Roper</w:t>
            </w:r>
          </w:p>
        </w:tc>
        <w:tc>
          <w:tcPr>
            <w:tcW w:w="3280" w:type="dxa"/>
            <w:vAlign w:val="bottom"/>
          </w:tcPr>
          <w:p>
            <w:pPr>
              <w:ind w:left="660"/>
              <w:spacing w:after="0"/>
              <w:rPr>
                <w:sz w:val="20"/>
                <w:szCs w:val="20"/>
                <w:color w:val="auto"/>
              </w:rPr>
            </w:pPr>
            <w:r>
              <w:rPr>
                <w:rFonts w:ascii="Arial" w:cs="Arial" w:eastAsia="Arial" w:hAnsi="Arial"/>
                <w:sz w:val="14"/>
                <w:szCs w:val="14"/>
                <w:i w:val="1"/>
                <w:iCs w:val="1"/>
                <w:color w:val="auto"/>
              </w:rPr>
              <w:t>(Principal Executive Officer)</w:t>
            </w:r>
          </w:p>
        </w:tc>
      </w:tr>
      <w:tr>
        <w:trPr>
          <w:trHeight w:val="410"/>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1"/>
              </w:rPr>
              <w:t>/s/ Rowena Ricalde</w:t>
            </w:r>
          </w:p>
        </w:tc>
        <w:tc>
          <w:tcPr>
            <w:tcW w:w="3280" w:type="dxa"/>
            <w:vAlign w:val="bottom"/>
          </w:tcPr>
          <w:p>
            <w:pPr>
              <w:ind w:left="660"/>
              <w:spacing w:after="0"/>
              <w:rPr>
                <w:sz w:val="20"/>
                <w:szCs w:val="20"/>
                <w:color w:val="auto"/>
              </w:rPr>
            </w:pPr>
            <w:r>
              <w:rPr>
                <w:rFonts w:ascii="Arial" w:cs="Arial" w:eastAsia="Arial" w:hAnsi="Arial"/>
                <w:sz w:val="14"/>
                <w:szCs w:val="14"/>
                <w:color w:val="auto"/>
              </w:rPr>
              <w:t>Interim Chief Financial Officer</w:t>
            </w:r>
          </w:p>
        </w:tc>
      </w:tr>
      <w:tr>
        <w:trPr>
          <w:trHeight w:val="184"/>
        </w:trPr>
        <w:tc>
          <w:tcPr>
            <w:tcW w:w="2040" w:type="dxa"/>
            <w:vAlign w:val="bottom"/>
          </w:tcPr>
          <w:p>
            <w:pPr>
              <w:jc w:val="center"/>
              <w:ind w:right="549"/>
              <w:spacing w:after="0"/>
              <w:rPr>
                <w:sz w:val="20"/>
                <w:szCs w:val="20"/>
                <w:color w:val="auto"/>
              </w:rPr>
            </w:pPr>
            <w:r>
              <w:rPr>
                <w:rFonts w:ascii="Arial" w:cs="Arial" w:eastAsia="Arial" w:hAnsi="Arial"/>
                <w:sz w:val="14"/>
                <w:szCs w:val="14"/>
                <w:b w:val="1"/>
                <w:bCs w:val="1"/>
                <w:color w:val="auto"/>
                <w:w w:val="91"/>
              </w:rPr>
              <w:t>Rowena Ricalde</w:t>
            </w:r>
          </w:p>
        </w:tc>
        <w:tc>
          <w:tcPr>
            <w:tcW w:w="3280" w:type="dxa"/>
            <w:vAlign w:val="bottom"/>
          </w:tcPr>
          <w:p>
            <w:pPr>
              <w:ind w:left="66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i w:val="1"/>
                <w:iCs w:val="1"/>
                <w:color w:val="auto"/>
                <w:w w:val="96"/>
              </w:rPr>
              <w:t>Principal Financial and Accounting Officer</w:t>
            </w:r>
            <w:r>
              <w:rPr>
                <w:rFonts w:ascii="Arial" w:cs="Arial" w:eastAsia="Arial" w:hAnsi="Arial"/>
                <w:sz w:val="14"/>
                <w:szCs w:val="14"/>
                <w:color w:val="auto"/>
                <w:w w:val="96"/>
              </w:rPr>
              <w:t>)</w:t>
            </w:r>
          </w:p>
        </w:tc>
      </w:tr>
      <w:tr>
        <w:trPr>
          <w:trHeight w:val="410"/>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5"/>
              </w:rPr>
              <w:t>/s/ Michael Kirban</w:t>
            </w:r>
          </w:p>
        </w:tc>
        <w:tc>
          <w:tcPr>
            <w:tcW w:w="3280" w:type="dxa"/>
            <w:vAlign w:val="bottom"/>
          </w:tcPr>
          <w:p>
            <w:pPr>
              <w:ind w:left="660"/>
              <w:spacing w:after="0"/>
              <w:rPr>
                <w:sz w:val="20"/>
                <w:szCs w:val="20"/>
                <w:color w:val="auto"/>
              </w:rPr>
            </w:pPr>
            <w:r>
              <w:rPr>
                <w:rFonts w:ascii="Arial" w:cs="Arial" w:eastAsia="Arial" w:hAnsi="Arial"/>
                <w:sz w:val="14"/>
                <w:szCs w:val="14"/>
                <w:color w:val="auto"/>
              </w:rPr>
              <w:t>Chairman and 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6"/>
              </w:rPr>
              <w:t>Michael Kirban</w:t>
            </w:r>
          </w:p>
        </w:tc>
        <w:tc>
          <w:tcPr>
            <w:tcW w:w="3280" w:type="dxa"/>
            <w:vAlign w:val="bottom"/>
          </w:tcPr>
          <w:p>
            <w:pPr>
              <w:spacing w:after="0"/>
              <w:rPr>
                <w:sz w:val="16"/>
                <w:szCs w:val="16"/>
                <w:color w:val="auto"/>
              </w:rPr>
            </w:pPr>
          </w:p>
        </w:tc>
      </w:tr>
      <w:tr>
        <w:trPr>
          <w:trHeight w:val="389"/>
        </w:trPr>
        <w:tc>
          <w:tcPr>
            <w:tcW w:w="2040" w:type="dxa"/>
            <w:vAlign w:val="bottom"/>
          </w:tcPr>
          <w:p>
            <w:pPr>
              <w:jc w:val="center"/>
              <w:ind w:right="569"/>
              <w:spacing w:after="0"/>
              <w:rPr>
                <w:sz w:val="20"/>
                <w:szCs w:val="20"/>
                <w:color w:val="auto"/>
              </w:rPr>
            </w:pPr>
            <w:r>
              <w:rPr>
                <w:rFonts w:ascii="Arial" w:cs="Arial" w:eastAsia="Arial" w:hAnsi="Arial"/>
                <w:sz w:val="14"/>
                <w:szCs w:val="14"/>
                <w:color w:val="auto"/>
                <w:w w:val="92"/>
              </w:rPr>
              <w:t>/s/ Aishetu Fatima Dozie</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49"/>
              <w:spacing w:after="0"/>
              <w:rPr>
                <w:sz w:val="20"/>
                <w:szCs w:val="20"/>
                <w:color w:val="auto"/>
              </w:rPr>
            </w:pPr>
            <w:r>
              <w:rPr>
                <w:rFonts w:ascii="Arial" w:cs="Arial" w:eastAsia="Arial" w:hAnsi="Arial"/>
                <w:sz w:val="14"/>
                <w:szCs w:val="14"/>
                <w:b w:val="1"/>
                <w:bCs w:val="1"/>
                <w:color w:val="auto"/>
                <w:w w:val="91"/>
              </w:rPr>
              <w:t>Aishetu Fatima Dozie</w:t>
            </w:r>
          </w:p>
        </w:tc>
        <w:tc>
          <w:tcPr>
            <w:tcW w:w="3280" w:type="dxa"/>
            <w:vAlign w:val="bottom"/>
          </w:tcPr>
          <w:p>
            <w:pPr>
              <w:spacing w:after="0"/>
              <w:rPr>
                <w:sz w:val="16"/>
                <w:szCs w:val="16"/>
                <w:color w:val="auto"/>
              </w:rPr>
            </w:pPr>
          </w:p>
        </w:tc>
      </w:tr>
      <w:tr>
        <w:trPr>
          <w:trHeight w:val="410"/>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0"/>
              </w:rPr>
              <w:t>/s/ John Leahy</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2"/>
              </w:rPr>
              <w:t>John Leahy</w:t>
            </w:r>
          </w:p>
        </w:tc>
        <w:tc>
          <w:tcPr>
            <w:tcW w:w="3280" w:type="dxa"/>
            <w:vAlign w:val="bottom"/>
          </w:tcPr>
          <w:p>
            <w:pPr>
              <w:spacing w:after="0"/>
              <w:rPr>
                <w:sz w:val="16"/>
                <w:szCs w:val="16"/>
                <w:color w:val="auto"/>
              </w:rPr>
            </w:pPr>
          </w:p>
        </w:tc>
      </w:tr>
      <w:tr>
        <w:trPr>
          <w:trHeight w:val="410"/>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4"/>
              </w:rPr>
              <w:t>/s/ Ira Liran</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rPr>
              <w:t>Ira Liran</w:t>
            </w:r>
          </w:p>
        </w:tc>
        <w:tc>
          <w:tcPr>
            <w:tcW w:w="3280" w:type="dxa"/>
            <w:vAlign w:val="bottom"/>
          </w:tcPr>
          <w:p>
            <w:pPr>
              <w:spacing w:after="0"/>
              <w:rPr>
                <w:sz w:val="16"/>
                <w:szCs w:val="16"/>
                <w:color w:val="auto"/>
              </w:rPr>
            </w:pPr>
          </w:p>
        </w:tc>
      </w:tr>
      <w:tr>
        <w:trPr>
          <w:trHeight w:val="410"/>
        </w:trPr>
        <w:tc>
          <w:tcPr>
            <w:tcW w:w="2040" w:type="dxa"/>
            <w:vAlign w:val="bottom"/>
          </w:tcPr>
          <w:p>
            <w:pPr>
              <w:jc w:val="center"/>
              <w:ind w:right="569"/>
              <w:spacing w:after="0"/>
              <w:rPr>
                <w:sz w:val="20"/>
                <w:szCs w:val="20"/>
                <w:color w:val="auto"/>
              </w:rPr>
            </w:pPr>
            <w:r>
              <w:rPr>
                <w:rFonts w:ascii="Arial" w:cs="Arial" w:eastAsia="Arial" w:hAnsi="Arial"/>
                <w:sz w:val="14"/>
                <w:szCs w:val="14"/>
                <w:color w:val="auto"/>
                <w:w w:val="96"/>
              </w:rPr>
              <w:t>/s/ Eric Melloul</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6"/>
              </w:rPr>
              <w:t>Eric Melloul</w:t>
            </w:r>
          </w:p>
        </w:tc>
        <w:tc>
          <w:tcPr>
            <w:tcW w:w="3280" w:type="dxa"/>
            <w:vAlign w:val="bottom"/>
          </w:tcPr>
          <w:p>
            <w:pPr>
              <w:spacing w:after="0"/>
              <w:rPr>
                <w:sz w:val="16"/>
                <w:szCs w:val="16"/>
                <w:color w:val="auto"/>
              </w:rPr>
            </w:pPr>
          </w:p>
        </w:tc>
      </w:tr>
      <w:tr>
        <w:trPr>
          <w:trHeight w:val="368"/>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89"/>
              </w:rPr>
              <w:t>/s/ Jane Morreau</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49"/>
              <w:spacing w:after="0"/>
              <w:rPr>
                <w:sz w:val="20"/>
                <w:szCs w:val="20"/>
                <w:color w:val="auto"/>
              </w:rPr>
            </w:pPr>
            <w:r>
              <w:rPr>
                <w:rFonts w:ascii="Arial" w:cs="Arial" w:eastAsia="Arial" w:hAnsi="Arial"/>
                <w:sz w:val="14"/>
                <w:szCs w:val="14"/>
                <w:b w:val="1"/>
                <w:bCs w:val="1"/>
                <w:color w:val="auto"/>
                <w:w w:val="94"/>
              </w:rPr>
              <w:t>Jane Morreau</w:t>
            </w:r>
          </w:p>
        </w:tc>
        <w:tc>
          <w:tcPr>
            <w:tcW w:w="3280" w:type="dxa"/>
            <w:vAlign w:val="bottom"/>
          </w:tcPr>
          <w:p>
            <w:pPr>
              <w:spacing w:after="0"/>
              <w:rPr>
                <w:sz w:val="16"/>
                <w:szCs w:val="16"/>
                <w:color w:val="auto"/>
              </w:rPr>
            </w:pPr>
          </w:p>
        </w:tc>
      </w:tr>
      <w:tr>
        <w:trPr>
          <w:trHeight w:val="368"/>
        </w:trPr>
        <w:tc>
          <w:tcPr>
            <w:tcW w:w="2040" w:type="dxa"/>
            <w:vAlign w:val="bottom"/>
          </w:tcPr>
          <w:p>
            <w:pPr>
              <w:jc w:val="center"/>
              <w:ind w:right="549"/>
              <w:spacing w:after="0"/>
              <w:rPr>
                <w:sz w:val="20"/>
                <w:szCs w:val="20"/>
                <w:color w:val="auto"/>
              </w:rPr>
            </w:pPr>
            <w:r>
              <w:rPr>
                <w:rFonts w:ascii="Arial" w:cs="Arial" w:eastAsia="Arial" w:hAnsi="Arial"/>
                <w:sz w:val="14"/>
                <w:szCs w:val="14"/>
                <w:color w:val="auto"/>
                <w:w w:val="90"/>
              </w:rPr>
              <w:t>/s/ Kenneth Sadowsky</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69"/>
              <w:spacing w:after="0"/>
              <w:rPr>
                <w:sz w:val="20"/>
                <w:szCs w:val="20"/>
                <w:color w:val="auto"/>
              </w:rPr>
            </w:pPr>
            <w:r>
              <w:rPr>
                <w:rFonts w:ascii="Arial" w:cs="Arial" w:eastAsia="Arial" w:hAnsi="Arial"/>
                <w:sz w:val="14"/>
                <w:szCs w:val="14"/>
                <w:b w:val="1"/>
                <w:bCs w:val="1"/>
                <w:color w:val="auto"/>
                <w:w w:val="90"/>
              </w:rPr>
              <w:t>Kenneth Sadowsky</w:t>
            </w:r>
          </w:p>
        </w:tc>
        <w:tc>
          <w:tcPr>
            <w:tcW w:w="3280" w:type="dxa"/>
            <w:vAlign w:val="bottom"/>
          </w:tcPr>
          <w:p>
            <w:pPr>
              <w:spacing w:after="0"/>
              <w:rPr>
                <w:sz w:val="16"/>
                <w:szCs w:val="16"/>
                <w:color w:val="auto"/>
              </w:rPr>
            </w:pPr>
          </w:p>
        </w:tc>
      </w:tr>
      <w:tr>
        <w:trPr>
          <w:trHeight w:val="368"/>
        </w:trPr>
        <w:tc>
          <w:tcPr>
            <w:tcW w:w="2040" w:type="dxa"/>
            <w:vAlign w:val="bottom"/>
          </w:tcPr>
          <w:p>
            <w:pPr>
              <w:jc w:val="center"/>
              <w:ind w:right="569"/>
              <w:spacing w:after="0"/>
              <w:rPr>
                <w:sz w:val="20"/>
                <w:szCs w:val="20"/>
                <w:color w:val="auto"/>
              </w:rPr>
            </w:pPr>
            <w:r>
              <w:rPr>
                <w:rFonts w:ascii="Arial" w:cs="Arial" w:eastAsia="Arial" w:hAnsi="Arial"/>
                <w:sz w:val="14"/>
                <w:szCs w:val="14"/>
                <w:color w:val="auto"/>
                <w:w w:val="89"/>
              </w:rPr>
              <w:t>/s/ John Zupo</w:t>
            </w:r>
          </w:p>
        </w:tc>
        <w:tc>
          <w:tcPr>
            <w:tcW w:w="3280" w:type="dxa"/>
            <w:vAlign w:val="bottom"/>
          </w:tcPr>
          <w:p>
            <w:pPr>
              <w:ind w:left="660"/>
              <w:spacing w:after="0"/>
              <w:rPr>
                <w:sz w:val="20"/>
                <w:szCs w:val="20"/>
                <w:color w:val="auto"/>
              </w:rPr>
            </w:pPr>
            <w:r>
              <w:rPr>
                <w:rFonts w:ascii="Arial" w:cs="Arial" w:eastAsia="Arial" w:hAnsi="Arial"/>
                <w:sz w:val="14"/>
                <w:szCs w:val="14"/>
                <w:color w:val="auto"/>
              </w:rPr>
              <w:t>Director</w:t>
            </w:r>
          </w:p>
        </w:tc>
      </w:tr>
      <w:tr>
        <w:trPr>
          <w:trHeight w:val="184"/>
        </w:trPr>
        <w:tc>
          <w:tcPr>
            <w:tcW w:w="2040" w:type="dxa"/>
            <w:vAlign w:val="bottom"/>
          </w:tcPr>
          <w:p>
            <w:pPr>
              <w:jc w:val="center"/>
              <w:ind w:right="549"/>
              <w:spacing w:after="0"/>
              <w:rPr>
                <w:sz w:val="20"/>
                <w:szCs w:val="20"/>
                <w:color w:val="auto"/>
              </w:rPr>
            </w:pPr>
            <w:r>
              <w:rPr>
                <w:rFonts w:ascii="Arial" w:cs="Arial" w:eastAsia="Arial" w:hAnsi="Arial"/>
                <w:sz w:val="14"/>
                <w:szCs w:val="14"/>
                <w:b w:val="1"/>
                <w:bCs w:val="1"/>
                <w:color w:val="auto"/>
                <w:w w:val="92"/>
              </w:rPr>
              <w:t>John Zupo</w:t>
            </w:r>
          </w:p>
        </w:tc>
        <w:tc>
          <w:tcPr>
            <w:tcW w:w="3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Date</w:t>
      </w:r>
    </w:p>
    <w:p>
      <w:pPr>
        <w:spacing w:after="0" w:line="34" w:lineRule="exact"/>
        <w:rPr>
          <w:sz w:val="20"/>
          <w:szCs w:val="20"/>
          <w:color w:val="auto"/>
        </w:rPr>
      </w:pPr>
    </w:p>
    <w:p>
      <w:pPr>
        <w:jc w:val="center"/>
        <w:ind w:right="660"/>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2023</w:t>
      </w:r>
    </w:p>
    <w:p>
      <w:pPr>
        <w:spacing w:after="0" w:line="432" w:lineRule="exact"/>
        <w:rPr>
          <w:sz w:val="20"/>
          <w:szCs w:val="20"/>
          <w:color w:val="auto"/>
        </w:rPr>
      </w:pPr>
    </w:p>
    <w:p>
      <w:pPr>
        <w:sectPr>
          <w:pgSz w:w="11900" w:h="16838" w:orient="portrait"/>
          <w:cols w:equalWidth="0" w:num="2">
            <w:col w:w="8980" w:space="720"/>
            <w:col w:w="1560"/>
          </w:cols>
          <w:pgMar w:left="300" w:top="118"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260"/>
          </w:cols>
          <w:pgMar w:left="300" w:top="118" w:right="339" w:bottom="1440"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14"/>
          <w:szCs w:val="14"/>
          <w:b w:val="1"/>
          <w:bCs w:val="1"/>
          <w:color w:val="auto"/>
        </w:rPr>
        <w:t>DESCRIPTION OF CAPITAL STOCK</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following description of the capital stock of The Vita Coco Company, Inc. (the “Company,” “we,” “us,” and “our”) and certain provisions of our amended and restated certificate of</w:t>
      </w:r>
    </w:p>
    <w:p>
      <w:pPr>
        <w:spacing w:after="0" w:line="2" w:lineRule="exact"/>
        <w:rPr>
          <w:sz w:val="20"/>
          <w:szCs w:val="20"/>
          <w:color w:val="auto"/>
        </w:rPr>
      </w:pPr>
    </w:p>
    <w:p>
      <w:pPr>
        <w:spacing w:after="0" w:line="210" w:lineRule="auto"/>
        <w:rPr>
          <w:sz w:val="20"/>
          <w:szCs w:val="20"/>
          <w:color w:val="auto"/>
        </w:rPr>
      </w:pPr>
      <w:r>
        <w:rPr>
          <w:rFonts w:ascii="Arial" w:cs="Arial" w:eastAsia="Arial" w:hAnsi="Arial"/>
          <w:sz w:val="14"/>
          <w:szCs w:val="14"/>
          <w:i w:val="1"/>
          <w:iCs w:val="1"/>
          <w:color w:val="auto"/>
        </w:rPr>
        <w:t>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 of Delaware (the “Delaware General Corporation Law”). Our amended and restated certificate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 incorporation authorizes capital stock consisting of:</w:t>
      </w:r>
    </w:p>
    <w:p>
      <w:pPr>
        <w:spacing w:after="0" w:line="210" w:lineRule="exact"/>
        <w:rPr>
          <w:sz w:val="20"/>
          <w:szCs w:val="20"/>
          <w:color w:val="auto"/>
        </w:rPr>
      </w:pPr>
    </w:p>
    <w:p>
      <w:pPr>
        <w:ind w:left="880" w:hanging="316"/>
        <w:spacing w:after="0"/>
        <w:tabs>
          <w:tab w:leader="none" w:pos="8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500,000,000 shares of common stock, par value of $0.01 per share, and</w:t>
      </w:r>
    </w:p>
    <w:p>
      <w:pPr>
        <w:spacing w:after="0" w:line="305" w:lineRule="exact"/>
        <w:rPr>
          <w:rFonts w:ascii="Arial" w:cs="Arial" w:eastAsia="Arial" w:hAnsi="Arial"/>
          <w:sz w:val="14"/>
          <w:szCs w:val="14"/>
          <w:color w:val="auto"/>
        </w:rPr>
      </w:pPr>
    </w:p>
    <w:p>
      <w:pPr>
        <w:ind w:left="880" w:hanging="316"/>
        <w:spacing w:after="0"/>
        <w:tabs>
          <w:tab w:leader="none" w:pos="8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10,000,000 shares of preferred stock, par value of $0.01 per share.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78"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Holders of our common stock are entitled to one vote for each share held on all matters submitted to a vote of stockholders. The holders of our common stock will vote together as a single class, unless otherwise required by law. The holders of our common stock do not have cumulative voting rights in the election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Rights</w:t>
      </w:r>
    </w:p>
    <w:p>
      <w:pPr>
        <w:spacing w:after="0" w:line="78"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78" w:lineRule="exact"/>
        <w:rPr>
          <w:sz w:val="20"/>
          <w:szCs w:val="20"/>
          <w:color w:val="auto"/>
        </w:rPr>
      </w:pPr>
    </w:p>
    <w:p>
      <w:pPr>
        <w:jc w:val="both"/>
        <w:ind w:right="500"/>
        <w:spacing w:after="0" w:line="229" w:lineRule="auto"/>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 The rights, preferences and privileges of the holders of our common stock will be subject to and may be adversely affected by the rights of the holders of shares of any series of our preferred stock that we may designate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 to Receive Liquidation Distributions</w:t>
      </w:r>
    </w:p>
    <w:p>
      <w:pPr>
        <w:spacing w:after="0" w:line="78" w:lineRule="exact"/>
        <w:rPr>
          <w:sz w:val="20"/>
          <w:szCs w:val="20"/>
          <w:color w:val="auto"/>
        </w:rPr>
      </w:pPr>
    </w:p>
    <w:p>
      <w:pPr>
        <w:ind w:right="360"/>
        <w:spacing w:after="0" w:line="213" w:lineRule="auto"/>
        <w:rPr>
          <w:sz w:val="20"/>
          <w:szCs w:val="20"/>
          <w:color w:val="auto"/>
        </w:rPr>
      </w:pPr>
      <w:r>
        <w:rPr>
          <w:rFonts w:ascii="Arial" w:cs="Arial" w:eastAsia="Arial" w:hAnsi="Arial"/>
          <w:sz w:val="14"/>
          <w:szCs w:val="14"/>
          <w:color w:val="auto"/>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payment of liquidation preferences, if any, on any shares of preferred stock outstanding at that time.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Fully Paid and Nonassessable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All of our outstanding shares of common stock are fully paid and nonassessable.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65" w:lineRule="exact"/>
        <w:rPr>
          <w:sz w:val="20"/>
          <w:szCs w:val="20"/>
          <w:color w:val="auto"/>
        </w:rPr>
      </w:pPr>
    </w:p>
    <w:p>
      <w:pPr>
        <w:spacing w:after="0" w:line="213" w:lineRule="auto"/>
        <w:rPr>
          <w:sz w:val="20"/>
          <w:szCs w:val="20"/>
          <w:color w:val="auto"/>
        </w:rPr>
      </w:pPr>
      <w:r>
        <w:rPr>
          <w:rFonts w:ascii="Arial" w:cs="Arial" w:eastAsia="Arial" w:hAnsi="Arial"/>
          <w:sz w:val="14"/>
          <w:szCs w:val="14"/>
          <w:color w:val="auto"/>
        </w:rPr>
        <w:t>Pursuant to the provisions of our amended and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w:t>
      </w:r>
    </w:p>
    <w:p>
      <w:pPr>
        <w:sectPr>
          <w:pgSz w:w="11900" w:h="16838" w:orient="portrait"/>
          <w:cols w:equalWidth="0" w:num="1">
            <w:col w:w="11280"/>
          </w:cols>
          <w:pgMar w:left="300" w:top="1129" w:right="319" w:bottom="1440" w:gutter="0" w:footer="0" w:header="0"/>
        </w:sectPr>
      </w:pPr>
    </w:p>
    <w:bookmarkStart w:id="104" w:name="page105"/>
    <w:bookmarkEnd w:id="104"/>
    <w:p>
      <w:pPr>
        <w:ind w:right="420"/>
        <w:spacing w:after="0" w:line="213" w:lineRule="auto"/>
        <w:rPr>
          <w:sz w:val="20"/>
          <w:szCs w:val="20"/>
          <w:color w:val="auto"/>
        </w:rPr>
      </w:pPr>
      <w:r>
        <w:rPr>
          <w:rFonts w:ascii="Arial" w:cs="Arial" w:eastAsia="Arial" w:hAnsi="Arial"/>
          <w:sz w:val="14"/>
          <w:szCs w:val="14"/>
          <w:color w:val="auto"/>
        </w:rPr>
        <w:t>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 and might adversely affect the market price of our common stock and the voting and other rights of the holders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entered into a Registration Rights Agreement with certain of our stockholders in connection with our initial public pursuant to which such parties have certain demand rights,</w:t>
      </w:r>
    </w:p>
    <w:p>
      <w:pPr>
        <w:jc w:val="both"/>
        <w:ind w:right="200"/>
        <w:spacing w:after="0" w:line="221" w:lineRule="auto"/>
        <w:rPr>
          <w:sz w:val="20"/>
          <w:szCs w:val="20"/>
          <w:color w:val="auto"/>
        </w:rPr>
      </w:pPr>
      <w:r>
        <w:rPr>
          <w:rFonts w:ascii="Arial" w:cs="Arial" w:eastAsia="Arial" w:hAnsi="Arial"/>
          <w:sz w:val="14"/>
          <w:szCs w:val="14"/>
          <w:color w:val="auto"/>
        </w:rPr>
        <w:t>short-form registration rights and piggyback registration rights from us, subject to customary restrictions and exceptions. All fees, costs and expenses of registrations, other than underwriting discounts and commissions, are expected to be borne by us. The Registration Rights Agreement does not provide for any maximum cash penalties or any penalties connected with delays in registering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65" w:lineRule="exact"/>
        <w:rPr>
          <w:sz w:val="20"/>
          <w:szCs w:val="20"/>
          <w:color w:val="auto"/>
        </w:rPr>
      </w:pPr>
    </w:p>
    <w:p>
      <w:pPr>
        <w:jc w:val="both"/>
        <w:ind w:right="180"/>
        <w:spacing w:after="0" w:line="213" w:lineRule="auto"/>
        <w:rPr>
          <w:sz w:val="20"/>
          <w:szCs w:val="20"/>
          <w:color w:val="auto"/>
        </w:rPr>
      </w:pPr>
      <w:r>
        <w:rPr>
          <w:rFonts w:ascii="Arial" w:cs="Arial" w:eastAsia="Arial" w:hAnsi="Arial"/>
          <w:sz w:val="14"/>
          <w:szCs w:val="14"/>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They are</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color w:val="auto"/>
        </w:rPr>
        <w:t>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Benefit Corporation Status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We are a public benefit corporation under Section 362 of the Delaware General Corporation Law.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As a public benefit corporation, our board of directors is required by the Delaware General Corporation Law to manage or direct our business and affairs in a manner that balances</w:t>
      </w:r>
    </w:p>
    <w:p>
      <w:pPr>
        <w:ind w:right="20"/>
        <w:spacing w:after="0" w:line="221" w:lineRule="auto"/>
        <w:rPr>
          <w:sz w:val="20"/>
          <w:szCs w:val="20"/>
          <w:color w:val="auto"/>
        </w:rPr>
      </w:pPr>
      <w:r>
        <w:rPr>
          <w:rFonts w:ascii="Arial" w:cs="Arial" w:eastAsia="Arial" w:hAnsi="Arial"/>
          <w:sz w:val="14"/>
          <w:szCs w:val="14"/>
          <w:color w:val="auto"/>
        </w:rPr>
        <w:t>the pecuniary interests of our stockholders, the best interests of those materially affected by our conduct, and the specific public benefits identified in our certificate of incorporation. 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spacing w:after="0" w:line="149"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We believe that our public benefit corporation status will make it more difficult for another party to obtain control of us without maintaining our public benefit corporation status and purpose.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203 of the DGCL</w:t>
      </w:r>
    </w:p>
    <w:p>
      <w:pPr>
        <w:spacing w:after="0" w:line="88" w:lineRule="exact"/>
        <w:rPr>
          <w:sz w:val="20"/>
          <w:szCs w:val="20"/>
          <w:color w:val="auto"/>
        </w:rPr>
      </w:pPr>
    </w:p>
    <w:p>
      <w:pPr>
        <w:spacing w:after="0" w:line="210" w:lineRule="auto"/>
        <w:rPr>
          <w:sz w:val="20"/>
          <w:szCs w:val="20"/>
          <w:color w:val="auto"/>
        </w:rPr>
      </w:pPr>
      <w:r>
        <w:rPr>
          <w:rFonts w:ascii="Arial" w:cs="Arial" w:eastAsia="Arial" w:hAnsi="Arial"/>
          <w:sz w:val="14"/>
          <w:szCs w:val="14"/>
          <w:color w:val="auto"/>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a period of three years following the date such person became an interested stockholder, unless the</w:t>
      </w:r>
    </w:p>
    <w:p>
      <w:pPr>
        <w:spacing w:after="0" w:line="2" w:lineRule="exact"/>
        <w:rPr>
          <w:sz w:val="20"/>
          <w:szCs w:val="20"/>
          <w:color w:val="auto"/>
        </w:rPr>
      </w:pPr>
    </w:p>
    <w:p>
      <w:pPr>
        <w:ind w:right="160"/>
        <w:spacing w:after="0" w:line="210" w:lineRule="auto"/>
        <w:rPr>
          <w:sz w:val="20"/>
          <w:szCs w:val="20"/>
          <w:color w:val="auto"/>
        </w:rPr>
      </w:pPr>
      <w:r>
        <w:rPr>
          <w:rFonts w:ascii="Arial" w:cs="Arial" w:eastAsia="Arial" w:hAnsi="Arial"/>
          <w:sz w:val="14"/>
          <w:szCs w:val="14"/>
          <w:color w:val="auto"/>
        </w:rPr>
        <w:t>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a corporation’s outstanding voting stock and any entity or person affiliated with or controlling 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controlled by such entity or person.</w:t>
      </w:r>
    </w:p>
    <w:p>
      <w:pPr>
        <w:spacing w:after="0" w:line="147"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However, under our amended and restated certificate of incorporation, neither Verlinvest Beverages SA nor any of its affiliates are deemed to be interested stockholders regardless of the percentage of our outstanding voting stock owned by them, and accordingly are not be subject to such restrictions.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Certificate of Incorporation and Amended and Restated Bylaw Provisions</w:t>
      </w:r>
    </w:p>
    <w:p>
      <w:pPr>
        <w:sectPr>
          <w:pgSz w:w="11900" w:h="16838" w:orient="portrait"/>
          <w:cols w:equalWidth="0" w:num="1">
            <w:col w:w="11240"/>
          </w:cols>
          <w:pgMar w:left="300" w:top="1316" w:right="359" w:bottom="1440" w:gutter="0" w:footer="0" w:header="0"/>
        </w:sectPr>
      </w:pPr>
    </w:p>
    <w:bookmarkStart w:id="105" w:name="page106"/>
    <w:bookmarkEnd w:id="105"/>
    <w:p>
      <w:pPr>
        <w:ind w:right="180"/>
        <w:spacing w:after="0" w:line="229" w:lineRule="auto"/>
        <w:rPr>
          <w:sz w:val="20"/>
          <w:szCs w:val="20"/>
          <w:color w:val="auto"/>
        </w:rPr>
      </w:pPr>
      <w:r>
        <w:rPr>
          <w:rFonts w:ascii="Arial" w:cs="Arial" w:eastAsia="Arial" w:hAnsi="Arial"/>
          <w:sz w:val="14"/>
          <w:szCs w:val="14"/>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8" w:lineRule="exact"/>
        <w:rPr>
          <w:sz w:val="20"/>
          <w:szCs w:val="20"/>
          <w:color w:val="auto"/>
        </w:rPr>
      </w:pPr>
    </w:p>
    <w:p>
      <w:pPr>
        <w:ind w:left="880" w:hanging="316"/>
        <w:spacing w:after="0" w:line="219"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Board of Directors Vacancies</w:t>
      </w:r>
      <w:r>
        <w:rPr>
          <w:rFonts w:ascii="Arial" w:cs="Arial" w:eastAsia="Arial" w:hAnsi="Arial"/>
          <w:sz w:val="14"/>
          <w:szCs w:val="14"/>
          <w:color w:val="auto"/>
        </w:rPr>
        <w:t>. Verlinvest, Mr. Kirban and Mr. Liran, in the case of their board nominees, have the power to fill any vacancy caused by the removal or</w:t>
      </w:r>
      <w:r>
        <w:rPr>
          <w:rFonts w:ascii="Arial" w:cs="Arial" w:eastAsia="Arial" w:hAnsi="Arial"/>
          <w:sz w:val="14"/>
          <w:szCs w:val="14"/>
          <w:i w:val="1"/>
          <w:iCs w:val="1"/>
          <w:color w:val="auto"/>
        </w:rPr>
        <w:t xml:space="preserve"> </w:t>
      </w:r>
      <w:r>
        <w:rPr>
          <w:rFonts w:ascii="Arial" w:cs="Arial" w:eastAsia="Arial" w:hAnsi="Arial"/>
          <w:sz w:val="14"/>
          <w:szCs w:val="14"/>
          <w:color w:val="auto"/>
        </w:rPr>
        <w:t>departure of their director. In all other cases, 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9" w:lineRule="exact"/>
        <w:rPr>
          <w:rFonts w:ascii="Arial" w:cs="Arial" w:eastAsia="Arial" w:hAnsi="Arial"/>
          <w:sz w:val="14"/>
          <w:szCs w:val="14"/>
          <w:color w:val="auto"/>
        </w:rPr>
      </w:pPr>
    </w:p>
    <w:p>
      <w:pPr>
        <w:ind w:left="880" w:right="40" w:hanging="316"/>
        <w:spacing w:after="0" w:line="228"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Classified Board</w:t>
      </w:r>
      <w:r>
        <w:rPr>
          <w:rFonts w:ascii="Arial" w:cs="Arial" w:eastAsia="Arial" w:hAnsi="Arial"/>
          <w:sz w:val="14"/>
          <w:szCs w:val="14"/>
          <w:color w:val="auto"/>
        </w:rPr>
        <w:t>. Our amended and restated certificate of incorporation and amended and restated bylaws provide that our board of directors is classified into three</w:t>
      </w:r>
      <w:r>
        <w:rPr>
          <w:rFonts w:ascii="Arial" w:cs="Arial" w:eastAsia="Arial" w:hAnsi="Arial"/>
          <w:sz w:val="14"/>
          <w:szCs w:val="14"/>
          <w:i w:val="1"/>
          <w:iCs w:val="1"/>
          <w:color w:val="auto"/>
        </w:rPr>
        <w:t xml:space="preserve"> </w:t>
      </w:r>
      <w:r>
        <w:rPr>
          <w:rFonts w:ascii="Arial" w:cs="Arial" w:eastAsia="Arial" w:hAnsi="Arial"/>
          <w:sz w:val="14"/>
          <w:szCs w:val="14"/>
          <w:color w:val="auto"/>
        </w:rPr>
        <w:t>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283" w:lineRule="exact"/>
        <w:rPr>
          <w:rFonts w:ascii="Arial" w:cs="Arial" w:eastAsia="Arial" w:hAnsi="Arial"/>
          <w:sz w:val="14"/>
          <w:szCs w:val="14"/>
          <w:color w:val="auto"/>
        </w:rPr>
      </w:pPr>
    </w:p>
    <w:p>
      <w:pPr>
        <w:jc w:val="both"/>
        <w:ind w:left="880" w:right="140" w:hanging="316"/>
        <w:spacing w:after="0" w:line="233"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Removal of Directors</w:t>
      </w:r>
      <w:r>
        <w:rPr>
          <w:rFonts w:ascii="Arial" w:cs="Arial" w:eastAsia="Arial" w:hAnsi="Arial"/>
          <w:sz w:val="14"/>
          <w:szCs w:val="14"/>
          <w:color w:val="auto"/>
        </w:rPr>
        <w:t>. Pursuant to the terms of the Investor Rights Agreement, directors nominated by may be removed with or without cause by the affirmative vote</w:t>
      </w:r>
      <w:r>
        <w:rPr>
          <w:rFonts w:ascii="Arial" w:cs="Arial" w:eastAsia="Arial" w:hAnsi="Arial"/>
          <w:sz w:val="14"/>
          <w:szCs w:val="14"/>
          <w:i w:val="1"/>
          <w:iCs w:val="1"/>
          <w:color w:val="auto"/>
        </w:rPr>
        <w:t xml:space="preserve"> </w:t>
      </w:r>
      <w:r>
        <w:rPr>
          <w:rFonts w:ascii="Arial" w:cs="Arial" w:eastAsia="Arial" w:hAnsi="Arial"/>
          <w:sz w:val="14"/>
          <w:szCs w:val="14"/>
          <w:color w:val="auto"/>
        </w:rPr>
        <w:t>of entitled to nominate such director. Our amended and restated certificate of incorporation provides that, in all other cases and at any other time, directors may only be removed for cause by the affirmative of at least a majority of the voting power of our common stock.</w:t>
      </w:r>
    </w:p>
    <w:p>
      <w:pPr>
        <w:spacing w:after="0" w:line="284" w:lineRule="exact"/>
        <w:rPr>
          <w:rFonts w:ascii="Arial" w:cs="Arial" w:eastAsia="Arial" w:hAnsi="Arial"/>
          <w:sz w:val="14"/>
          <w:szCs w:val="14"/>
          <w:color w:val="auto"/>
        </w:rPr>
      </w:pPr>
    </w:p>
    <w:p>
      <w:pPr>
        <w:ind w:left="880" w:right="60" w:hanging="316"/>
        <w:spacing w:after="0" w:line="222"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Supermajority Requirements for Amendments of Our Amended and Restated Certificate of Incorporation and Amended and Restated Bylaws</w:t>
      </w:r>
      <w:r>
        <w:rPr>
          <w:rFonts w:ascii="Arial" w:cs="Arial" w:eastAsia="Arial" w:hAnsi="Arial"/>
          <w:sz w:val="14"/>
          <w:szCs w:val="14"/>
          <w:color w:val="auto"/>
        </w:rPr>
        <w:t>. Our amended and</w:t>
      </w:r>
      <w:r>
        <w:rPr>
          <w:rFonts w:ascii="Arial" w:cs="Arial" w:eastAsia="Arial" w:hAnsi="Arial"/>
          <w:sz w:val="14"/>
          <w:szCs w:val="14"/>
          <w:i w:val="1"/>
          <w:iCs w:val="1"/>
          <w:color w:val="auto"/>
        </w:rPr>
        <w:t xml:space="preserve"> </w:t>
      </w:r>
      <w:r>
        <w:rPr>
          <w:rFonts w:ascii="Arial" w:cs="Arial" w:eastAsia="Arial" w:hAnsi="Arial"/>
          <w:sz w:val="14"/>
          <w:szCs w:val="14"/>
          <w:color w:val="auto"/>
        </w:rPr>
        <w:t>restated certificate of incorporation further provides that the affirmative vote of holders of at least two-thirds of the voting power of all of the then outstanding shares of voting stock is required to amend certain provisions of our amended and restated certificate of incorporation, including provisions relating to the classified board, the size of the board, removal of directors, special meetings, actions by written consent, and designation of our preferred stock.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84" w:lineRule="exact"/>
        <w:rPr>
          <w:rFonts w:ascii="Arial" w:cs="Arial" w:eastAsia="Arial" w:hAnsi="Arial"/>
          <w:sz w:val="14"/>
          <w:szCs w:val="14"/>
          <w:color w:val="auto"/>
        </w:rPr>
      </w:pPr>
    </w:p>
    <w:p>
      <w:pPr>
        <w:ind w:left="880" w:hanging="316"/>
        <w:spacing w:after="0" w:line="218"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Stockholder Action; Special Meeting of Stockholders</w:t>
      </w:r>
      <w:r>
        <w:rPr>
          <w:rFonts w:ascii="Arial" w:cs="Arial" w:eastAsia="Arial" w:hAnsi="Arial"/>
          <w:sz w:val="14"/>
          <w:szCs w:val="14"/>
          <w:color w:val="auto"/>
        </w:rPr>
        <w:t>. Our amended and restated certificate of incorporation provides that special meetings of our stockholders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called only by a majority of our board of directors, the chairman of our board of directors, our lead independent director, or our chief executive officer. Our amended and restated certificate of incorporation provides that our stockholders may not take action by written consent, but may only take action at annual or special meetings of our stockholders. As a result, holders of our capital stock would not be able to amend our amended and amended and restated bylaws or remove directors without holding a meeting of our stockholders called in accordance with our restated bylaws. Further, our amended and restated bylaws provides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ectPr>
          <w:pgSz w:w="11900" w:h="16838" w:orient="portrait"/>
          <w:cols w:equalWidth="0" w:num="1">
            <w:col w:w="11260"/>
          </w:cols>
          <w:pgMar w:left="300" w:top="1232" w:right="339" w:bottom="1440" w:gutter="0" w:footer="0" w:header="0"/>
        </w:sectPr>
      </w:pPr>
    </w:p>
    <w:bookmarkStart w:id="106" w:name="page107"/>
    <w:bookmarkEnd w:id="106"/>
    <w:p>
      <w:pPr>
        <w:ind w:left="880" w:right="80" w:hanging="316"/>
        <w:spacing w:after="0" w:line="222" w:lineRule="auto"/>
        <w:tabs>
          <w:tab w:leader="none" w:pos="8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Advance Notice Requirements for Stockholder Proposals and Director Nominations</w:t>
      </w:r>
      <w:r>
        <w:rPr>
          <w:rFonts w:ascii="Arial" w:cs="Arial" w:eastAsia="Arial" w:hAnsi="Arial"/>
          <w:sz w:val="14"/>
          <w:szCs w:val="14"/>
          <w:color w:val="auto"/>
        </w:rPr>
        <w:t>. Our amended and restated bylaws provides advance notice procedures for</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seeking to bring business before our annual meeting of stockholders or to nominate candidates for election as directors at our annual meeting of stockholders. Our amended and restated bylaws also specifies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84" w:lineRule="exact"/>
        <w:rPr>
          <w:rFonts w:ascii="Arial" w:cs="Arial" w:eastAsia="Arial" w:hAnsi="Arial"/>
          <w:sz w:val="14"/>
          <w:szCs w:val="14"/>
          <w:color w:val="auto"/>
        </w:rPr>
      </w:pPr>
    </w:p>
    <w:p>
      <w:pPr>
        <w:ind w:left="860" w:right="60" w:hanging="275"/>
        <w:spacing w:after="0" w:line="239" w:lineRule="auto"/>
        <w:tabs>
          <w:tab w:leader="none" w:pos="860"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No Cumulative Voting</w:t>
      </w:r>
      <w:r>
        <w:rPr>
          <w:rFonts w:ascii="Arial" w:cs="Arial" w:eastAsia="Arial" w:hAnsi="Arial"/>
          <w:sz w:val="14"/>
          <w:szCs w:val="14"/>
          <w:color w:val="auto"/>
        </w:rPr>
        <w:t>. The DGCL provides that stockholders are not entitled to the right to cumulate votes in the election of directors unless a corporation’s certificate</w:t>
      </w:r>
      <w:r>
        <w:rPr>
          <w:rFonts w:ascii="Arial" w:cs="Arial" w:eastAsia="Arial" w:hAnsi="Arial"/>
          <w:sz w:val="14"/>
          <w:szCs w:val="14"/>
          <w:i w:val="1"/>
          <w:iCs w:val="1"/>
          <w:color w:val="auto"/>
        </w:rPr>
        <w:t xml:space="preserve"> </w:t>
      </w:r>
      <w:r>
        <w:rPr>
          <w:rFonts w:ascii="Arial" w:cs="Arial" w:eastAsia="Arial" w:hAnsi="Arial"/>
          <w:sz w:val="14"/>
          <w:szCs w:val="14"/>
          <w:color w:val="auto"/>
        </w:rPr>
        <w:t>of incorporation</w:t>
      </w:r>
    </w:p>
    <w:p>
      <w:pPr>
        <w:spacing w:after="0" w:line="22"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provides otherwise. Our amended and restated certificate of incorporation and amended and restated bylaws do not provide for cumulative voting.</w:t>
      </w:r>
    </w:p>
    <w:p>
      <w:pPr>
        <w:spacing w:after="0" w:line="281" w:lineRule="exact"/>
        <w:rPr>
          <w:rFonts w:ascii="Arial" w:cs="Arial" w:eastAsia="Arial" w:hAnsi="Arial"/>
          <w:sz w:val="14"/>
          <w:szCs w:val="14"/>
          <w:color w:val="auto"/>
        </w:rPr>
      </w:pPr>
    </w:p>
    <w:p>
      <w:pPr>
        <w:ind w:left="880" w:right="20" w:hanging="316"/>
        <w:spacing w:after="0" w:line="226" w:lineRule="auto"/>
        <w:tabs>
          <w:tab w:leader="none" w:pos="8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Issuance of Undesignated Preferred Stock</w:t>
      </w:r>
      <w:r>
        <w:rPr>
          <w:rFonts w:ascii="Arial" w:cs="Arial" w:eastAsia="Arial" w:hAnsi="Arial"/>
          <w:sz w:val="14"/>
          <w:szCs w:val="14"/>
          <w:color w:val="auto"/>
        </w:rPr>
        <w:t>. Our board of directors has the authority, without further action by the stockholders, to issue up to 10,000,000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84" w:lineRule="exact"/>
        <w:rPr>
          <w:rFonts w:ascii="Arial" w:cs="Arial" w:eastAsia="Arial" w:hAnsi="Arial"/>
          <w:sz w:val="14"/>
          <w:szCs w:val="14"/>
          <w:color w:val="auto"/>
        </w:rPr>
      </w:pPr>
    </w:p>
    <w:p>
      <w:pPr>
        <w:ind w:left="880" w:hanging="316"/>
        <w:spacing w:after="0" w:line="216" w:lineRule="auto"/>
        <w:tabs>
          <w:tab w:leader="none" w:pos="8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Choice of Forum</w:t>
      </w:r>
      <w:r>
        <w:rPr>
          <w:rFonts w:ascii="Arial" w:cs="Arial" w:eastAsia="Arial" w:hAnsi="Arial"/>
          <w:sz w:val="14"/>
          <w:szCs w:val="14"/>
          <w:color w:val="auto"/>
        </w:rPr>
        <w:t>. Our amended and restated certificate of incorporation provides that, unless we consent in writing to the selection of an alternative forum, (A)(i) any</w:t>
      </w:r>
      <w:r>
        <w:rPr>
          <w:rFonts w:ascii="Arial" w:cs="Arial" w:eastAsia="Arial" w:hAnsi="Arial"/>
          <w:sz w:val="14"/>
          <w:szCs w:val="14"/>
          <w:i w:val="1"/>
          <w:iCs w:val="1"/>
          <w:color w:val="auto"/>
        </w:rPr>
        <w:t xml:space="preserve"> </w:t>
      </w:r>
      <w:r>
        <w:rPr>
          <w:rFonts w:ascii="Arial" w:cs="Arial" w:eastAsia="Arial" w:hAnsi="Arial"/>
          <w:sz w:val="14"/>
          <w:szCs w:val="14"/>
          <w:color w:val="auto"/>
        </w:rPr>
        <w:t>derivative action or proceeding brought on behalf of us, (ii) any action asserting a claim of breach of a fiduciary duty owed by any of our current or former directors, officers, other employees or stockholders to us or our stockholders, (iii) any action asserting a claim arising pursuant to any provision of the DGCL, our amended and restated certificate of incorporation or amended and restated bylaws (as 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Liability and Indemnification Matters</w:t>
      </w:r>
    </w:p>
    <w:p>
      <w:pPr>
        <w:spacing w:after="0" w:line="165" w:lineRule="exact"/>
        <w:rPr>
          <w:sz w:val="20"/>
          <w:szCs w:val="20"/>
          <w:color w:val="auto"/>
        </w:rPr>
      </w:pPr>
    </w:p>
    <w:p>
      <w:pPr>
        <w:ind w:right="220"/>
        <w:spacing w:after="0" w:line="213" w:lineRule="auto"/>
        <w:rPr>
          <w:sz w:val="20"/>
          <w:szCs w:val="20"/>
          <w:color w:val="auto"/>
        </w:rPr>
      </w:pPr>
      <w:r>
        <w:rPr>
          <w:rFonts w:ascii="Arial" w:cs="Arial" w:eastAsia="Arial" w:hAnsi="Arial"/>
          <w:sz w:val="14"/>
          <w:szCs w:val="14"/>
          <w:color w:val="auto"/>
        </w:rPr>
        <w:t>Our amended and restated certificate of incorporation provides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w:t>
      </w:r>
    </w:p>
    <w:p>
      <w:pPr>
        <w:spacing w:after="0" w:line="1" w:lineRule="exact"/>
        <w:rPr>
          <w:sz w:val="20"/>
          <w:szCs w:val="20"/>
          <w:color w:val="auto"/>
        </w:rPr>
      </w:pPr>
    </w:p>
    <w:p>
      <w:pPr>
        <w:spacing w:after="0" w:line="210" w:lineRule="auto"/>
        <w:rPr>
          <w:sz w:val="20"/>
          <w:szCs w:val="20"/>
          <w:color w:val="auto"/>
        </w:rPr>
      </w:pPr>
      <w:r>
        <w:rPr>
          <w:rFonts w:ascii="Arial" w:cs="Arial" w:eastAsia="Arial" w:hAnsi="Arial"/>
          <w:sz w:val="14"/>
          <w:szCs w:val="14"/>
          <w:color w:val="auto"/>
        </w:rPr>
        <w:t>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includes provisions that eliminate the personal liability of our directors for monetary damages resulting from breaches of certain fiduciary duties</w:t>
      </w:r>
    </w:p>
    <w:p>
      <w:pPr>
        <w:spacing w:after="0" w:line="2" w:lineRule="exact"/>
        <w:rPr>
          <w:sz w:val="20"/>
          <w:szCs w:val="20"/>
          <w:color w:val="auto"/>
        </w:rPr>
      </w:pPr>
    </w:p>
    <w:p>
      <w:pPr>
        <w:ind w:right="240"/>
        <w:spacing w:after="0" w:line="229" w:lineRule="auto"/>
        <w:rPr>
          <w:sz w:val="20"/>
          <w:szCs w:val="20"/>
          <w:color w:val="auto"/>
        </w:rPr>
      </w:pPr>
      <w:r>
        <w:rPr>
          <w:rFonts w:ascii="Arial" w:cs="Arial" w:eastAsia="Arial" w:hAnsi="Arial"/>
          <w:sz w:val="14"/>
          <w:szCs w:val="14"/>
          <w:color w:val="auto"/>
        </w:rPr>
        <w:t>as a director. The effect of this provision is to restrict our rights and the rights of our stockholders in derivative suits to recover monetary damages against a director for breach of fiduciary duties as a director.</w:t>
      </w:r>
    </w:p>
    <w:p>
      <w:pPr>
        <w:sectPr>
          <w:pgSz w:w="11900" w:h="16838" w:orient="portrait"/>
          <w:cols w:equalWidth="0" w:num="1">
            <w:col w:w="11260"/>
          </w:cols>
          <w:pgMar w:left="300" w:top="1175"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These provisions may be held not to be enforceable for violations of the federal securities laws of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American Stock Transfer &amp; Trust Company, LLC.</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the Nasdaq Global Select Market and trades under the symbol “COCO.”</w:t>
      </w:r>
    </w:p>
    <w:p>
      <w:pPr>
        <w:sectPr>
          <w:pgSz w:w="11900" w:h="16838" w:orient="portrait"/>
          <w:cols w:equalWidth="0" w:num="1">
            <w:col w:w="10159"/>
          </w:cols>
          <w:pgMar w:left="300" w:top="1316" w:right="1440" w:bottom="1440"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10.16</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portions of this exhibit (indicated by “####”) have been omitted pursuant to Regulation S-K, Item 601(a)(6).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18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 xml:space="preserve">This EMPLOYMENT AGREEMENT made and entered into as of the </w:t>
      </w:r>
      <w:r>
        <w:rPr>
          <w:rFonts w:ascii="Arial" w:cs="Arial" w:eastAsia="Arial" w:hAnsi="Arial"/>
          <w:sz w:val="15"/>
          <w:szCs w:val="15"/>
          <w:b w:val="1"/>
          <w:bCs w:val="1"/>
          <w:color w:val="auto"/>
        </w:rPr>
        <w:t>1</w:t>
      </w:r>
      <w:r>
        <w:rPr>
          <w:rFonts w:ascii="Arial" w:cs="Arial" w:eastAsia="Arial" w:hAnsi="Arial"/>
          <w:sz w:val="8"/>
          <w:szCs w:val="8"/>
          <w:b w:val="1"/>
          <w:bCs w:val="1"/>
          <w:color w:val="auto"/>
        </w:rPr>
        <w:t>st</w:t>
      </w:r>
      <w:r>
        <w:rPr>
          <w:rFonts w:ascii="Arial" w:cs="Arial" w:eastAsia="Arial" w:hAnsi="Arial"/>
          <w:sz w:val="15"/>
          <w:szCs w:val="15"/>
          <w:color w:val="auto"/>
        </w:rPr>
        <w:t xml:space="preserve"> </w:t>
      </w:r>
      <w:r>
        <w:rPr>
          <w:rFonts w:ascii="Arial" w:cs="Arial" w:eastAsia="Arial" w:hAnsi="Arial"/>
          <w:sz w:val="15"/>
          <w:szCs w:val="15"/>
          <w:b w:val="1"/>
          <w:bCs w:val="1"/>
          <w:color w:val="auto"/>
        </w:rPr>
        <w:t>day of June 2021</w:t>
      </w:r>
      <w:r>
        <w:rPr>
          <w:rFonts w:ascii="Arial" w:cs="Arial" w:eastAsia="Arial" w:hAnsi="Arial"/>
          <w:sz w:val="15"/>
          <w:szCs w:val="15"/>
          <w:color w:val="auto"/>
        </w:rPr>
        <w:t>, by and between All Market Inc.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corporation with its principal office located at 250 Park Avenue South, Floor 7, New York, NY 10003 (the “Corporation”) and </w:t>
      </w:r>
      <w:r>
        <w:rPr>
          <w:rFonts w:ascii="Arial" w:cs="Arial" w:eastAsia="Arial" w:hAnsi="Arial"/>
          <w:sz w:val="15"/>
          <w:szCs w:val="15"/>
          <w:b w:val="1"/>
          <w:bCs w:val="1"/>
          <w:color w:val="auto"/>
        </w:rPr>
        <w:t>ROWENA RICALDE</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Employee</w:t>
      </w:r>
      <w:r>
        <w:rPr>
          <w:rFonts w:ascii="Arial" w:cs="Arial" w:eastAsia="Arial" w:hAnsi="Arial"/>
          <w:sz w:val="15"/>
          <w:szCs w:val="15"/>
          <w:color w:val="auto"/>
        </w:rPr>
        <w:t>”) residing at ####.</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WITNESSETH:</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WHEREAS, the Corporation desires to employ Employee in the specific capacity hereinafter stated, and Employee desires to accept such engagement in such capacity on the terms and conditions set forth herein;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promises and covenants set forth below, it is hereby agreed by the Corporation and Employee as follows:</w:t>
      </w:r>
    </w:p>
    <w:p>
      <w:pPr>
        <w:spacing w:after="0" w:line="194" w:lineRule="exact"/>
        <w:rPr>
          <w:sz w:val="20"/>
          <w:szCs w:val="20"/>
          <w:color w:val="auto"/>
        </w:rPr>
      </w:pPr>
    </w:p>
    <w:p>
      <w:pPr>
        <w:jc w:val="both"/>
        <w:ind w:firstLine="5"/>
        <w:spacing w:after="0" w:line="249" w:lineRule="auto"/>
        <w:tabs>
          <w:tab w:leader="none" w:pos="17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xml:space="preserve">. The Corporation hereby agrees to hire Employee as its </w:t>
      </w:r>
      <w:r>
        <w:rPr>
          <w:rFonts w:ascii="Arial" w:cs="Arial" w:eastAsia="Arial" w:hAnsi="Arial"/>
          <w:sz w:val="17"/>
          <w:szCs w:val="17"/>
          <w:b w:val="1"/>
          <w:bCs w:val="1"/>
          <w:u w:val="single" w:color="auto"/>
          <w:color w:val="auto"/>
        </w:rPr>
        <w:t>CHIEF CORPORATE ACCOUNTANT</w:t>
      </w:r>
      <w:r>
        <w:rPr>
          <w:rFonts w:ascii="Arial" w:cs="Arial" w:eastAsia="Arial" w:hAnsi="Arial"/>
          <w:sz w:val="17"/>
          <w:szCs w:val="17"/>
          <w:color w:val="auto"/>
        </w:rPr>
        <w:t xml:space="preserve"> and Employee, in such capacity, agrees to provide services to the Corporation beginning on the date first above written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Notwithstanding the foregoing, Employee shall be deemed an at-will employee throughout the term of Employee’s employment with the Corporation.</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Employee’s employment with the Corporation is for no specific period of time and is terminable “at will,” meaning that either Employee or the Corporation may terminate Employee’s employment, at any time, and for any reason, with or without cause, subject to particular provisions set forth herein. Any contrary representations that may have been made to Employee are superseded by this offer. This is the full and complete agreement between Employee and the Corporation on this term. Although Employee’s job duties, title, compensation and benefits, as well as the Corporation’s personnel policies, procedures, and benefits may change from time to time, the “at will” nature of Employee’s employment may only be changed in an express written agreement signed by Employee and the Corporation’s representative.</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position is considered exempt, thus Employee will not be eligible for any overtime payment. No general working hours have been fixed and Employee is expected to work whatever hours are necessary to perform the responsibilities satisfactorily, using his or her full time and best efforts. Employee’s position is an exempt position, so Employee will not receive separate or additional remuneration for work in excess of forty (40) hours per week.</w:t>
      </w:r>
    </w:p>
    <w:p>
      <w:pPr>
        <w:spacing w:after="0" w:line="200" w:lineRule="exact"/>
        <w:rPr>
          <w:sz w:val="20"/>
          <w:szCs w:val="20"/>
          <w:color w:val="auto"/>
        </w:rPr>
      </w:pPr>
    </w:p>
    <w:p>
      <w:pPr>
        <w:spacing w:after="0" w:line="327" w:lineRule="exact"/>
        <w:rPr>
          <w:sz w:val="20"/>
          <w:szCs w:val="20"/>
          <w:color w:val="auto"/>
        </w:rPr>
      </w:pPr>
    </w:p>
    <w:p>
      <w:pPr>
        <w:ind w:firstLine="5"/>
        <w:spacing w:after="0" w:line="258" w:lineRule="auto"/>
        <w:tabs>
          <w:tab w:leader="none" w:pos="17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Performance of Duties</w:t>
      </w:r>
      <w:r>
        <w:rPr>
          <w:rFonts w:ascii="Arial" w:cs="Arial" w:eastAsia="Arial" w:hAnsi="Arial"/>
          <w:sz w:val="17"/>
          <w:szCs w:val="17"/>
          <w:color w:val="auto"/>
        </w:rPr>
        <w:t>. Employee agrees that during their employment, while Employee is employed by the Corporation, Employee shall devote Employee’s full time,</w:t>
      </w:r>
    </w:p>
    <w:p>
      <w:pPr>
        <w:sectPr>
          <w:pgSz w:w="11900" w:h="16838" w:orient="portrait"/>
          <w:cols w:equalWidth="0" w:num="1">
            <w:col w:w="11280"/>
          </w:cols>
          <w:pgMar w:left="300" w:top="1132" w:right="319" w:bottom="1440" w:gutter="0" w:footer="0" w:header="0"/>
        </w:sectPr>
      </w:pPr>
    </w:p>
    <w:bookmarkStart w:id="144" w:name="page145"/>
    <w:bookmarkEnd w:id="144"/>
    <w:p>
      <w:pPr>
        <w:jc w:val="both"/>
        <w:spacing w:after="0" w:line="239" w:lineRule="auto"/>
        <w:rPr>
          <w:sz w:val="20"/>
          <w:szCs w:val="20"/>
          <w:color w:val="auto"/>
        </w:rPr>
      </w:pPr>
      <w:r>
        <w:rPr>
          <w:rFonts w:ascii="Arial" w:cs="Arial" w:eastAsia="Arial" w:hAnsi="Arial"/>
          <w:sz w:val="17"/>
          <w:szCs w:val="17"/>
          <w:color w:val="auto"/>
        </w:rPr>
        <w:t>energies and talents exclusively to serving the Corporation in the best interests of the Corporation, and to perform the duties assigned to Employee by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and/or other authorized representatives of the Corporation faithfully, efficiently and in a professional manner; provided further that, without the Board’s consent (which consent shall not be unreasonably withheld), Employee shall not serve as or be a consultant to or employee, officer, agent or director of any Corporation, partnership or other entity other than the Corporation or any of its affiliates (other than civic, charitable, or other public service organizations) if such would, in the sole discretion of the Corporation, have a material adverse effect upon the ability of Employee to perform Employee’s duties hereunder or upon the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w:t>
      </w:r>
      <w:r>
        <w:rPr>
          <w:rFonts w:ascii="Arial" w:cs="Arial" w:eastAsia="Arial" w:hAnsi="Arial"/>
          <w:sz w:val="15"/>
          <w:szCs w:val="15"/>
          <w:u w:val="single" w:color="auto"/>
          <w:color w:val="auto"/>
        </w:rPr>
        <w:t>Compensation</w:t>
      </w:r>
      <w:r>
        <w:rPr>
          <w:rFonts w:ascii="Arial" w:cs="Arial" w:eastAsia="Arial" w:hAnsi="Arial"/>
          <w:sz w:val="15"/>
          <w:szCs w:val="15"/>
          <w:color w:val="auto"/>
        </w:rPr>
        <w:t>. Subject to the terms and conditions of this Agreement, Employee shall be compensated by the Corporation for Employee’s services as follows:</w:t>
      </w:r>
    </w:p>
    <w:p>
      <w:pPr>
        <w:spacing w:after="0" w:line="205" w:lineRule="exact"/>
        <w:rPr>
          <w:sz w:val="20"/>
          <w:szCs w:val="20"/>
          <w:color w:val="auto"/>
        </w:rPr>
      </w:pPr>
    </w:p>
    <w:p>
      <w:pPr>
        <w:jc w:val="both"/>
        <w:ind w:left="520" w:hanging="260"/>
        <w:spacing w:after="0" w:line="249"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Employee shall receive an annual salary of </w:t>
      </w:r>
      <w:r>
        <w:rPr>
          <w:rFonts w:ascii="Arial" w:cs="Arial" w:eastAsia="Arial" w:hAnsi="Arial"/>
          <w:sz w:val="17"/>
          <w:szCs w:val="17"/>
          <w:b w:val="1"/>
          <w:bCs w:val="1"/>
          <w:color w:val="auto"/>
        </w:rPr>
        <w:t>TWO HUNDRED THOUSAND DOLLARS ($200,000.00</w:t>
      </w:r>
      <w:r>
        <w:rPr>
          <w:rFonts w:ascii="Arial" w:cs="Arial" w:eastAsia="Arial" w:hAnsi="Arial"/>
          <w:sz w:val="17"/>
          <w:szCs w:val="17"/>
          <w:color w:val="auto"/>
        </w:rPr>
        <w:t xml:space="preserve">), payable in substantially equal semi-monthly or more frequent installments and subject to normal and customary tax withholding and other applicable deductions (“Base Salary”). As of January 1, 2022, employee will receive a salary increase to </w:t>
      </w:r>
      <w:r>
        <w:rPr>
          <w:rFonts w:ascii="Arial" w:cs="Arial" w:eastAsia="Arial" w:hAnsi="Arial"/>
          <w:sz w:val="17"/>
          <w:szCs w:val="17"/>
          <w:b w:val="1"/>
          <w:bCs w:val="1"/>
          <w:color w:val="auto"/>
        </w:rPr>
        <w:t>TWO HUNDRED AND TEN THOUSAND DOLLARS ($210,000.00).</w:t>
      </w:r>
    </w:p>
    <w:p>
      <w:pPr>
        <w:spacing w:after="0" w:line="159" w:lineRule="exact"/>
        <w:rPr>
          <w:sz w:val="20"/>
          <w:szCs w:val="20"/>
          <w:color w:val="auto"/>
        </w:rPr>
      </w:pPr>
    </w:p>
    <w:p>
      <w:pPr>
        <w:jc w:val="both"/>
        <w:ind w:left="520" w:hanging="260"/>
        <w:spacing w:after="0" w:line="257" w:lineRule="auto"/>
        <w:tabs>
          <w:tab w:leader="none" w:pos="51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In addition to Employee’s Base Salary, Employee shall be eligible for an annual bonus, in the sole and exclusive discretion of the Corporation, of up to </w:t>
      </w:r>
      <w:r>
        <w:rPr>
          <w:rFonts w:ascii="Arial" w:cs="Arial" w:eastAsia="Arial" w:hAnsi="Arial"/>
          <w:sz w:val="16"/>
          <w:szCs w:val="16"/>
          <w:b w:val="1"/>
          <w:bCs w:val="1"/>
          <w:color w:val="auto"/>
        </w:rPr>
        <w:t xml:space="preserve">TWENTY Percent (20%) </w:t>
      </w:r>
      <w:r>
        <w:rPr>
          <w:rFonts w:ascii="Arial" w:cs="Arial" w:eastAsia="Arial" w:hAnsi="Arial"/>
          <w:sz w:val="16"/>
          <w:szCs w:val="16"/>
          <w:color w:val="auto"/>
        </w:rPr>
        <w:t>of Employee’s Base Salary (“Bonus”). Employee shall be eligible for up to the full 20% rather than on a pro-rated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of this Bonus will be goal driven and goals will be outlined in advance of each year. Any bonus payments shall be determined on a discretionary basis and shall be dependent on your achievement of Employee’s objectives approved by the Corporation and financial information prepared by the Corporation in accordance with the Corporation’s standard practices, which shall be final and binding. Payments under this scheme shall be payable only if Employee is employed by the Corporation as of the date such Bonus is paid pursuant to the Corporation’s practices.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Corporation will automatically deduct applicable state and federal taxes directly from Employee’s paycheck (which Employee will receive twice a month). The various items that will be deducted from Employee’s paycheck include federal and state income tax, federal social security tax, Medicare tax, unemployment insurance, and disability insurance. At the end of the year, your earned compensation will be reported on an IRS Form W-2.</w:t>
      </w:r>
    </w:p>
    <w:p>
      <w:pPr>
        <w:spacing w:after="0" w:line="167" w:lineRule="exact"/>
        <w:rPr>
          <w:sz w:val="20"/>
          <w:szCs w:val="20"/>
          <w:color w:val="auto"/>
        </w:rPr>
      </w:pPr>
    </w:p>
    <w:p>
      <w:pPr>
        <w:jc w:val="both"/>
        <w:ind w:firstLine="5"/>
        <w:spacing w:after="0" w:line="23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Employee wishes to terminate his or her employment, the Corporation requests that a two weeks’ notice as a courtesy. Upon termination, all outstanding expenses must be settled promptly, and Employee shall return any and all Corporation property including but not limited to Corporation items in Employee’s possession which may or may not have been inventoried by the Corporation, including but not limited to samples, keys, computers, telephones, business cards, passwords, client or customer lists, documents relating to past projects, and all files – including computer files. Employee understands and agrees that any Corporation property given to Employee remains the property of the Corporation and is solely to be used to market and sell the Corporation’s products on behalf of the Corporation and in accordance with its policies. If Employee’s employment is terminated or Employee ceases to be actively employed by the Corporation, for any reason, Employee will</w:t>
      </w:r>
    </w:p>
    <w:p>
      <w:pPr>
        <w:sectPr>
          <w:pgSz w:w="11900" w:h="16838" w:orient="portrait"/>
          <w:cols w:equalWidth="0" w:num="1">
            <w:col w:w="11280"/>
          </w:cols>
          <w:pgMar w:left="300" w:top="1141" w:right="319" w:bottom="1440" w:gutter="0" w:footer="0" w:header="0"/>
        </w:sectPr>
      </w:pPr>
    </w:p>
    <w:bookmarkStart w:id="145" w:name="page146"/>
    <w:bookmarkEnd w:id="145"/>
    <w:p>
      <w:pPr>
        <w:spacing w:after="0" w:line="258" w:lineRule="auto"/>
        <w:rPr>
          <w:sz w:val="20"/>
          <w:szCs w:val="20"/>
          <w:color w:val="auto"/>
        </w:rPr>
      </w:pPr>
      <w:r>
        <w:rPr>
          <w:rFonts w:ascii="Arial" w:cs="Arial" w:eastAsia="Arial" w:hAnsi="Arial"/>
          <w:sz w:val="17"/>
          <w:szCs w:val="17"/>
          <w:color w:val="auto"/>
        </w:rPr>
        <w:t>be paid his or her Base Salary through the termination date. Due to the Corporation’s unlimited vacation day policy, Employees shall not receive any payment for paid time off.</w:t>
      </w:r>
    </w:p>
    <w:p>
      <w:pPr>
        <w:spacing w:after="0" w:line="153" w:lineRule="exact"/>
        <w:rPr>
          <w:sz w:val="20"/>
          <w:szCs w:val="20"/>
          <w:color w:val="auto"/>
        </w:rPr>
      </w:pPr>
    </w:p>
    <w:p>
      <w:pPr>
        <w:jc w:val="both"/>
        <w:ind w:firstLine="5"/>
        <w:spacing w:after="0" w:line="242"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Employee shall be reimbursed by the Corporation for all reasonable, direct and verifiable business and entertainment expenses incurred or paid by Employee in the performance of Employee’s services under this Agreement that are consistent with the Corporation’s then current policies, which may be subject to change from time to time, provided that Employee furnishes to the Corporation all appropriate documentation and receipts in a timely fashion as required by the Internal Revenue Code and the Corporation’s Employee Handbook.</w:t>
      </w:r>
    </w:p>
    <w:p>
      <w:pPr>
        <w:spacing w:after="0" w:line="155" w:lineRule="exact"/>
        <w:rPr>
          <w:rFonts w:ascii="Arial" w:cs="Arial" w:eastAsia="Arial" w:hAnsi="Arial"/>
          <w:sz w:val="17"/>
          <w:szCs w:val="17"/>
          <w:color w:val="auto"/>
        </w:rPr>
      </w:pPr>
    </w:p>
    <w:p>
      <w:pPr>
        <w:jc w:val="both"/>
        <w:ind w:firstLine="5"/>
        <w:spacing w:after="0" w:line="242"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Paid Time Off</w:t>
      </w:r>
      <w:r>
        <w:rPr>
          <w:rFonts w:ascii="Arial" w:cs="Arial" w:eastAsia="Arial" w:hAnsi="Arial"/>
          <w:sz w:val="17"/>
          <w:szCs w:val="17"/>
          <w:color w:val="auto"/>
        </w:rPr>
        <w:t>. Employee will be eligible to take vacation as outlined in the Corporation’s “Work Hard, Play Hard” Vacation Policy, which can be found in the Employee Handbook. Employee will also be eligible for five (5) sick days per calendar year. All time off must be requested by Employee and approved by Employee’s supervisor. Any other procedures or information regarding paid time off, such as national holidays observed by the Corporation, shall be found in the Corporations’ Employee Handbook and/or Corporation’s Human Resources Information System.</w:t>
      </w:r>
    </w:p>
    <w:p>
      <w:pPr>
        <w:spacing w:after="0" w:line="166" w:lineRule="exact"/>
        <w:rPr>
          <w:rFonts w:ascii="Arial" w:cs="Arial" w:eastAsia="Arial" w:hAnsi="Arial"/>
          <w:sz w:val="17"/>
          <w:szCs w:val="17"/>
          <w:color w:val="auto"/>
        </w:rPr>
      </w:pPr>
    </w:p>
    <w:p>
      <w:pPr>
        <w:jc w:val="both"/>
        <w:ind w:firstLine="5"/>
        <w:spacing w:after="0" w:line="242" w:lineRule="auto"/>
        <w:tabs>
          <w:tab w:leader="none" w:pos="17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The Corporation reserves the right to cease to offer any benefits or to substitute another provider, or to alter the benefits available to Employee under, or the terms and conditions of, any plan or plans at any time and no compensation will be paid to Employee. The Corporation will not be liable in the event of any failure by or refusal from any provider or providers to provide coverage or any application of any conditions or limitations to the benefit or benefits by any provider or providers.</w:t>
      </w:r>
    </w:p>
    <w:p>
      <w:pPr>
        <w:spacing w:after="0" w:line="166" w:lineRule="exact"/>
        <w:rPr>
          <w:rFonts w:ascii="Arial" w:cs="Arial" w:eastAsia="Arial" w:hAnsi="Arial"/>
          <w:sz w:val="17"/>
          <w:szCs w:val="17"/>
          <w:color w:val="auto"/>
        </w:rPr>
      </w:pPr>
    </w:p>
    <w:p>
      <w:pPr>
        <w:ind w:left="180" w:hanging="175"/>
        <w:spacing w:after="0"/>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Covenants of Employee</w:t>
      </w:r>
      <w:r>
        <w:rPr>
          <w:rFonts w:ascii="Arial" w:cs="Arial" w:eastAsia="Arial" w:hAnsi="Arial"/>
          <w:sz w:val="17"/>
          <w:szCs w:val="17"/>
          <w:color w:val="auto"/>
        </w:rPr>
        <w:t>. Employee covenants and agrees that:</w:t>
      </w:r>
    </w:p>
    <w:p>
      <w:pPr>
        <w:spacing w:after="0" w:line="186" w:lineRule="exact"/>
        <w:rPr>
          <w:rFonts w:ascii="Arial" w:cs="Arial" w:eastAsia="Arial" w:hAnsi="Arial"/>
          <w:sz w:val="17"/>
          <w:szCs w:val="17"/>
          <w:color w:val="auto"/>
        </w:rPr>
      </w:pPr>
    </w:p>
    <w:p>
      <w:pPr>
        <w:jc w:val="both"/>
        <w:ind w:left="520" w:hanging="260"/>
        <w:spacing w:after="0" w:line="270" w:lineRule="auto"/>
        <w:tabs>
          <w:tab w:leader="none" w:pos="513"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Covenant against Competition/Solicitation</w:t>
      </w:r>
      <w:r>
        <w:rPr>
          <w:rFonts w:ascii="Arial" w:cs="Arial" w:eastAsia="Arial" w:hAnsi="Arial"/>
          <w:sz w:val="15"/>
          <w:szCs w:val="15"/>
          <w:color w:val="auto"/>
        </w:rPr>
        <w:t>. Employee agrees and covenants that during the Employee’s employment with the Corporation, and for a period of six (6) months thereafter, Employee shall not, directly or indirectly, (a) pursue or enter into any business arrangement, either individually or through any of the Corporation’s parents, affiliates, subsidiaries, employees, agents, business partners or associates, which materially interferes with Employee’s services or the Corporation’s business operations, (b) enter into any employment, independent contractor and/or consulting relationship with any entity that competes with the Corporation, it being understood that competitive entities are those that manufacture or distribute (i) coconut water, coconut milk or any other coconut-based products, (ii) any energy beverages that contain guayusa, or (iii) environmentally-friendly packaged water and/or (c) attempt to recruit, solicit or hire any current or prospective employee or independent contractor of the Corporation or induce or cause any such person to terminate his/her employment or connection with the Corporation or otherwise interfere with the relationship between any such person and the Corporation for or on behalf of Employee and/or a third party beverage or coconut product distributor without the prior approval of the Corporation in each instance. Employee agrees that any violation of this paragraph will materially and adversely affect the Corporation, resulting in significant and irreparable injury and damage to the Corporation and entitling Corporation to pursue any and all legal and equitable remedies available to it.</w:t>
      </w:r>
    </w:p>
    <w:p>
      <w:pPr>
        <w:sectPr>
          <w:pgSz w:w="11900" w:h="16838" w:orient="portrait"/>
          <w:cols w:equalWidth="0" w:num="1">
            <w:col w:w="11280"/>
          </w:cols>
          <w:pgMar w:left="300" w:top="1141" w:right="319" w:bottom="1440" w:gutter="0" w:footer="0" w:header="0"/>
        </w:sectPr>
      </w:pPr>
    </w:p>
    <w:bookmarkStart w:id="146" w:name="page147"/>
    <w:bookmarkEnd w:id="146"/>
    <w:p>
      <w:pPr>
        <w:jc w:val="both"/>
        <w:ind w:left="260" w:hanging="260"/>
        <w:spacing w:after="0" w:line="272" w:lineRule="auto"/>
        <w:tabs>
          <w:tab w:leader="none" w:pos="253"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Covenant against Non-Disclosure of Confidential Information</w:t>
      </w:r>
      <w:r>
        <w:rPr>
          <w:rFonts w:ascii="Arial" w:cs="Arial" w:eastAsia="Arial" w:hAnsi="Arial"/>
          <w:sz w:val="15"/>
          <w:szCs w:val="15"/>
          <w:color w:val="auto"/>
        </w:rPr>
        <w:t>. Employee shall be provided access to, and come into possession of, certain information, data, files, documents, records, writings and materials, including client lists, trade secrets, marketing strategies, business plans and other information, during his or her employment with the Corporation, which are proprietary in nature and vital to the operation of the Corporation and which the Corporation deems to be confidential information (“Confidential Information”). Employee agrees not to transmit, divulge, transfer, disclose or communicate, in any manner, either during or after its employment with the Corporation, any Confidential Information regarding the Corporation, its operations, clientele, or any other information, that relate to the business and operation of the Corporation. Employee acknowledges that the above information is material and confidential and that it affects the profitability of the Corporation. Employee further acknowledges that any breach of this provision, is a material breach of this Agreement. Upon the termination of employment, Employee shall immediately return any and all Confidential Information in Employee’s possession to the Corporation.</w:t>
      </w:r>
    </w:p>
    <w:p>
      <w:pPr>
        <w:spacing w:after="0" w:line="144" w:lineRule="exact"/>
        <w:rPr>
          <w:sz w:val="20"/>
          <w:szCs w:val="20"/>
          <w:color w:val="auto"/>
        </w:rPr>
      </w:pPr>
    </w:p>
    <w:p>
      <w:pPr>
        <w:jc w:val="both"/>
        <w:ind w:left="260" w:hanging="260"/>
        <w:spacing w:after="0" w:line="242" w:lineRule="auto"/>
        <w:tabs>
          <w:tab w:leader="none" w:pos="25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Ownership of Materials Created by Employee on Behalf of the Corporation</w:t>
      </w:r>
      <w:r>
        <w:rPr>
          <w:rFonts w:ascii="Arial" w:cs="Arial" w:eastAsia="Arial" w:hAnsi="Arial"/>
          <w:sz w:val="17"/>
          <w:szCs w:val="17"/>
          <w:color w:val="auto"/>
        </w:rPr>
        <w:t>. Employee acknowledges and understands that, as between the Corporation and Employee, Corporation solely owns and controls all rights in and to the materials created by Employee throughout the course of Employee’s employment (including, but not limited to, the copyright, trademarks and related rights therein and all extensions and renewals thereof) and all of the results and proceeds of Employee’s services shall be rendered on a “work made for hire” basis.</w:t>
      </w:r>
    </w:p>
    <w:p>
      <w:pPr>
        <w:spacing w:after="0" w:line="166" w:lineRule="exact"/>
        <w:rPr>
          <w:sz w:val="20"/>
          <w:szCs w:val="20"/>
          <w:color w:val="auto"/>
        </w:rPr>
      </w:pPr>
    </w:p>
    <w:p>
      <w:pPr>
        <w:jc w:val="both"/>
        <w:ind w:left="260" w:hanging="260"/>
        <w:spacing w:after="0" w:line="253" w:lineRule="auto"/>
        <w:tabs>
          <w:tab w:leader="none" w:pos="25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Employee represents and warrants to the Corporation that he or she is not subject to any applicable law (including, without limitation, immigration law), agreement, order, judgment, or decree of any kind that would prevent you from performing the services hereunder and complying with the obligations hereunder. Employee acknowledges being instructed that it is the Corporation's policy not to seek access to, or make use of, trade secrets or confidential business information which are proprietary to third parties, including, but not limited to, competitors or former employers, and Employee shall not, under any circumstances, reveal to the Corporation or any member of the Corporation, or make use of, trade secrets or confidential business information that are proprietary to third parties. Employee represents, warrants and covenants to the Corporation that he or she has not violated and will not violate any such laws, agreements, orders, judgments, decrees or instructions.</w:t>
      </w:r>
    </w:p>
    <w:p>
      <w:pPr>
        <w:spacing w:after="0" w:line="346" w:lineRule="exact"/>
        <w:rPr>
          <w:rFonts w:ascii="Arial" w:cs="Arial" w:eastAsia="Arial" w:hAnsi="Arial"/>
          <w:sz w:val="16"/>
          <w:szCs w:val="16"/>
          <w:color w:val="auto"/>
        </w:rPr>
      </w:pPr>
    </w:p>
    <w:p>
      <w:pPr>
        <w:jc w:val="both"/>
        <w:ind w:left="-260" w:firstLine="514"/>
        <w:spacing w:after="0" w:line="249" w:lineRule="auto"/>
        <w:tabs>
          <w:tab w:leader="none" w:pos="441"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Employee agrees that the laws of the State of New York shall be the applicable and exclusive laws to govern the interpretation and enforcement of this Agreement and the courts located in the City and State of New York shall be the exclusive venue for the adjudication of any and all disputes which may arise hereunder.</w:t>
      </w:r>
    </w:p>
    <w:p>
      <w:pPr>
        <w:spacing w:after="0" w:line="159" w:lineRule="exact"/>
        <w:rPr>
          <w:rFonts w:ascii="Arial" w:cs="Arial" w:eastAsia="Arial" w:hAnsi="Arial"/>
          <w:sz w:val="17"/>
          <w:szCs w:val="17"/>
          <w:color w:val="auto"/>
        </w:rPr>
      </w:pPr>
    </w:p>
    <w:p>
      <w:pPr>
        <w:jc w:val="both"/>
        <w:ind w:left="-260" w:firstLine="514"/>
        <w:spacing w:after="0" w:line="246" w:lineRule="auto"/>
        <w:tabs>
          <w:tab w:leader="none" w:pos="526"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Background Check</w:t>
      </w:r>
      <w:r>
        <w:rPr>
          <w:rFonts w:ascii="Arial" w:cs="Arial" w:eastAsia="Arial" w:hAnsi="Arial"/>
          <w:sz w:val="17"/>
          <w:szCs w:val="17"/>
          <w:color w:val="auto"/>
        </w:rPr>
        <w:t>. This Agreement is contingent upon the successful clearance of a background check. Prior to Employee Commencement Date, Employee must provide the Corporation with documentary proof of identity and right to work in the United States as required by the Immigration Reform and Control Act of 1986. In the case of a field Employee</w:t>
      </w:r>
    </w:p>
    <w:p>
      <w:pPr>
        <w:sectPr>
          <w:pgSz w:w="11900" w:h="16838" w:orient="portrait"/>
          <w:cols w:equalWidth="0" w:num="1">
            <w:col w:w="11020"/>
          </w:cols>
          <w:pgMar w:left="560" w:top="1332" w:right="319" w:bottom="1440" w:gutter="0" w:footer="0" w:header="0"/>
        </w:sectPr>
      </w:pPr>
    </w:p>
    <w:bookmarkStart w:id="147" w:name="page148"/>
    <w:bookmarkEnd w:id="147"/>
    <w:p>
      <w:pPr>
        <w:spacing w:after="0" w:line="258" w:lineRule="auto"/>
        <w:rPr>
          <w:sz w:val="20"/>
          <w:szCs w:val="20"/>
          <w:color w:val="auto"/>
        </w:rPr>
      </w:pPr>
      <w:r>
        <w:rPr>
          <w:rFonts w:ascii="Arial" w:cs="Arial" w:eastAsia="Arial" w:hAnsi="Arial"/>
          <w:sz w:val="17"/>
          <w:szCs w:val="17"/>
          <w:color w:val="auto"/>
        </w:rPr>
        <w:t>who must drive for his/her role, a motor vehicle report will also be requested, which must show that said individual holds a valid license and has a safe driving history. This offer for employment may be revoked should the conditions in this paragraph not be met.</w:t>
      </w:r>
    </w:p>
    <w:p>
      <w:pPr>
        <w:spacing w:after="0" w:line="153" w:lineRule="exact"/>
        <w:rPr>
          <w:sz w:val="20"/>
          <w:szCs w:val="20"/>
          <w:color w:val="auto"/>
        </w:rPr>
      </w:pPr>
    </w:p>
    <w:p>
      <w:pPr>
        <w:jc w:val="both"/>
        <w:ind w:firstLine="514"/>
        <w:spacing w:after="0" w:line="274" w:lineRule="auto"/>
        <w:tabs>
          <w:tab w:leader="none" w:pos="75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Liability</w:t>
      </w:r>
      <w:r>
        <w:rPr>
          <w:rFonts w:ascii="Arial" w:cs="Arial" w:eastAsia="Arial" w:hAnsi="Arial"/>
          <w:sz w:val="15"/>
          <w:szCs w:val="15"/>
          <w:color w:val="auto"/>
        </w:rPr>
        <w:t>. Notice is hereby provided that, pursuant to 18 USC § 1833(b), an employee, consultant, or contractor of an employer shall not be held criminally or civilly liable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and/or (ii) is made in a complaint or other document filed in a lawsuit or other proceeding, if such filing is made under seal. Additionally, an individual who files a lawsuit for retaliation by an employer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335" w:lineRule="exact"/>
        <w:rPr>
          <w:rFonts w:ascii="Arial" w:cs="Arial" w:eastAsia="Arial" w:hAnsi="Arial"/>
          <w:sz w:val="15"/>
          <w:szCs w:val="15"/>
          <w:color w:val="auto"/>
        </w:rPr>
      </w:pPr>
    </w:p>
    <w:p>
      <w:pPr>
        <w:jc w:val="both"/>
        <w:ind w:firstLine="514"/>
        <w:spacing w:after="0" w:line="257" w:lineRule="auto"/>
        <w:tabs>
          <w:tab w:leader="none" w:pos="77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Employee acknowledges and agrees that Employee has carefully reviewed and signed the Corporation’s Employee Handbook, the terms and conditions of which shall be incorporated herein by reference and adhered to by Employee at all times during Employee’s employment with the Corporation. Each of us and our counsel have participated fully in the review and revision of this Agreement. Any rule of construction to the effect that ambiguities are to be resolved against the drafting party shall not apply in interpreting this Agreement. The language in this Agreement shall be interpreted as to its fair meaning and not strictly for or against any party. Should any of the provisions in this Agreement be declared or be determined to be illegal or invalid, all remaining parts, terms or provisions shall be valid, and the illegal or invalid part, term or provision shall be deemed not to be a part of this Agreement.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Employee will indicate their understanding and acceptance of the Agreement by signing below and returning a copy within three (3) business days.</w:t>
      </w:r>
    </w:p>
    <w:p>
      <w:pPr>
        <w:spacing w:after="0" w:line="38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WITNESS WHEREOF, Employee and the Corporation, both of whom acknowledge and understand that the terms and provisions of this Agreement shall govern the parties’ relationship, have executed this Agreement as of the day and year first written above.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“Employee”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Rowena Ricalde</w:t>
      </w:r>
      <w:r>
        <w:rPr>
          <w:rFonts w:ascii="Arial" w:cs="Arial" w:eastAsia="Arial" w:hAnsi="Arial"/>
          <w:sz w:val="17"/>
          <w:szCs w:val="17"/>
          <w:color w:val="auto"/>
        </w:rPr>
        <w:t>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Rowena Ricalde</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“Corporation”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All Market Inc.</w:t>
      </w:r>
    </w:p>
    <w:p>
      <w:pPr>
        <w:sectPr>
          <w:pgSz w:w="11900" w:h="16838" w:orient="portrait"/>
          <w:cols w:equalWidth="0" w:num="1">
            <w:col w:w="11280"/>
          </w:cols>
          <w:pgMar w:left="300" w:top="1141" w:right="319" w:bottom="1440" w:gutter="0" w:footer="0" w:header="0"/>
        </w:sectPr>
      </w:pPr>
    </w:p>
    <w:bookmarkStart w:id="148" w:name="page149"/>
    <w:bookmarkEnd w:id="148"/>
    <w:p>
      <w:pPr>
        <w:spacing w:after="0" w:line="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Kevin Benmoussa</w:t>
      </w:r>
      <w:r>
        <w:rPr>
          <w:rFonts w:ascii="Arial" w:cs="Arial" w:eastAsia="Arial" w:hAnsi="Arial"/>
          <w:sz w:val="15"/>
          <w:szCs w:val="15"/>
          <w:color w:val="auto"/>
        </w:rPr>
        <w:t>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 Kevin Benmoussa</w:t>
      </w:r>
    </w:p>
    <w:p>
      <w:pPr>
        <w:spacing w:after="0"/>
        <w:rPr>
          <w:sz w:val="20"/>
          <w:szCs w:val="20"/>
          <w:color w:val="auto"/>
        </w:rPr>
      </w:pPr>
      <w:r>
        <w:rPr>
          <w:rFonts w:ascii="Arial" w:cs="Arial" w:eastAsia="Arial" w:hAnsi="Arial"/>
          <w:sz w:val="17"/>
          <w:szCs w:val="17"/>
          <w:color w:val="auto"/>
        </w:rPr>
        <w:t>Its: CFO</w:t>
      </w:r>
    </w:p>
    <w:p>
      <w:pPr>
        <w:sectPr>
          <w:pgSz w:w="11900" w:h="16838" w:orient="portrait"/>
          <w:cols w:equalWidth="0" w:num="1">
            <w:col w:w="10159"/>
          </w:cols>
          <w:pgMar w:left="300" w:top="1440" w:right="1440" w:bottom="1440" w:gutter="0" w:footer="0" w:header="0"/>
        </w:sectPr>
      </w:pPr>
    </w:p>
    <w:bookmarkStart w:id="149" w:name="page150"/>
    <w:bookmarkEnd w:id="149"/>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10.17</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Rowena Ricalde</w:t>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December 14</w:t>
      </w:r>
      <w:r>
        <w:rPr>
          <w:rFonts w:ascii="Arial" w:cs="Arial" w:eastAsia="Arial" w:hAnsi="Arial"/>
          <w:sz w:val="9"/>
          <w:szCs w:val="9"/>
          <w:color w:val="auto"/>
        </w:rPr>
        <w:t>th</w:t>
      </w:r>
      <w:r>
        <w:rPr>
          <w:rFonts w:ascii="Arial" w:cs="Arial" w:eastAsia="Arial" w:hAnsi="Arial"/>
          <w:sz w:val="16"/>
          <w:szCs w:val="16"/>
          <w:color w:val="auto"/>
        </w:rPr>
        <w:t>, 2021 Dear Rowena,</w:t>
      </w:r>
    </w:p>
    <w:p>
      <w:pPr>
        <w:spacing w:after="0" w:line="200" w:lineRule="exact"/>
        <w:rPr>
          <w:sz w:val="20"/>
          <w:szCs w:val="20"/>
          <w:color w:val="auto"/>
        </w:rPr>
      </w:pPr>
    </w:p>
    <w:p>
      <w:pPr>
        <w:spacing w:after="0" w:line="210" w:lineRule="exact"/>
        <w:rPr>
          <w:sz w:val="20"/>
          <w:szCs w:val="20"/>
          <w:color w:val="auto"/>
        </w:rPr>
      </w:pPr>
    </w:p>
    <w:p>
      <w:pPr>
        <w:ind w:firstLine="85"/>
        <w:spacing w:after="0" w:line="239" w:lineRule="auto"/>
        <w:rPr>
          <w:sz w:val="20"/>
          <w:szCs w:val="20"/>
          <w:color w:val="auto"/>
        </w:rPr>
      </w:pPr>
      <w:r>
        <w:rPr>
          <w:rFonts w:ascii="Arial" w:cs="Arial" w:eastAsia="Arial" w:hAnsi="Arial"/>
          <w:sz w:val="16"/>
          <w:szCs w:val="16"/>
          <w:color w:val="auto"/>
        </w:rPr>
        <w:t>As discussed, I am writing to confirm your title change and compensation adjustment. Ahead of that it goes without saying I am absolutely delighted for you; this is a real testament to your commitment and hard work. Congratulations!</w:t>
      </w:r>
    </w:p>
    <w:p>
      <w:pPr>
        <w:spacing w:after="0" w:line="185" w:lineRule="exact"/>
        <w:rPr>
          <w:sz w:val="20"/>
          <w:szCs w:val="20"/>
          <w:color w:val="auto"/>
        </w:rPr>
      </w:pPr>
    </w:p>
    <w:p>
      <w:pPr>
        <w:ind w:firstLine="84"/>
        <w:spacing w:after="0" w:line="252" w:lineRule="auto"/>
        <w:rPr>
          <w:sz w:val="20"/>
          <w:szCs w:val="20"/>
          <w:color w:val="auto"/>
        </w:rPr>
      </w:pPr>
      <w:r>
        <w:rPr>
          <w:rFonts w:ascii="Arial" w:cs="Arial" w:eastAsia="Arial" w:hAnsi="Arial"/>
          <w:sz w:val="16"/>
          <w:szCs w:val="16"/>
          <w:color w:val="auto"/>
        </w:rPr>
        <w:t>Effective January 1</w:t>
      </w:r>
      <w:r>
        <w:rPr>
          <w:rFonts w:ascii="Arial" w:cs="Arial" w:eastAsia="Arial" w:hAnsi="Arial"/>
          <w:sz w:val="9"/>
          <w:szCs w:val="9"/>
          <w:color w:val="auto"/>
        </w:rPr>
        <w:t>st</w:t>
      </w:r>
      <w:r>
        <w:rPr>
          <w:rFonts w:ascii="Arial" w:cs="Arial" w:eastAsia="Arial" w:hAnsi="Arial"/>
          <w:sz w:val="16"/>
          <w:szCs w:val="16"/>
          <w:color w:val="auto"/>
        </w:rPr>
        <w:t>, 2022, your title will change to VP Global Accounting and Control, your salary increased to $220,000 and your bonus % eligibility increased to 25%. This increase is inclusive of the 2022 review and all other details of your employment remain the same.</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 confirm acceptance of these changes, please sign below and return a copy to Vivianne Mohan in the people team.</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Rowena, congratulations, and if you need any clarification on the content of this letter, please do not hesitate to let me know.</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color w:val="auto"/>
        </w:rPr>
        <w:t>Bets wishes, Kevin Benmoussa</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Global Chief Financial Officer</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6"/>
          <w:szCs w:val="16"/>
          <w:color w:val="auto"/>
        </w:rPr>
        <w:t>Manager signature;</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/s/ Kevin Benmoussa</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Employee signature; </w:t>
      </w:r>
      <w:r>
        <w:rPr>
          <w:rFonts w:ascii="Arial" w:cs="Arial" w:eastAsia="Arial" w:hAnsi="Arial"/>
          <w:sz w:val="16"/>
          <w:szCs w:val="16"/>
          <w:u w:val="single" w:color="auto"/>
          <w:color w:val="auto"/>
        </w:rPr>
        <w:t>/s/ Rowena Ricalde</w:t>
      </w:r>
      <w:r>
        <w:rPr>
          <w:rFonts w:ascii="Arial" w:cs="Arial" w:eastAsia="Arial" w:hAnsi="Arial"/>
          <w:sz w:val="16"/>
          <w:szCs w:val="16"/>
          <w:color w:val="auto"/>
        </w:rPr>
        <w:t xml:space="preserve"> DATE;</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1/12/2022</w:t>
      </w:r>
    </w:p>
    <w:p>
      <w:pPr>
        <w:sectPr>
          <w:pgSz w:w="11900" w:h="16838" w:orient="portrait"/>
          <w:cols w:equalWidth="0" w:num="1">
            <w:col w:w="11280"/>
          </w:cols>
          <w:pgMar w:left="300" w:top="144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740" w:type="dxa"/>
            <w:vAlign w:val="bottom"/>
            <w:gridSpan w:val="2"/>
          </w:tcPr>
          <w:p>
            <w:pPr>
              <w:ind w:left="720"/>
              <w:spacing w:after="0"/>
              <w:rPr>
                <w:sz w:val="20"/>
                <w:szCs w:val="20"/>
                <w:color w:val="auto"/>
              </w:rPr>
            </w:pPr>
            <w:r>
              <w:rPr>
                <w:rFonts w:ascii="Arial" w:cs="Arial" w:eastAsia="Arial" w:hAnsi="Arial"/>
                <w:sz w:val="16"/>
                <w:szCs w:val="16"/>
                <w:b w:val="1"/>
                <w:bCs w:val="1"/>
                <w:color w:val="auto"/>
              </w:rPr>
              <w:t>List of Subsidiaries of The Vita Coco Company, Inc.</w:t>
            </w:r>
          </w:p>
        </w:tc>
      </w:tr>
      <w:tr>
        <w:trPr>
          <w:trHeight w:val="782"/>
        </w:trPr>
        <w:tc>
          <w:tcPr>
            <w:tcW w:w="800" w:type="dxa"/>
            <w:vAlign w:val="bottom"/>
          </w:tcPr>
          <w:p>
            <w:pPr>
              <w:spacing w:after="0"/>
              <w:rPr>
                <w:sz w:val="20"/>
                <w:szCs w:val="20"/>
                <w:color w:val="auto"/>
              </w:rPr>
            </w:pPr>
            <w:r>
              <w:rPr>
                <w:rFonts w:ascii="Arial" w:cs="Arial" w:eastAsia="Arial" w:hAnsi="Arial"/>
                <w:sz w:val="16"/>
                <w:szCs w:val="16"/>
                <w:b w:val="1"/>
                <w:bCs w:val="1"/>
                <w:color w:val="auto"/>
                <w:w w:val="86"/>
              </w:rPr>
              <w:t>Legal Name</w:t>
            </w:r>
          </w:p>
        </w:tc>
        <w:tc>
          <w:tcPr>
            <w:tcW w:w="2380" w:type="dxa"/>
            <w:vAlign w:val="bottom"/>
          </w:tcPr>
          <w:p>
            <w:pPr>
              <w:spacing w:after="0"/>
              <w:rPr>
                <w:sz w:val="24"/>
                <w:szCs w:val="24"/>
                <w:color w:val="auto"/>
              </w:rPr>
            </w:pPr>
          </w:p>
        </w:tc>
        <w:tc>
          <w:tcPr>
            <w:tcW w:w="4740" w:type="dxa"/>
            <w:vAlign w:val="bottom"/>
            <w:gridSpan w:val="2"/>
          </w:tcPr>
          <w:p>
            <w:pPr>
              <w:ind w:left="1700"/>
              <w:spacing w:after="0"/>
              <w:rPr>
                <w:sz w:val="20"/>
                <w:szCs w:val="20"/>
                <w:color w:val="auto"/>
              </w:rPr>
            </w:pPr>
            <w:r>
              <w:rPr>
                <w:rFonts w:ascii="Arial" w:cs="Arial" w:eastAsia="Arial" w:hAnsi="Arial"/>
                <w:sz w:val="16"/>
                <w:szCs w:val="16"/>
                <w:b w:val="1"/>
                <w:bCs w:val="1"/>
                <w:color w:val="auto"/>
                <w:w w:val="88"/>
              </w:rPr>
              <w:t>Jurisdiction of Incorporation or Organization</w:t>
            </w:r>
          </w:p>
        </w:tc>
      </w:tr>
      <w:tr>
        <w:trPr>
          <w:trHeight w:val="20"/>
        </w:trPr>
        <w:tc>
          <w:tcPr>
            <w:tcW w:w="8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9"/>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Europe Limited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United Kingdom</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Consumer SL</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Spain</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France SAS</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France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Coco Cafe, Inc.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Singapore Pte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Singapore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Coco Community Pte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Singapore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AMI Runa Ecuador LLC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 LLC, domiciled in Ecuador</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Japan, LLC (GK)</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Japan</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Korea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South Korea</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APAC Limited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Hong Kong</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Mexico, S. DE R.L. DE C.V.</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Mexico</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Canada Inc.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Canada</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AMI Runa U.S. LLC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60"/>
          </w:cols>
          <w:pgMar w:left="320" w:top="1150" w:right="31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6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consent to the incorporation by reference in Registration Statement No. 333-260419 on Form S-8 of our report dated March 14, 2023, relating to the financial statements of The Vita Coco Company, Inc. appearing in this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March 14, 2023</w:t>
      </w:r>
    </w:p>
    <w:p>
      <w:pPr>
        <w:sectPr>
          <w:pgSz w:w="11900" w:h="16838" w:orient="portrait"/>
          <w:cols w:equalWidth="0" w:num="1">
            <w:col w:w="10980"/>
          </w:cols>
          <w:pgMar w:left="300" w:top="1122" w:right="6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Exhibit 31.1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Pursuant to Section 302 of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 Martin Roper, certify that:</w:t>
      </w:r>
    </w:p>
    <w:p>
      <w:pPr>
        <w:spacing w:after="0" w:line="124" w:lineRule="exact"/>
        <w:rPr>
          <w:sz w:val="20"/>
          <w:szCs w:val="20"/>
          <w:color w:val="auto"/>
        </w:rPr>
      </w:pPr>
    </w:p>
    <w:p>
      <w:pPr>
        <w:ind w:left="520" w:hanging="260"/>
        <w:spacing w:after="0"/>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Vita Coco Company, Inc.;</w:t>
      </w:r>
    </w:p>
    <w:p>
      <w:pPr>
        <w:spacing w:after="0" w:line="208" w:lineRule="exact"/>
        <w:rPr>
          <w:rFonts w:ascii="Arial" w:cs="Arial" w:eastAsia="Arial" w:hAnsi="Arial"/>
          <w:sz w:val="16"/>
          <w:szCs w:val="16"/>
          <w:color w:val="auto"/>
        </w:rPr>
      </w:pPr>
    </w:p>
    <w:p>
      <w:pPr>
        <w:ind w:left="520" w:right="100" w:hanging="260"/>
        <w:spacing w:after="0" w:line="337"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420" w:hanging="260"/>
        <w:spacing w:after="0" w:line="265" w:lineRule="auto"/>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520" w:right="180" w:hanging="260"/>
        <w:spacing w:after="0" w:line="337"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4"/>
          <w:szCs w:val="14"/>
          <w:color w:val="auto"/>
        </w:rPr>
      </w:pPr>
    </w:p>
    <w:p>
      <w:pPr>
        <w:ind w:left="760" w:right="40" w:hanging="246"/>
        <w:spacing w:after="0" w:line="257" w:lineRule="auto"/>
        <w:tabs>
          <w:tab w:leader="none" w:pos="7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760" w:right="440" w:hanging="246"/>
        <w:spacing w:after="0" w:line="257" w:lineRule="auto"/>
        <w:tabs>
          <w:tab w:leader="none" w:pos="75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760" w:right="200" w:hanging="246"/>
        <w:spacing w:after="0" w:line="265" w:lineRule="auto"/>
        <w:tabs>
          <w:tab w:leader="none" w:pos="7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760" w:right="180" w:hanging="246"/>
        <w:spacing w:after="0" w:line="264" w:lineRule="auto"/>
        <w:tabs>
          <w:tab w:leader="none" w:pos="75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6"/>
          <w:szCs w:val="16"/>
          <w:color w:val="auto"/>
        </w:rPr>
      </w:pPr>
    </w:p>
    <w:p>
      <w:pPr>
        <w:ind w:left="520" w:hanging="260"/>
        <w:spacing w:after="0" w:line="265" w:lineRule="auto"/>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760" w:right="20" w:hanging="246"/>
        <w:spacing w:after="0" w:line="279" w:lineRule="auto"/>
        <w:tabs>
          <w:tab w:leader="none" w:pos="7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60"/>
          </w:cols>
          <w:pgMar w:left="300" w:top="1150" w:right="339" w:bottom="1440" w:gutter="0" w:footer="0" w:header="0"/>
        </w:sectPr>
      </w:pPr>
    </w:p>
    <w:bookmarkStart w:id="153" w:name="page154"/>
    <w:bookmarkEnd w:id="153"/>
    <w:p>
      <w:pPr>
        <w:ind w:left="500"/>
        <w:spacing w:after="0"/>
        <w:rPr>
          <w:sz w:val="20"/>
          <w:szCs w:val="20"/>
          <w:color w:val="auto"/>
        </w:rPr>
      </w:pPr>
      <w:r>
        <w:rPr>
          <w:rFonts w:ascii="Arial" w:cs="Arial" w:eastAsia="Arial" w:hAnsi="Arial"/>
          <w:sz w:val="14"/>
          <w:szCs w:val="14"/>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March 14, 2023</w:t>
      </w:r>
      <w:r>
        <w:rPr>
          <w:sz w:val="20"/>
          <w:szCs w:val="20"/>
          <w:color w:val="auto"/>
        </w:rPr>
        <w:tab/>
      </w:r>
      <w:r>
        <w:rPr>
          <w:rFonts w:ascii="Arial" w:cs="Arial" w:eastAsia="Arial" w:hAnsi="Arial"/>
          <w:sz w:val="14"/>
          <w:szCs w:val="14"/>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Chief Executive Officer</w:t>
      </w:r>
    </w:p>
    <w:p>
      <w:pPr>
        <w:ind w:left="67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20"/>
          </w:cols>
          <w:pgMar w:left="320" w:top="1347" w:right="3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color w:val="auto"/>
        </w:rPr>
        <w:t>Exhibit 31.2</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Pursuant to Section 302 of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 Rowena Ricalde, certify that:</w:t>
      </w:r>
    </w:p>
    <w:p>
      <w:pPr>
        <w:spacing w:after="0" w:line="209" w:lineRule="exact"/>
        <w:rPr>
          <w:sz w:val="20"/>
          <w:szCs w:val="20"/>
          <w:color w:val="auto"/>
        </w:rPr>
      </w:pPr>
    </w:p>
    <w:p>
      <w:pPr>
        <w:ind w:left="520" w:hanging="260"/>
        <w:spacing w:after="0"/>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Vita Coco Company, Inc.;</w:t>
      </w:r>
    </w:p>
    <w:p>
      <w:pPr>
        <w:spacing w:after="0" w:line="197" w:lineRule="exact"/>
        <w:rPr>
          <w:rFonts w:ascii="Arial" w:cs="Arial" w:eastAsia="Arial" w:hAnsi="Arial"/>
          <w:sz w:val="16"/>
          <w:szCs w:val="16"/>
          <w:color w:val="auto"/>
        </w:rPr>
      </w:pPr>
    </w:p>
    <w:p>
      <w:pPr>
        <w:ind w:left="520" w:right="100" w:hanging="260"/>
        <w:spacing w:after="0" w:line="337"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4"/>
          <w:szCs w:val="14"/>
          <w:color w:val="auto"/>
        </w:rPr>
      </w:pPr>
    </w:p>
    <w:p>
      <w:pPr>
        <w:ind w:left="520" w:right="200" w:hanging="260"/>
        <w:spacing w:after="0" w:line="258" w:lineRule="auto"/>
        <w:tabs>
          <w:tab w:leader="none" w:pos="512" w:val="left"/>
        </w:tabs>
        <w:numPr>
          <w:ilvl w:val="0"/>
          <w:numId w:val="54"/>
        </w:numPr>
        <w:rPr>
          <w:rFonts w:ascii="Arial" w:cs="Arial" w:eastAsia="Arial" w:hAnsi="Arial"/>
          <w:sz w:val="16"/>
          <w:szCs w:val="16"/>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520" w:right="180" w:hanging="260"/>
        <w:spacing w:after="0" w:line="337"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Arial" w:cs="Arial" w:eastAsia="Arial" w:hAnsi="Arial"/>
          <w:sz w:val="14"/>
          <w:szCs w:val="14"/>
          <w:color w:val="auto"/>
        </w:rPr>
      </w:pPr>
    </w:p>
    <w:p>
      <w:pPr>
        <w:ind w:left="760" w:right="40" w:hanging="246"/>
        <w:spacing w:after="0" w:line="273" w:lineRule="auto"/>
        <w:tabs>
          <w:tab w:leader="none" w:pos="759"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ind w:left="760" w:right="440" w:hanging="246"/>
        <w:spacing w:after="0" w:line="264" w:lineRule="auto"/>
        <w:tabs>
          <w:tab w:leader="none" w:pos="75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760" w:right="200" w:hanging="246"/>
        <w:spacing w:after="0" w:line="279"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760" w:right="180" w:hanging="246"/>
        <w:spacing w:after="0" w:line="264" w:lineRule="auto"/>
        <w:tabs>
          <w:tab w:leader="none" w:pos="75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ind w:left="520" w:hanging="260"/>
        <w:spacing w:after="0" w:line="265" w:lineRule="auto"/>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60"/>
          </w:cols>
          <w:pgMar w:left="300" w:top="1150" w:right="339" w:bottom="1440" w:gutter="0" w:footer="0" w:header="0"/>
        </w:sectPr>
      </w:pPr>
    </w:p>
    <w:bookmarkStart w:id="155" w:name="page156"/>
    <w:bookmarkEnd w:id="155"/>
    <w:p>
      <w:pPr>
        <w:ind w:left="740" w:hanging="246"/>
        <w:spacing w:after="0" w:line="265" w:lineRule="auto"/>
        <w:tabs>
          <w:tab w:leader="none" w:pos="7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740" w:hanging="246"/>
        <w:spacing w:after="0"/>
        <w:tabs>
          <w:tab w:leader="none" w:pos="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March 14, 2023</w:t>
      </w:r>
      <w:r>
        <w:rPr>
          <w:sz w:val="20"/>
          <w:szCs w:val="20"/>
          <w:color w:val="auto"/>
        </w:rPr>
        <w:tab/>
      </w:r>
      <w:r>
        <w:rPr>
          <w:rFonts w:ascii="Arial" w:cs="Arial" w:eastAsia="Arial" w:hAnsi="Arial"/>
          <w:sz w:val="14"/>
          <w:szCs w:val="14"/>
          <w:color w:val="auto"/>
        </w:rPr>
        <w:t>By: /s/ Rowena Ricalde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Rowena Ricalde</w:t>
      </w:r>
    </w:p>
    <w:p>
      <w:pPr>
        <w:spacing w:after="0" w:line="2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Interim Chief Financial Officer</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20"/>
          </w:cols>
          <w:pgMar w:left="320" w:top="1156" w:right="35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color w:val="auto"/>
        </w:rPr>
        <w:t>Exhibit 32.1</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CERTIFICATION PURSUANT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0" w:lineRule="exact"/>
        <w:rPr>
          <w:sz w:val="20"/>
          <w:szCs w:val="20"/>
          <w:color w:val="auto"/>
        </w:rPr>
      </w:pPr>
    </w:p>
    <w:p>
      <w:pPr>
        <w:ind w:firstLine="509"/>
        <w:spacing w:after="0" w:line="264" w:lineRule="auto"/>
        <w:rPr>
          <w:sz w:val="20"/>
          <w:szCs w:val="20"/>
          <w:color w:val="auto"/>
        </w:rPr>
      </w:pPr>
      <w:r>
        <w:rPr>
          <w:rFonts w:ascii="Arial" w:cs="Arial" w:eastAsia="Arial" w:hAnsi="Arial"/>
          <w:sz w:val="16"/>
          <w:szCs w:val="16"/>
          <w:color w:val="auto"/>
        </w:rPr>
        <w:t>In connection with the Annual Report on Form 10-K of The Vita Coco Company, Inc. (the “Company”) for the period ended December 31, 2022 as filed with the Securities and Exchange Commission on the date hereof (the “Report”), I, Martin Roper, certify, pursuant to 18 U.S.C. § 1350, as adopted pursuant to § 906 of the Sarbanes-Oxley Act of 2002, that, to the best of my knowledge:</w:t>
      </w:r>
    </w:p>
    <w:p>
      <w:pPr>
        <w:spacing w:after="0" w:line="93" w:lineRule="exact"/>
        <w:rPr>
          <w:sz w:val="20"/>
          <w:szCs w:val="20"/>
          <w:color w:val="auto"/>
        </w:rPr>
      </w:pPr>
    </w:p>
    <w:p>
      <w:pPr>
        <w:ind w:left="280" w:hanging="243"/>
        <w:spacing w:after="0"/>
        <w:tabs>
          <w:tab w:leader="none" w:pos="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left="280" w:hanging="243"/>
        <w:spacing w:after="0"/>
        <w:tabs>
          <w:tab w:leader="none" w:pos="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14, 2023</w:t>
      </w:r>
      <w:r>
        <w:rPr>
          <w:sz w:val="20"/>
          <w:szCs w:val="20"/>
          <w:color w:val="auto"/>
        </w:rPr>
        <w:tab/>
      </w:r>
      <w:r>
        <w:rPr>
          <w:rFonts w:ascii="Arial" w:cs="Arial" w:eastAsia="Arial" w:hAnsi="Arial"/>
          <w:sz w:val="14"/>
          <w:szCs w:val="14"/>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1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20"/>
          </w:cols>
          <w:pgMar w:left="300" w:top="1150" w:right="37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Exhibit 32.2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connection with the Annual Report on Form 10-K of The Vita Coco Company, Inc. (the “Company”) for the period ended December 31, 2022 as filed with the Securities and Exchange Commission on the date hereof (the “Report”), I, Rowena Ricalde, certify, pursuant to 18 U.S.C. § 1350, as adopted pursuant to § 906 of the Sarbanes-Oxley Act of 2002, that, to the best of my knowledge;</w:t>
      </w:r>
    </w:p>
    <w:p>
      <w:pPr>
        <w:spacing w:after="0" w:line="167" w:lineRule="exact"/>
        <w:rPr>
          <w:sz w:val="20"/>
          <w:szCs w:val="20"/>
          <w:color w:val="auto"/>
        </w:rPr>
      </w:pPr>
    </w:p>
    <w:p>
      <w:pPr>
        <w:ind w:left="280" w:hanging="243"/>
        <w:spacing w:after="0"/>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left="280" w:hanging="243"/>
        <w:spacing w:after="0"/>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14, 2023</w:t>
      </w:r>
      <w:r>
        <w:rPr>
          <w:sz w:val="20"/>
          <w:szCs w:val="20"/>
          <w:color w:val="auto"/>
        </w:rPr>
        <w:tab/>
      </w:r>
      <w:r>
        <w:rPr>
          <w:rFonts w:ascii="Arial" w:cs="Arial" w:eastAsia="Arial" w:hAnsi="Arial"/>
          <w:sz w:val="14"/>
          <w:szCs w:val="14"/>
          <w:color w:val="auto"/>
        </w:rPr>
        <w:t>By: /s/ Rowena Ricalde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Rowena Ricalde</w:t>
      </w:r>
    </w:p>
    <w:p>
      <w:pPr>
        <w:spacing w:after="0" w:line="2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Interim Chief Financial Officer</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00" w:top="11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decimal"/>
      <w:start w:val="3"/>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3"/>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6"/>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lvl w:ilvl="1">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2"/>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4"/>
    </w:lvl>
  </w:abstractNum>
  <w:abstractNum w:abstractNumId="47">
    <w:nsid w:val="12E685FB"/>
    <w:multiLevelType w:val="hybridMultilevel"/>
    <w:lvl w:ilvl="0">
      <w:lvlJc w:val="left"/>
      <w:lvlText w:val="%1."/>
      <w:numFmt w:val="decimal"/>
      <w:start w:val="5"/>
    </w:lvl>
    <w:lvl w:ilvl="1">
      <w:lvlJc w:val="left"/>
      <w:lvlText w:val="%2."/>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lvl w:ilvl="1">
      <w:lvlJc w:val="left"/>
      <w:lvlText w:val="%2."/>
      <w:numFmt w:val="decimal"/>
      <w:start w:val="9"/>
    </w:lvl>
  </w:abstractNum>
  <w:abstractNum w:abstractNumId="51">
    <w:nsid w:val="4F4EF005"/>
    <w:multiLevelType w:val="hybridMultilevel"/>
    <w:lvl w:ilvl="0">
      <w:lvlJc w:val="left"/>
      <w:lvlText w:val="%1."/>
      <w:numFmt w:val="decimal"/>
      <w:start w:val="1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157" Type="http://schemas.openxmlformats.org/officeDocument/2006/relationships/hyperlink" Target="https://www.sec.gov/Archives/edgar/data/0001482981/000119312521306737/d222890dex31.htm" TargetMode="External"/><Relationship Id="rId158" Type="http://schemas.openxmlformats.org/officeDocument/2006/relationships/hyperlink" Target="https://www.sec.gov/Archives/edgar/data/0001482981/000119312521306737/d222890dex32.htm" TargetMode="External"/><Relationship Id="rId159" Type="http://schemas.openxmlformats.org/officeDocument/2006/relationships/hyperlink" Target="https://www.sec.gov/Archives/edgar/data/0001482981/000119312521284306/d197386dex41.htm" TargetMode="External"/><Relationship Id="rId160" Type="http://schemas.openxmlformats.org/officeDocument/2006/relationships/hyperlink" Target="https://www.sec.gov/Archives/edgar/data/0001482981/000119312521306737/d222890dex101.htm" TargetMode="External"/><Relationship Id="rId161" Type="http://schemas.openxmlformats.org/officeDocument/2006/relationships/hyperlink" Target="https://www.sec.gov/Archives/edgar/data/0001482981/000119312521306737/d222890dex102.htm" TargetMode="External"/><Relationship Id="rId162" Type="http://schemas.openxmlformats.org/officeDocument/2006/relationships/hyperlink" Target="https://www.sec.gov/Archives/edgar/data/0001482981/000119312521284306/d197386dex101.htm" TargetMode="External"/><Relationship Id="rId163" Type="http://schemas.openxmlformats.org/officeDocument/2006/relationships/hyperlink" Target="https://www.sec.gov/Archives/edgar/data/0001482981/000119312521284306/d197386dex102.htm" TargetMode="External"/><Relationship Id="rId164" Type="http://schemas.openxmlformats.org/officeDocument/2006/relationships/hyperlink" Target="https://www.sec.gov/Archives/edgar/data/1482981/000148298122000014/ex103-thirdamdtocreditag.htm" TargetMode="External"/><Relationship Id="rId165" Type="http://schemas.openxmlformats.org/officeDocument/2006/relationships/hyperlink" Target="https://www.sec.gov/Archives/edgar/data/0001482981/000119312521296568/d197386dex103.htm" TargetMode="External"/><Relationship Id="rId166" Type="http://schemas.openxmlformats.org/officeDocument/2006/relationships/hyperlink" Target="https://www.sec.gov/Archives/edgar/data/1482981/000148298122000014/exhibit-105x2021equityin.htm" TargetMode="External"/><Relationship Id="rId167" Type="http://schemas.openxmlformats.org/officeDocument/2006/relationships/hyperlink" Target="https://www.sec.gov/Archives/edgar/data/0001482981/000119312521296568/d197386dex105.htm" TargetMode="External"/><Relationship Id="rId168" Type="http://schemas.openxmlformats.org/officeDocument/2006/relationships/hyperlink" Target="https://www.sec.gov/Archives/edgar/data/1482981/000148298122000014/exhibit107-vitacocoxformop.htm" TargetMode="External"/><Relationship Id="rId169" Type="http://schemas.openxmlformats.org/officeDocument/2006/relationships/hyperlink" Target="https://www.sec.gov/Archives/edgar/data/1482981/000148298122000014/exhibit108-vitacocoxformrs.htm" TargetMode="External"/><Relationship Id="rId170" Type="http://schemas.openxmlformats.org/officeDocument/2006/relationships/hyperlink" Target="https://www.sec.gov/Archives/edgar/data/0001482981/000119312521332611/d260163dex105.htm" TargetMode="External"/><Relationship Id="rId171" Type="http://schemas.openxmlformats.org/officeDocument/2006/relationships/hyperlink" Target="https://www.sec.gov/Archives/edgar/data/1482981/000148298122000074/coco20220930-10qexx101.htm" TargetMode="External"/><Relationship Id="rId174" Type="http://schemas.openxmlformats.org/officeDocument/2006/relationships/hyperlink" Target="https://www.sec.gov/Archives/edgar/data/0001482981/000119312521332611/d260163dex106.htm" TargetMode="External"/><Relationship Id="rId175" Type="http://schemas.openxmlformats.org/officeDocument/2006/relationships/hyperlink" Target="https://www.sec.gov/Archives/edgar/data/0001482981/000119312521296568/d197386dex106.htm" TargetMode="External"/><Relationship Id="rId176" Type="http://schemas.openxmlformats.org/officeDocument/2006/relationships/hyperlink" Target="https://www.sec.gov/Archives/edgar/data/0001482981/000119312521296568/d197386dex107.htm" TargetMode="External"/><Relationship Id="rId177" Type="http://schemas.openxmlformats.org/officeDocument/2006/relationships/hyperlink" Target="https://www.sec.gov/Archives/edgar/data/0001482981/000119312521284306/d197386dex1010.htm" TargetMode="External"/><Relationship Id="rId178" Type="http://schemas.openxmlformats.org/officeDocument/2006/relationships/hyperlink" Target="https://www.sec.gov/Archives/edgar/data/0001482981/000119312521284306/d197386dex1012.htm" TargetMode="External"/><Relationship Id="rId179" Type="http://schemas.openxmlformats.org/officeDocument/2006/relationships/hyperlink" Target="https://www.sec.gov/Archives/edgar/data/0001482981/000119312521284306/d197386dex1013.htm" TargetMode="External"/><Relationship Id="rId180" Type="http://schemas.openxmlformats.org/officeDocument/2006/relationships/hyperlink" Target="https://www.sec.gov/Archives/edgar/data/0001482981/000119312521284306/d197386dex1014.htm" TargetMode="External"/><Relationship Id="rId181" Type="http://schemas.openxmlformats.org/officeDocument/2006/relationships/hyperlink" Target="https://www.sec.gov/Archives/edgar/data/0001482981/000119312521284306/d197386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2023-03-14T17:54:34Z</dcterms:created>
  <dcterms:modified xsi:type="dcterms:W3CDTF">2023-03-14T17:54:34Z</dcterms:modified>
</cp:coreProperties>
</file>