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2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w:t>
      </w:r>
    </w:p>
    <w:p>
      <w:pPr>
        <w:spacing w:after="0" w:line="5" w:lineRule="exact"/>
        <w:rPr>
          <w:rFonts w:ascii="MS PGothic" w:cs="MS PGothic" w:eastAsia="MS PGothic" w:hAnsi="MS PGothic"/>
          <w:sz w:val="14"/>
          <w:szCs w:val="14"/>
          <w:color w:val="auto"/>
        </w:rPr>
      </w:pPr>
    </w:p>
    <w:p>
      <w:pPr>
        <w:ind w:left="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FROM</w:t>
      </w:r>
      <w:r>
        <w:rPr>
          <w:rFonts w:ascii="Times New Roman" w:cs="Times New Roman" w:eastAsia="Times New Roman" w:hAnsi="Times New Roman"/>
          <w:sz w:val="13"/>
          <w:szCs w:val="13"/>
          <w:b w:val="1"/>
          <w:bCs w:val="1"/>
          <w:color w:val="auto"/>
        </w:rPr>
        <w:t>TO</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jc w:val="center"/>
              <w:ind w:left="3395"/>
              <w:spacing w:after="0"/>
              <w:rPr>
                <w:sz w:val="20"/>
                <w:szCs w:val="20"/>
                <w:color w:val="auto"/>
              </w:rPr>
            </w:pPr>
            <w:r>
              <w:rPr>
                <w:rFonts w:ascii="Times New Roman" w:cs="Times New Roman" w:eastAsia="Times New Roman" w:hAnsi="Times New Roman"/>
                <w:sz w:val="14"/>
                <w:szCs w:val="14"/>
                <w:b w:val="1"/>
                <w:bCs w:val="1"/>
                <w:color w:val="auto"/>
              </w:rPr>
              <w:t>Commission File Number: 001-40950</w:t>
            </w:r>
          </w:p>
        </w:tc>
        <w:tc>
          <w:tcPr>
            <w:tcW w:w="3480" w:type="dxa"/>
            <w:vAlign w:val="bottom"/>
          </w:tcPr>
          <w:p>
            <w:pPr>
              <w:spacing w:after="0"/>
              <w:rPr>
                <w:sz w:val="16"/>
                <w:szCs w:val="16"/>
                <w:color w:val="auto"/>
              </w:rPr>
            </w:pPr>
          </w:p>
        </w:tc>
      </w:tr>
      <w:tr>
        <w:trPr>
          <w:trHeight w:val="350"/>
        </w:trPr>
        <w:tc>
          <w:tcPr>
            <w:tcW w:w="7760" w:type="dxa"/>
            <w:vAlign w:val="bottom"/>
          </w:tcPr>
          <w:p>
            <w:pPr>
              <w:jc w:val="center"/>
              <w:ind w:left="3415"/>
              <w:spacing w:after="0" w:line="350" w:lineRule="exact"/>
              <w:rPr>
                <w:sz w:val="20"/>
                <w:szCs w:val="20"/>
                <w:color w:val="auto"/>
              </w:rPr>
            </w:pPr>
            <w:r>
              <w:rPr>
                <w:rFonts w:ascii="Times New Roman" w:cs="Times New Roman" w:eastAsia="Times New Roman" w:hAnsi="Times New Roman"/>
                <w:sz w:val="32"/>
                <w:szCs w:val="32"/>
                <w:b w:val="1"/>
                <w:bCs w:val="1"/>
                <w:color w:val="auto"/>
              </w:rPr>
              <w:t>The Vita Coco Company, Inc.</w:t>
            </w:r>
          </w:p>
        </w:tc>
        <w:tc>
          <w:tcPr>
            <w:tcW w:w="3480" w:type="dxa"/>
            <w:vAlign w:val="bottom"/>
          </w:tcPr>
          <w:p>
            <w:pPr>
              <w:spacing w:after="0"/>
              <w:rPr>
                <w:sz w:val="24"/>
                <w:szCs w:val="24"/>
                <w:color w:val="auto"/>
              </w:rPr>
            </w:pPr>
          </w:p>
        </w:tc>
      </w:tr>
      <w:tr>
        <w:trPr>
          <w:trHeight w:val="190"/>
        </w:trPr>
        <w:tc>
          <w:tcPr>
            <w:tcW w:w="7760" w:type="dxa"/>
            <w:vAlign w:val="bottom"/>
          </w:tcPr>
          <w:p>
            <w:pPr>
              <w:jc w:val="center"/>
              <w:ind w:left="34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80" w:type="dxa"/>
            <w:vAlign w:val="bottom"/>
          </w:tcPr>
          <w:p>
            <w:pPr>
              <w:spacing w:after="0"/>
              <w:rPr>
                <w:sz w:val="16"/>
                <w:szCs w:val="16"/>
                <w:color w:val="auto"/>
              </w:rPr>
            </w:pPr>
          </w:p>
        </w:tc>
      </w:tr>
      <w:tr>
        <w:trPr>
          <w:trHeight w:val="131"/>
        </w:trPr>
        <w:tc>
          <w:tcPr>
            <w:tcW w:w="776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r>
      <w:tr>
        <w:trPr>
          <w:trHeight w:val="563"/>
        </w:trPr>
        <w:tc>
          <w:tcPr>
            <w:tcW w:w="7760" w:type="dxa"/>
            <w:vAlign w:val="bottom"/>
          </w:tcPr>
          <w:p>
            <w:pPr>
              <w:jc w:val="center"/>
              <w:ind w:right="205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80" w:type="dxa"/>
            <w:vAlign w:val="bottom"/>
          </w:tcPr>
          <w:p>
            <w:pPr>
              <w:jc w:val="right"/>
              <w:ind w:right="2344"/>
              <w:spacing w:after="0"/>
              <w:rPr>
                <w:sz w:val="20"/>
                <w:szCs w:val="20"/>
                <w:color w:val="auto"/>
              </w:rPr>
            </w:pPr>
            <w:r>
              <w:rPr>
                <w:rFonts w:ascii="Times New Roman" w:cs="Times New Roman" w:eastAsia="Times New Roman" w:hAnsi="Times New Roman"/>
                <w:sz w:val="16"/>
                <w:szCs w:val="16"/>
                <w:b w:val="1"/>
                <w:bCs w:val="1"/>
                <w:color w:val="auto"/>
              </w:rPr>
              <w:t>11-3713156</w:t>
            </w:r>
          </w:p>
        </w:tc>
      </w:tr>
      <w:tr>
        <w:trPr>
          <w:trHeight w:val="146"/>
        </w:trPr>
        <w:tc>
          <w:tcPr>
            <w:tcW w:w="7760" w:type="dxa"/>
            <w:vAlign w:val="bottom"/>
          </w:tcPr>
          <w:p>
            <w:pPr>
              <w:jc w:val="center"/>
              <w:ind w:right="203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right="20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6"/>
        </w:trPr>
        <w:tc>
          <w:tcPr>
            <w:tcW w:w="7760" w:type="dxa"/>
            <w:vAlign w:val="bottom"/>
          </w:tcPr>
          <w:p>
            <w:pPr>
              <w:jc w:val="center"/>
              <w:ind w:right="2055"/>
              <w:spacing w:after="0"/>
              <w:rPr>
                <w:sz w:val="20"/>
                <w:szCs w:val="20"/>
                <w:color w:val="auto"/>
              </w:rPr>
            </w:pPr>
            <w:r>
              <w:rPr>
                <w:rFonts w:ascii="Times New Roman" w:cs="Times New Roman" w:eastAsia="Times New Roman" w:hAnsi="Times New Roman"/>
                <w:sz w:val="16"/>
                <w:szCs w:val="16"/>
                <w:b w:val="1"/>
                <w:bCs w:val="1"/>
                <w:color w:val="auto"/>
              </w:rPr>
              <w:t>250 Park Avenue South</w:t>
            </w:r>
          </w:p>
        </w:tc>
        <w:tc>
          <w:tcPr>
            <w:tcW w:w="3480" w:type="dxa"/>
            <w:vAlign w:val="bottom"/>
          </w:tcPr>
          <w:p>
            <w:pPr>
              <w:spacing w:after="0"/>
              <w:rPr>
                <w:sz w:val="20"/>
                <w:szCs w:val="20"/>
                <w:color w:val="auto"/>
              </w:rPr>
            </w:pPr>
          </w:p>
        </w:tc>
      </w:tr>
      <w:tr>
        <w:trPr>
          <w:trHeight w:val="284"/>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rPr>
              <w:t>Seventh Floor</w:t>
            </w:r>
          </w:p>
        </w:tc>
        <w:tc>
          <w:tcPr>
            <w:tcW w:w="3480" w:type="dxa"/>
            <w:vAlign w:val="bottom"/>
          </w:tcPr>
          <w:p>
            <w:pPr>
              <w:spacing w:after="0"/>
              <w:rPr>
                <w:sz w:val="24"/>
                <w:szCs w:val="24"/>
                <w:color w:val="auto"/>
              </w:rPr>
            </w:pPr>
          </w:p>
        </w:tc>
      </w:tr>
      <w:tr>
        <w:trPr>
          <w:trHeight w:val="251"/>
        </w:trPr>
        <w:tc>
          <w:tcPr>
            <w:tcW w:w="7760" w:type="dxa"/>
            <w:vAlign w:val="bottom"/>
          </w:tcPr>
          <w:p>
            <w:pPr>
              <w:ind w:left="2100"/>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3480" w:type="dxa"/>
            <w:vAlign w:val="bottom"/>
          </w:tcPr>
          <w:p>
            <w:pPr>
              <w:jc w:val="right"/>
              <w:ind w:right="2524"/>
              <w:spacing w:after="0"/>
              <w:rPr>
                <w:sz w:val="20"/>
                <w:szCs w:val="20"/>
                <w:color w:val="auto"/>
              </w:rPr>
            </w:pPr>
            <w:r>
              <w:rPr>
                <w:rFonts w:ascii="Times New Roman" w:cs="Times New Roman" w:eastAsia="Times New Roman" w:hAnsi="Times New Roman"/>
                <w:sz w:val="16"/>
                <w:szCs w:val="16"/>
                <w:b w:val="1"/>
                <w:bCs w:val="1"/>
                <w:color w:val="auto"/>
              </w:rPr>
              <w:t>10003</w:t>
            </w:r>
          </w:p>
        </w:tc>
      </w:tr>
      <w:tr>
        <w:trPr>
          <w:trHeight w:val="190"/>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206-0763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8" w:lineRule="exact"/>
        <w:rPr>
          <w:sz w:val="24"/>
          <w:szCs w:val="24"/>
          <w:color w:val="auto"/>
        </w:rPr>
      </w:pPr>
    </w:p>
    <w:p>
      <w:pPr>
        <w:ind w:left="1700"/>
        <w:spacing w:after="0"/>
        <w:tabs>
          <w:tab w:leader="none" w:pos="4940" w:val="left"/>
          <w:tab w:leader="none" w:pos="73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32" w:lineRule="exact"/>
        <w:rPr>
          <w:sz w:val="24"/>
          <w:szCs w:val="24"/>
          <w:color w:val="auto"/>
        </w:rPr>
      </w:pPr>
    </w:p>
    <w:p>
      <w:pPr>
        <w:ind w:left="820"/>
        <w:spacing w:after="0"/>
        <w:tabs>
          <w:tab w:leader="none" w:pos="5340" w:val="left"/>
          <w:tab w:leader="none" w:pos="7780" w:val="left"/>
        </w:tabs>
        <w:rPr>
          <w:sz w:val="20"/>
          <w:szCs w:val="20"/>
          <w:color w:val="auto"/>
        </w:rPr>
      </w:pPr>
      <w:r>
        <w:rPr>
          <w:rFonts w:ascii="Times New Roman" w:cs="Times New Roman" w:eastAsia="Times New Roman" w:hAnsi="Times New Roman"/>
          <w:sz w:val="16"/>
          <w:szCs w:val="16"/>
          <w:b w:val="1"/>
          <w:bCs w:val="1"/>
          <w:color w:val="auto"/>
        </w:rPr>
        <w:t>Common Stock, Par Value $0.01 Per Share</w:t>
      </w:r>
      <w:r>
        <w:rPr>
          <w:sz w:val="20"/>
          <w:szCs w:val="20"/>
          <w:color w:val="auto"/>
        </w:rPr>
        <w:tab/>
      </w:r>
      <w:r>
        <w:rPr>
          <w:rFonts w:ascii="Times New Roman" w:cs="Times New Roman" w:eastAsia="Times New Roman" w:hAnsi="Times New Roman"/>
          <w:sz w:val="16"/>
          <w:szCs w:val="16"/>
          <w:b w:val="1"/>
          <w:bCs w:val="1"/>
          <w:color w:val="auto"/>
        </w:rPr>
        <w:t>COCO</w:t>
      </w:r>
      <w:r>
        <w:rPr>
          <w:sz w:val="20"/>
          <w:szCs w:val="20"/>
          <w:color w:val="auto"/>
        </w:rPr>
        <w:tab/>
      </w:r>
      <w:r>
        <w:rPr>
          <w:rFonts w:ascii="Times New Roman" w:cs="Times New Roman" w:eastAsia="Times New Roman" w:hAnsi="Times New Roman"/>
          <w:sz w:val="16"/>
          <w:szCs w:val="16"/>
          <w:b w:val="1"/>
          <w:bCs w:val="1"/>
          <w:color w:val="auto"/>
        </w:rPr>
        <w:t>The Nasdaq Stock Market LLC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right="448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00"/>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87"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w:t>
      </w:r>
      <w:r>
        <w:rPr>
          <w:rFonts w:ascii="Times New Roman" w:cs="Times New Roman" w:eastAsia="Times New Roman" w:hAnsi="Times New Roman"/>
          <w:sz w:val="17"/>
          <w:szCs w:val="17"/>
          <w:color w:val="auto"/>
        </w:rPr>
        <w:t>le</w:t>
      </w:r>
      <w:r>
        <w:rPr>
          <w:rFonts w:ascii="Times New Roman" w:cs="Times New Roman" w:eastAsia="Times New Roman" w:hAnsi="Times New Roman"/>
          <w:sz w:val="13"/>
          <w:szCs w:val="13"/>
          <w:color w:val="auto"/>
        </w:rPr>
        <w:t xml:space="preserv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6" w:lineRule="exact"/>
        <w:rPr>
          <w:sz w:val="24"/>
          <w:szCs w:val="24"/>
          <w:color w:val="auto"/>
        </w:rPr>
      </w:pPr>
    </w:p>
    <w:p>
      <w:pPr>
        <w:ind w:right="32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1"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50" w:lineRule="exact"/>
        <w:tabs>
          <w:tab w:leader="none" w:pos="1500" w:val="left"/>
        </w:tabs>
        <w:rPr>
          <w:sz w:val="20"/>
          <w:szCs w:val="20"/>
          <w:color w:val="auto"/>
        </w:rPr>
      </w:pPr>
      <w:r>
        <w:rPr>
          <w:rFonts w:ascii="Times New Roman" w:cs="Times New Roman" w:eastAsia="Times New Roman" w:hAnsi="Times New Roman"/>
          <w:sz w:val="13"/>
          <w:szCs w:val="13"/>
          <w:color w:val="auto"/>
        </w:rPr>
        <w:t>statements.</w:t>
      </w:r>
      <w:r>
        <w:rPr>
          <w:sz w:val="20"/>
          <w:szCs w:val="20"/>
          <w:color w:val="auto"/>
        </w:rPr>
        <w:tab/>
      </w:r>
      <w:r>
        <w:rPr>
          <w:rFonts w:ascii="MS PGothic" w:cs="MS PGothic" w:eastAsia="MS PGothic" w:hAnsi="MS PGothic"/>
          <w:sz w:val="13"/>
          <w:szCs w:val="13"/>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any of those error corrections are restatements that required a recovery analysis of incentive-based compensation received by any of the registrant’s executive officers during the relevant</w:t>
      </w:r>
    </w:p>
    <w:p>
      <w:pPr>
        <w:spacing w:after="0" w:line="150" w:lineRule="exact"/>
        <w:tabs>
          <w:tab w:leader="none" w:pos="2980" w:val="left"/>
        </w:tabs>
        <w:rPr>
          <w:sz w:val="20"/>
          <w:szCs w:val="20"/>
          <w:color w:val="auto"/>
        </w:rPr>
      </w:pPr>
      <w:r>
        <w:rPr>
          <w:rFonts w:ascii="Times New Roman" w:cs="Times New Roman" w:eastAsia="Times New Roman" w:hAnsi="Times New Roman"/>
          <w:sz w:val="13"/>
          <w:szCs w:val="13"/>
          <w:color w:val="auto"/>
        </w:rPr>
        <w:t>recovery period pursuant to §240.10D-1(b). .</w:t>
      </w:r>
      <w:r>
        <w:rPr>
          <w:sz w:val="20"/>
          <w:szCs w:val="20"/>
          <w:color w:val="auto"/>
        </w:rPr>
        <w:tab/>
      </w:r>
      <w:r>
        <w:rPr>
          <w:rFonts w:ascii="MS PGothic" w:cs="MS PGothic" w:eastAsia="MS PGothic" w:hAnsi="MS PGothic"/>
          <w:sz w:val="12"/>
          <w:szCs w:val="12"/>
          <w:color w:val="auto"/>
        </w:rPr>
        <w:t>☐</w:t>
      </w:r>
    </w:p>
    <w:p>
      <w:pPr>
        <w:spacing w:after="0" w:line="258"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(assuming for these purposes, but without conceding, that all executive officers, directors and holders of more than 10% of</w:t>
      </w:r>
    </w:p>
    <w:p>
      <w:pPr>
        <w:ind w:right="340"/>
        <w:spacing w:after="0" w:line="218" w:lineRule="auto"/>
        <w:rPr>
          <w:sz w:val="20"/>
          <w:szCs w:val="20"/>
          <w:color w:val="auto"/>
        </w:rPr>
      </w:pPr>
      <w:r>
        <w:rPr>
          <w:rFonts w:ascii="Times New Roman" w:cs="Times New Roman" w:eastAsia="Times New Roman" w:hAnsi="Times New Roman"/>
          <w:sz w:val="13"/>
          <w:szCs w:val="13"/>
          <w:color w:val="auto"/>
        </w:rPr>
        <w:t>registrant's common stock are affiliates for the purpose of this calculation) as of June 30, 2023, the last business day of the registrant’s most recently completed second fiscal quarter, was approximately $894.3 million (based on the closing sale price of the registrant’s common stock on that date as reported on the Nasdaq Stock Market).</w:t>
      </w:r>
    </w:p>
    <w:p>
      <w:pPr>
        <w:sectPr>
          <w:pgSz w:w="11900" w:h="16838" w:orient="portrait"/>
          <w:cols w:equalWidth="0" w:num="1">
            <w:col w:w="11240"/>
          </w:cols>
          <w:pgMar w:left="320" w:top="216" w:right="339" w:bottom="821"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82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February 26, 2024, 56,929,302, shares of the registrant's common stock, par value $0.01 per share, were outstanding.</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to be filed with the SEC within 120 days after the end of the fiscal year ended December 31, 2023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67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4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0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Selected Financial Data</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3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20"/>
                <w:szCs w:val="20"/>
                <w:color w:val="auto"/>
              </w:rPr>
            </w:pPr>
          </w:p>
        </w:tc>
        <w:tc>
          <w:tcPr>
            <w:tcW w:w="39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26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1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2"/>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90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19685</wp:posOffset>
            </wp:positionV>
            <wp:extent cx="436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37</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37</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37</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38</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53</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2">
            <w:col w:w="9980" w:space="720"/>
            <w:col w:w="5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w:t>
      </w:r>
    </w:p>
    <w:p>
      <w:pPr>
        <w:spacing w:after="0" w:line="2" w:lineRule="exact"/>
        <w:rPr>
          <w:sz w:val="20"/>
          <w:szCs w:val="20"/>
          <w:color w:val="auto"/>
        </w:rPr>
      </w:pPr>
    </w:p>
    <w:p>
      <w:pPr>
        <w:jc w:val="both"/>
        <w:ind w:right="180"/>
        <w:spacing w:after="0" w:line="220" w:lineRule="auto"/>
        <w:rPr>
          <w:sz w:val="20"/>
          <w:szCs w:val="20"/>
          <w:color w:val="auto"/>
        </w:rPr>
      </w:pPr>
      <w:r>
        <w:rPr>
          <w:rFonts w:ascii="Times New Roman" w:cs="Times New Roman" w:eastAsia="Times New Roman" w:hAnsi="Times New Roman"/>
          <w:sz w:val="17"/>
          <w:szCs w:val="17"/>
          <w:color w:val="auto"/>
        </w:rPr>
        <w:t>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w:t>
      </w:r>
    </w:p>
    <w:p>
      <w:pPr>
        <w:spacing w:after="0" w:line="2" w:lineRule="exact"/>
        <w:rPr>
          <w:sz w:val="20"/>
          <w:szCs w:val="20"/>
          <w:color w:val="auto"/>
        </w:rPr>
      </w:pPr>
    </w:p>
    <w:p>
      <w:pPr>
        <w:ind w:right="340"/>
        <w:spacing w:after="0" w:line="208" w:lineRule="auto"/>
        <w:rPr>
          <w:sz w:val="20"/>
          <w:szCs w:val="20"/>
          <w:color w:val="auto"/>
        </w:rPr>
      </w:pPr>
      <w:r>
        <w:rPr>
          <w:rFonts w:ascii="Times New Roman" w:cs="Times New Roman" w:eastAsia="Times New Roman" w:hAnsi="Times New Roman"/>
          <w:sz w:val="18"/>
          <w:szCs w:val="18"/>
          <w:color w:val="auto"/>
        </w:rPr>
        <w:t>“will,”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trends, equity compensation, business strategy, projected costs, plans, prospects, expectations, market growth, new products, supply chain predictions, and our objectives for future operations.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statements, including, but not limited to, the important factors discussed in Part I, Item 1A. “Risk Factors” in this Annual Report on Form 10-K for the fiscal year ended December 31, 2023. The forward-looking statements in this Annual Report on Form 10-K are based upon information available to us as of the date of this Annual Report on Form 10-K, and while we believe such information forms a reasonable basis for such statements, such information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contained in this Annual Report on Form 10-K, whether as a result of any new information, future events or otherwise.</w:t>
      </w:r>
    </w:p>
    <w:p>
      <w:pPr>
        <w:spacing w:after="0" w:line="165" w:lineRule="exact"/>
        <w:rPr>
          <w:sz w:val="20"/>
          <w:szCs w:val="20"/>
          <w:color w:val="auto"/>
        </w:rPr>
      </w:pPr>
    </w:p>
    <w:p>
      <w:pPr>
        <w:ind w:right="360" w:firstLine="486"/>
        <w:spacing w:after="0" w:line="237"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the terms “Vita Coco,” the “Company,” “we,” “us” and “our” refer to The Vita Coco Company, Inc. and its consolidated subsidiaries.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21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Circana, LLC, Custom Research, MULO + Convenience channels, for the periods ended December 31, 2023 ("Circana US"); and</w:t>
      </w:r>
    </w:p>
    <w:p>
      <w:pPr>
        <w:spacing w:after="0" w:line="25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Circana, LLC, Total UK Coconut Water Category, Value Sales, 52, Weeks ended December 30, 2023 ("Circana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Form 10-K. You should carefully consider these risks and uncertainties when investing in our common stock. The principal risks and uncertainties affecting our business include the following:</w:t>
      </w:r>
    </w:p>
    <w:p>
      <w:pPr>
        <w:spacing w:after="0" w:line="18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reduction in demand for and sales of our coconut water products or a decrease in consumer demand for coconut water generally;</w:t>
      </w:r>
    </w:p>
    <w:p>
      <w:pPr>
        <w:spacing w:after="0" w:line="225" w:lineRule="exact"/>
        <w:rPr>
          <w:rFonts w:ascii="Times New Roman" w:cs="Times New Roman" w:eastAsia="Times New Roman" w:hAnsi="Times New Roman"/>
          <w:sz w:val="18"/>
          <w:szCs w:val="18"/>
          <w:b w:val="1"/>
          <w:bCs w:val="1"/>
          <w:i w:val="1"/>
          <w:iCs w:val="1"/>
          <w:color w:val="auto"/>
        </w:rPr>
      </w:pPr>
    </w:p>
    <w:p>
      <w:pPr>
        <w:ind w:left="660" w:right="3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or interruptions with our supply chain and inflation resulting in an increase in shipping expenses and potential cost increases for our products, adverse impacts on our distributor and retail customers’ ability to deliver our products to market;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forecast and manage our inventory levels;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availability of coconuts or other raw materials that meet our quality standards;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materials used to package our products, and our dependence on our existing suppliers for such materials;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distributor and retail customers for a significant portion of our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in the food and beverage retail industry presents an ongoing threat to the success of our business;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brands and company image;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successfully improve existing products and respond to changes in consumer preferences;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may disrupt our business, including, among other things, consumption and trade patterns, and our supply chain and production processes;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make acquisitions and successfully integrate newly acquired businesses or products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measures taken to address climate change, may negatively affect our business and operations;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ability to retain our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and manufacturing partners compliance with ethical business practices or applicable laws and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international nature of our business;</w:t>
      </w:r>
    </w:p>
    <w:p>
      <w:pPr>
        <w:spacing w:after="0" w:line="238"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sustainability and corporate social responsibility and our status as a public benefit corporation, including any new requirements to public reporting;</w:t>
      </w:r>
    </w:p>
    <w:p>
      <w:pPr>
        <w:spacing w:after="0" w:line="189"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product recalls or regulatory enforcement actions in connection with real or perceived food safety and food-borne illness incidents, other safety concerns or related to advertising inaccuracies, digital marketing practices, or product mislabeling;</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and existing government regulation and legislative changes, both in the United States and abroad;</w:t>
      </w:r>
    </w:p>
    <w:p>
      <w:pPr>
        <w:spacing w:after="0" w:line="225"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anti-corruption, sanctions, trade, data privacy, data protection, advertising and consumer protection;</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information technology systems, and the risk of failure or inadequacy of such systems and cyberattacks;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financing to achieve our goals;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any indebtedness and comply with the covenants imposed under our existing debt agreements.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Vita Coco Company is a leading platform for brands in the functional beverage category. We pioneered packaged coconut water in 2004 and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1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7"/>
          <w:szCs w:val="17"/>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and to better service our customers’ needs.</w:t>
      </w:r>
    </w:p>
    <w:p>
      <w:pPr>
        <w:spacing w:after="0" w:line="18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30 countries, with our primary markets in North America, the United Kingdom, and China. Our primary markets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are North America and Europe. Our products are distributed primarily through club, food, drug, mass, convenience, e-commerce, and foodservice channels. Our products are also available in a variety of on-premise locations such as corporate offices, fitness clubs, airports, and educational institutions.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43"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Inc., formerly known as All Market Inc., was first incorporated as a Delaware corporation in January 2007 and re-incorporated in Delaware as a public benefit corporation in April 2021. We completed an initial public offering (the "IPO") of our common stock in October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4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We operate in the functional beverages industry. Our primary brand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competes in the global coconut and plant waters category.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milk product is a plant-based dairy alternative and our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brand competes in the enhanced isotonic category. We also develop and sell other brands in the beverage category, and occasionally in other categories, as we test our ideas for expanding our product portfolio. The beverage industry, and specifically the functional beverage categories, are significantly larger than the coconut and plant waters category and provide opportunities for potential growth.</w:t>
      </w:r>
    </w:p>
    <w:p>
      <w:pPr>
        <w:spacing w:after="0" w:line="21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believe per capita consumption of natural beverages is growing as a result of increasing consumer interest in plant-based alternatives and preferences for health-conscious products that have fewer added sugars and artificial ingredients, while providing more nutritional benefits. In addition, we believe that consumer awareness of the negative environmental and social impact of packaged goods has resulted in increased consumer demand for brands that are purpose-driven, take responsibility for their impact on the planet and are focused on sustainable packaging and transparent ethical values. We believe our mission is aligned with the growing demands generated by this consumer behavior.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beverage industry is highly competitive and is constantly evolving in response to ever-changing consumer preferences. Competition is generally based on brand recognition, taste, quality, price, availability, selection and convenience, as well as factors related to corporate responsibility and sustainability.</w:t>
      </w:r>
    </w:p>
    <w:p>
      <w:pPr>
        <w:spacing w:after="0" w:line="202"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7"/>
          <w:szCs w:val="17"/>
          <w:color w:val="auto"/>
        </w:rPr>
        <w:t xml:space="preserve">Additionally, we compete within the broad non-alcoholic beverage category, and our flagship brand, </w:t>
      </w:r>
      <w:r>
        <w:rPr>
          <w:rFonts w:ascii="Times New Roman" w:cs="Times New Roman" w:eastAsia="Times New Roman" w:hAnsi="Times New Roman"/>
          <w:sz w:val="17"/>
          <w:szCs w:val="17"/>
          <w:i w:val="1"/>
          <w:iCs w:val="1"/>
          <w:color w:val="auto"/>
        </w:rPr>
        <w:t>Vita Coco</w:t>
      </w:r>
      <w:r>
        <w:rPr>
          <w:rFonts w:ascii="Times New Roman" w:cs="Times New Roman" w:eastAsia="Times New Roman" w:hAnsi="Times New Roman"/>
          <w:sz w:val="17"/>
          <w:szCs w:val="17"/>
          <w:color w:val="auto"/>
        </w:rPr>
        <w:t>, is the market leader in the coconut water category in the United States. Our competitors in the beverage market include large beverage companies such as The Coca-Cola Company, PepsiCo, Inc. and Nestlé S.A. that may have substantially greater financial resources and stronger brand recognition than we have. We also compete with other leading functional beverages including Goya, Harmless Harvest, Foco, BodyArmor, Monster Energy, Red Bull, Bang, Ocean Spray and Bai, as well as a</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range of emerging brands and retailers’ own private label beverage brands. Our competition and competitors vary by market due to regional brands and taste preferences.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a leading supplier of private label coconut water, and we compete with other private label suppliers for that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As of December 31, 2023, we operate in two business segments: (i) the Americas segment, comprised of our operations primarily in the United States and Canada and (ii) the International segment, comprised of operations primarily in Europe, the Middle East, Africa and the Asia Pacific regions. While over 92% of our business is based on sales of coconut water, we have used our access to market to add other beverage brands with a long-term view to building a diversified beverage platform of compatible brands.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 Coco</w:t>
      </w:r>
    </w:p>
    <w:p>
      <w:pPr>
        <w:spacing w:after="0" w:line="254" w:lineRule="exact"/>
        <w:rPr>
          <w:sz w:val="20"/>
          <w:szCs w:val="20"/>
          <w:color w:val="auto"/>
        </w:rPr>
      </w:pPr>
    </w:p>
    <w:p>
      <w:pPr>
        <w:ind w:right="3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With the launch of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in New York City in 2004, we established coconut water as a premium lifestyle drink in America.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is the coconut water category leader with greater than 50% market share in the United States according to Circana US for the 52 weeks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which over indexes to younger households and to more multicultural shoppers.</w:t>
      </w:r>
    </w:p>
    <w:p>
      <w:pPr>
        <w:spacing w:after="0" w:line="18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offer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as an alternative to sugar-packed sports drinks and other less healthy alternatives.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has evolved from a primarily pure coconut water brand to a full portfolio of coconut-based products. The portfolio now includes multiple offerings in the coconut water category with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Pressed,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Juice, and Farmers Organic, with offerings in adjacent plant-based categories such as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MLK,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Barista 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w:t>
      </w:r>
    </w:p>
    <w:p>
      <w:pPr>
        <w:spacing w:after="0" w:line="206"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Our key strategies for growth for Vita Coco coconut water include: 1) offering more multipacks in coconut water to increase consumption with core consumers, 2) increasing distribution of other product offerings such as Farmers Organic 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Juice, 3) expanding the number of households that purchase our products, and 4) growing opportunities for new usage generally.</w:t>
      </w:r>
    </w:p>
    <w:p>
      <w:pPr>
        <w:spacing w:after="0" w:line="20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Internationally, our business is anchored by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’s presence in the United Kingdom, where it is the chilled coconut water category leader with 89% market share, according to Circana UK, for the 52 weeks ended December 30, 2023. Our United Kingdom commercial team and our supply chain based in Asia have allowed us to sell into other European and Asian countries.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has a presence in key markets such as China, France, Germany, the Middle East, the Benelux region, Spain, the Nordic Region, and Africa.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Label</w:t>
      </w:r>
    </w:p>
    <w:p>
      <w:pPr>
        <w:spacing w:after="0" w:line="24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expanded into private label coconut water in 2016 as a way to develop stronger ties with select, strategic retail partners and improve our operating scale. Our coconut water private label offering increases the scale and efficiency of our coconut water supply chain, and also provides us with a share of the value segment, without diluting our own brand. We also supply retailers with private label coconut oil.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 &amp; Ever</w:t>
      </w:r>
    </w:p>
    <w:p>
      <w:pPr>
        <w:spacing w:after="0" w:line="241" w:lineRule="exact"/>
        <w:rPr>
          <w:sz w:val="20"/>
          <w:szCs w:val="20"/>
          <w:color w:val="auto"/>
        </w:rPr>
      </w:pPr>
    </w:p>
    <w:p>
      <w:pPr>
        <w:ind w:right="3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Launched in 2019,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is a purified water brand packaged solely in aluminum bottles. Given consumer concerns with the disposal or recyclability of plastic water bottles, we created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to respond to the consumer need for a sustainably packaged water product in aluminum bottles with potential infinite recyclability.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was launched with a focus on the food service and office channels.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PWR LIFT</w:t>
      </w:r>
    </w:p>
    <w:p>
      <w:pPr>
        <w:spacing w:after="0" w:line="241"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 xml:space="preserve">In 2021, we launched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beverage targeted at post-workout and recovery occasions with added nutritional benefits.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is a protein-infused sports drink with electrolytes, BCAAs and zero sugar, designed to provide fitness-minded consumers with protein in a hydrating beverage. In 2022 and 2023, we tested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in select markets including Arizona, North Carolina, South Carolina and Texas. During that time,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became the official sponsor of HYROX, a rapidly-growing competition known as the "World Series of Racing." In early 2024,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will launch in New York City metro area. The brand targets fitness enthusiasts and consumers seeking healthier beverage options, and we plan to grow the brand by focusing on premium retail execution, brand sponsorships, influencer partnerships and social media advertising.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Runa</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 xml:space="preserve">Runa </w:t>
      </w:r>
      <w:r>
        <w:rPr>
          <w:rFonts w:ascii="Times New Roman" w:cs="Times New Roman" w:eastAsia="Times New Roman" w:hAnsi="Times New Roman"/>
          <w:sz w:val="17"/>
          <w:szCs w:val="17"/>
          <w:color w:val="auto"/>
        </w:rPr>
        <w:t>is a plant-based, natural offering for consumers in the energy drink market. A key ingredient in</w:t>
      </w:r>
      <w:r>
        <w:rPr>
          <w:rFonts w:ascii="Times New Roman" w:cs="Times New Roman" w:eastAsia="Times New Roman" w:hAnsi="Times New Roman"/>
          <w:sz w:val="17"/>
          <w:szCs w:val="17"/>
          <w:i w:val="1"/>
          <w:iCs w:val="1"/>
          <w:color w:val="auto"/>
        </w:rPr>
        <w:t xml:space="preserve"> Runa </w:t>
      </w:r>
      <w:r>
        <w:rPr>
          <w:rFonts w:ascii="Times New Roman" w:cs="Times New Roman" w:eastAsia="Times New Roman" w:hAnsi="Times New Roman"/>
          <w:sz w:val="17"/>
          <w:szCs w:val="17"/>
          <w:color w:val="auto"/>
        </w:rPr>
        <w:t>is guayusa, an Amazonian jungle plant.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2023, we ceased offering this brand.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engage contract manufacturers, co-packers and third-party logistics providers to manufacture and distribute our products. Our fixed asset-lite model enhances production flexibility and capacity, and enables us to focus on our core in-house capabilities which include supplier management, logistics, sales and marketing, brand management and customer service. Our well-diversified global manufacturing network spans across 14 coconut water factories in six countries that are operated by our manufacturing partners and five co-packing facilities for products not packaged near source. Our network provides us with significant production capacity and capabilities, and an ability to re-allocate coconut water sourcing in the event of supply chain issues, weather, logistics or other macroeconomic impacts.</w:t>
      </w:r>
    </w:p>
    <w:p>
      <w:pPr>
        <w:spacing w:after="0" w:line="21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Coconut water needs to be transferred from the coconut into an aseptic package within hours of cutting a coconut from the tree. Our supply chain partners are positioned as close to the coconut growing regions as possible to keep quality at the highest level. Through our access and relationships with coconut processors and manufacturers in many countries, including the Philippines, Indonesia, Malaysia, Thailand, Sri Lanka, and Brazil, we have built up a unique body of knowledge and relationships that promote coconut water processing at scale, as well as gained access to farms across diversified geographies. We also attempt to foster a thriving loyal farming community around our manufacturing partners through our work with charitable organizations to support agricultural education programs and investments in schooling. This community outreach has strengthened our long-term manufacturing relationships and we believe will support our capacity needs for future growth.</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Raw materials used in our business and by our co-packers consist of ingredients and packaging materials purchased from local, regional and international suppliers. The principal ingredients and packaging include coconut water, Tetra Paks and caps, cardboard cartons, PET bottles, and aluminum bottles and cans. We work with our contract manufacturing partners to purchase our raw ingredients from local suppliers in accordance with rigorous standards to assure responsible sourcing, quality and safety. The majority of our products are produced and packaged with materials sourced from a single supplier, Tetra Pak, whether purchased by us or by our contract manufacturers on our behalf, which provides us efficiency in the packaging and exporting of our products, and furthers our commitment to responsible sourcing, packaging near source and sustainability. Our production contracts are mostly denominated in United States dollars, with some limited contracts in local currencies such as the Brazilian real.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Sales and Marketing</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beverages and other products are sold in club stores, supermarkets, convenience stores, drug stores and e-commerce websites as well as other</w:t>
      </w:r>
    </w:p>
    <w:p>
      <w:pPr>
        <w:spacing w:after="0" w:line="3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outlets. Our products are typically shipped directly from our contract manufacturing partners to a network of third-party warehouses located in our selling markets. We go to market in North America through various distribution channels, including a Direct Store Delivery distribution network ("DSD"), Direct-to-Warehouse network ("DTW"), broadline distributors, and our own Direct-to-Consumer ("DTC") channel. We match the customers' needs with the right route to market providing us flexibility for our established brands and for our innovations. Outside of North America, we use a combination of DTW, importers and distributors depending on the needs of the market.</w:t>
      </w:r>
    </w:p>
    <w:p>
      <w:pPr>
        <w:spacing w:after="0" w:line="212"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Our European market is primarily retail and e-commerce operator direct sales, with some countries supported by distributor or importer type relationships. In China, we sell to Reignwood Investment (China) Co., Ltd, which is our import and distributor partner for the territory, and, through its affiliates, was one of our significant shareholders prior to 2023. Other countries are serviced through importers with limited retail direct relationships or in partnership with one of our manufacturing partners through licensing or other agreements.</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employ a dedicated global sales and commercial team. In the Americas, the sales team focuses on three main areas: (i) DSD management, (ii) national account management (including club, mass food and convenience) and (iii) retail execution. Our European sales team is aligned geographically and by major account or by import partner and is further supported by a small field execution and marketing team in the United Kingdom. Private label accounts are handled by each geographic division in close cooperation with supply chain leadership. Our sales and marketing function in China is handled by our importer.</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also employ a brand, marketing, e-commerce and insights team with strong creative, social and digital capabilities with a primary focus on the North American and European markets. The primary goal of our marketing function is to educate consumers about the functional benefits of our products while inspiring consumers to fall in love</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our brands. Since the early days, our brands have been sponsored by a roster of celebrity and athlete fans. Today, we continue to leverage relationships with talent and influencers who are aligned with our values and are genuine fans of our brands.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is typical in the beverage industry, sales of our beverages are seasonal, with the highest sales volumes generally occurring in the second and third fiscal quarters during the warmer months of the year in our major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Innovation</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We engage in research and development activities and invest in innovation globally with the goal of creating products using natural, functional ingredients. We have years of expertise working with plant-based ingredients to deliver products to meet the needs of our customers. We balance our innovation priorities between adding functionality and taste to existing brands and researching and developing new products and brands for new occasions, need states or specific retailer opportunities.</w:t>
      </w:r>
    </w:p>
    <w:p>
      <w:pPr>
        <w:spacing w:after="0" w:line="212" w:lineRule="exact"/>
        <w:rPr>
          <w:sz w:val="20"/>
          <w:szCs w:val="20"/>
          <w:color w:val="auto"/>
        </w:rPr>
      </w:pPr>
    </w:p>
    <w:p>
      <w:pPr>
        <w:ind w:right="420" w:firstLine="648"/>
        <w:spacing w:after="0" w:line="245" w:lineRule="auto"/>
        <w:rPr>
          <w:sz w:val="20"/>
          <w:szCs w:val="20"/>
          <w:color w:val="auto"/>
        </w:rPr>
      </w:pPr>
      <w:r>
        <w:rPr>
          <w:rFonts w:ascii="Times New Roman" w:cs="Times New Roman" w:eastAsia="Times New Roman" w:hAnsi="Times New Roman"/>
          <w:sz w:val="18"/>
          <w:szCs w:val="18"/>
          <w:color w:val="auto"/>
        </w:rPr>
        <w:t>Our global innovation function sits in the marketing team to ensure alignment with current brand initiatives and sharing of consumer insights across teams and markets. The innovation team works closely with our internal global research and development and technical teams that include employees in the United States, Europe and Singapore focused on supplier capability, quality improvements and new processes. We also have strong supplier relationships that give us access to a broad scope of ingredients, packaging offerings and technologies.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own domestic and international trademarks and other proprietary rights that are important to our business. We view our primary trademark to be VITA COCO. We have a global approach to protecting our trademarks, designs, patents and other intellectual property rights. We believe the protection of our trademarks, designs, copyrights, patents, domain names, trade dress and trade secrets are important to our success.</w:t>
      </w:r>
    </w:p>
    <w:p>
      <w:pPr>
        <w:spacing w:after="0" w:line="204"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As of December 31, 2023, we had over 30 registered trademarks and over 10 pending trademark applications in the United States, as well as over 240 registered trademarks and over 10 pending trademark applications in other countries. Depending upon the jurisdiction, trademarks are valid as long as they are in use and/or their registrations are properly maintained.</w:t>
      </w:r>
    </w:p>
    <w:p>
      <w:pPr>
        <w:spacing w:after="0" w:line="211"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We consider information related to formulas, processes, know-how and methods used in our production and manufacturing as proprietary and endeavor to maintain them as trade secrets. We have in place reasonable measures to keep the above-mentioned items, as well as our business and marketing plans, customer lists and contracts reasonably protected.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Our products are regulated in the United States as conventional foods. We, along with our distributors and manufacturing and co-packing partners, are subject to extensive laws and regulations in the United States by federal, state and local government authorities including, among others, the U.S. Federal Trade Commission ("FTC"), the U.S. Food and Drug Administration ("FDA"), the U.S. Department of Agriculture, the U.S. Environmental Protection Agency and the U.S. Occupational Safety and Health Administration and similar state and local agencies. Among other things, the facilities in which our products and ingredients are manufactured must register with the FDA, comply with current good manufacturing practices and other standard requirements applicable to the production and distribution of conventional food products. We and our manufacturing and co-packing partners are also subject to similar requirements in foreign jurisdictions in which we operate. These types of requirements include: product standards; product safety and reporting; marketing, sales, and distribution; packaging and labeling requirements; nutritional and health claims; advertising and promotion; import and export restrictions; and tariff regulations, duties, and tax requirements.</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import holds, injunctions, fines, civil penalties or criminal prosecution. In addition, some of our products are produced and marketed under contract as part of special certification programs such as organic, kosher or non-GMO, and must comply with the strict standards of federal, state and third-party certifying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Benefit Corporation Status and Corporate Social Responsibility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as a Delaware public benefit corporation, and, therefore, our operational decision-making goes beyond solely maximizing shareholder</w:t>
      </w:r>
    </w:p>
    <w:p>
      <w:pPr>
        <w:spacing w:after="0" w:line="36"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8"/>
          <w:szCs w:val="18"/>
          <w:color w:val="auto"/>
        </w:rPr>
        <w:t>value. Our public benefit purpose, as provided in our certificate of incorporation, is harnessing, while protecting, nature’s resources for the betterment of the world and its habitants by creating ethical, sustainable, better-for-you beverages and consumer products that not only uplift our communities, but that do right by our planet. Furthermore, in order to advance the best interests of those materially affected by the corporation’s conduct, it is intended that our business and operations create a material positive impact on society, taken as a whole.</w:t>
      </w:r>
    </w:p>
    <w:p>
      <w:pPr>
        <w:spacing w:after="0" w:line="208"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In 2022, The Vita Coco Company, Inc. was designated as a Certified B Corporation, a certification reserved for businesses that balance profit and purpose to meet the highest verified standards of social and environmental performance, public transparency and legal accountability. Through achieving Certified B Corporation status, The Vita Coco Company, Inc. joined its subsidiary, All Market Europe Ltd., a United Kingdom company, which had previously achieved Certified B Corporation status.</w:t>
      </w:r>
    </w:p>
    <w:p>
      <w:pPr>
        <w:spacing w:after="0" w:line="21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believe that we bring our products to market through a responsibly designed supply chain, and provide farmers and manufacturers the partnership, investment, and training they need to not only reduce waste and environmental impact, but also bring income and opportunity to their local communities. In 2014, we created the Vita Coco Project to support and empower our coconut farming communities by encouraging innovative farming practices, improving education resources, and scaling our business to promote economic prosperity. With our “Give, Grow, Guide” philosophy, we seek to contribute to educational programs and facilities by supporting initiatives to build new classrooms and fund scholarships, with a goal to impact the lives of people in these communities. Additionally, we attempt to partner with other third-party organizations that share and advance our ideals, including fair trade, accessible nutrition and wellness, and environmental responsibility.</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believe this purpose-driven approach has aided our growth as we believe it is strategically aligned with the beliefs of our global consumer base and has improved our supplier relationships. To further support our public benefit purpose and "Give, Grow, Guide" philosophy, we formed the Vita Coco Community Foundation, a standalone nonprofit corporation in December 2023.</w:t>
      </w:r>
    </w:p>
    <w:p>
      <w:pPr>
        <w:spacing w:after="0" w:line="19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Annually, we publish an Impact Report describing the environmental and social impacts of our business. As a public benefit corporation, we are required by Delaware law to provide a biennial statement on our promotion of the public benefits identified in our certificate of incorporation and of the best interests of those materially affected by the corporation's conduct. Our biennial public benefit corporation statement was included in our Impact Report issued in early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ind w:right="380" w:firstLine="648"/>
        <w:spacing w:after="0" w:line="296" w:lineRule="auto"/>
        <w:rPr>
          <w:sz w:val="20"/>
          <w:szCs w:val="20"/>
          <w:color w:val="auto"/>
        </w:rPr>
      </w:pPr>
      <w:r>
        <w:rPr>
          <w:rFonts w:ascii="Times New Roman" w:cs="Times New Roman" w:eastAsia="Times New Roman" w:hAnsi="Times New Roman"/>
          <w:sz w:val="17"/>
          <w:szCs w:val="17"/>
          <w:color w:val="auto"/>
        </w:rPr>
        <w:t>As of December 31, 2023, we had 294 full-time employees. Of these employees, 220 were employed in the United States. None of these employees are represented by labor unions or covered by collective bargaining agreements. We have never experienced a labor-related work stoppage.</w:t>
      </w:r>
    </w:p>
    <w:p>
      <w:pPr>
        <w:spacing w:after="0" w:line="16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Our people are at the heart of our business. Our Board of Directors provides oversight of the policies and procedures relating to talent, leadership, culture and compensation plans for our Executive Chairman and Chief Executive Officer. The Compensation Committee evaluates and approves the compensation plans for our executive officers. We believe that we have been able to attract diverse and highly engaged employees who share our belief in our mission and further promote our inclusive company culture. To monitor the health of our human capital resources, we track turnover, perform exit interviews, conduct periodic employee surveys, hold quarterly town halls with open question and answer sessions, and conduct performance reviews and build development plans to assist each employee achieve their potential. Based on exit interviews and employee surveys, we identify opportunities for improvement in our processes and track our employee engagement levels. We award equity grants with vesting based on continued employment to eligible employees in order to motivate retention and align our employees with our other shareholders.</w:t>
      </w:r>
    </w:p>
    <w:p>
      <w:pPr>
        <w:spacing w:after="0" w:line="214"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promote and value a diverse, equitable and inclusive culture for our employees. Our Diversity and Inclusivity Committee works to celebrate all our employees, educate and recommend improvements to our processes to enhance our organization and our culture. As of December 31, 2023, approximately 47% of our employees identified as female, 49% identified as male, and 4% did not disclose their gender identity. In addition, at the end of 2023, 38% of our employees identified as Black, Indigenous and/or People of Color or two or more races, 48% identified as white, and 13% did not disclose their race. We strive to reflect the diverse identities and cultures of our consumers.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Vita Coco Company, Inc. was incorporated in Delaware as a corporation in January 2007 and as a public benefit corporation in April 2021.</w:t>
      </w:r>
    </w:p>
    <w:p>
      <w:pPr>
        <w:spacing w:after="0"/>
        <w:rPr>
          <w:sz w:val="20"/>
          <w:szCs w:val="20"/>
          <w:color w:val="auto"/>
        </w:rPr>
      </w:pPr>
      <w:r>
        <w:rPr>
          <w:rFonts w:ascii="Times New Roman" w:cs="Times New Roman" w:eastAsia="Times New Roman" w:hAnsi="Times New Roman"/>
          <w:sz w:val="18"/>
          <w:szCs w:val="18"/>
          <w:color w:val="auto"/>
        </w:rPr>
        <w:t>We completed an initial public offering of our common stock in October 2021.</w:t>
      </w:r>
    </w:p>
    <w:p>
      <w:pPr>
        <w:spacing w:after="0" w:line="178"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Our website is www.thevitacococompany.com. At our Investor Relations website, investors.thevitacococompany.com,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Securities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 The information found on our website is not part of this or any other report we file with, or furnish to, the SEC.</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and uncertainties described below, together with all of the</w:t>
      </w:r>
    </w:p>
    <w:p>
      <w:pPr>
        <w:spacing w:after="0" w:line="4"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i w:val="1"/>
          <w:iCs w:val="1"/>
          <w:color w:val="auto"/>
        </w:rPr>
        <w:t>other information in this Annual Report on Form 10-K. This section contains forward-looking statements. You should refer to the explanation of the qualifications and limitations on forward-looking statements set forth below the Summary Risk Factors of this Annual Report on Form 10-K. The risks and uncertainties described below are not the only ones we face. Additional risk and uncertainties not presently known to us or that we currently deem</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i w:val="1"/>
          <w:iCs w:val="1"/>
          <w:color w:val="auto"/>
        </w:rPr>
        <w:t>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00" w:lineRule="exact"/>
        <w:rPr>
          <w:sz w:val="20"/>
          <w:szCs w:val="20"/>
          <w:color w:val="auto"/>
        </w:rPr>
      </w:pPr>
    </w:p>
    <w:p>
      <w:pPr>
        <w:spacing w:after="0" w:line="336"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Sales of our coconut water products constitute a significant portion of our revenue, and a reduction in demand for our coconut water products or a decrease in consumer demand for coconut water generally would have an adverse effect on our financial condition.</w:t>
      </w:r>
    </w:p>
    <w:p>
      <w:pPr>
        <w:spacing w:after="0" w:line="199" w:lineRule="exact"/>
        <w:rPr>
          <w:sz w:val="20"/>
          <w:szCs w:val="20"/>
          <w:color w:val="auto"/>
        </w:rPr>
      </w:pPr>
    </w:p>
    <w:p>
      <w:pPr>
        <w:ind w:right="160" w:firstLine="648"/>
        <w:spacing w:after="0" w:line="229" w:lineRule="auto"/>
        <w:rPr>
          <w:sz w:val="20"/>
          <w:szCs w:val="20"/>
          <w:color w:val="auto"/>
        </w:rPr>
      </w:pPr>
      <w:r>
        <w:rPr>
          <w:rFonts w:ascii="Times New Roman" w:cs="Times New Roman" w:eastAsia="Times New Roman" w:hAnsi="Times New Roman"/>
          <w:sz w:val="17"/>
          <w:szCs w:val="17"/>
          <w:color w:val="auto"/>
        </w:rPr>
        <w:t>Our coconut water accounted for approximately 92% of our revenue for the year ended December 31, 2023. We believe that sales of our coconut water will continue to constitute a significant portion of our revenue, income and cash flow for the foreseeable future. Any material negative change to consumer demand for our products or coconut water generally or failure to grow the coconut water category could materially and adversely affect our</w:t>
      </w:r>
    </w:p>
    <w:p>
      <w:pPr>
        <w:spacing w:after="0" w:line="208" w:lineRule="auto"/>
        <w:rPr>
          <w:sz w:val="20"/>
          <w:szCs w:val="20"/>
          <w:color w:val="auto"/>
        </w:rPr>
      </w:pPr>
      <w:r>
        <w:rPr>
          <w:rFonts w:ascii="Times New Roman" w:cs="Times New Roman" w:eastAsia="Times New Roman" w:hAnsi="Times New Roman"/>
          <w:sz w:val="18"/>
          <w:szCs w:val="18"/>
          <w:color w:val="auto"/>
        </w:rPr>
        <w:t>business, financial condition, results of operations and cash flows. We are also subject to the risk of overly relying upon a few large customers (whether serviced directly or through distributors) in a particular market due to the concentration that exists in retail ownership in our key markets and our significant private label business with several large retailers. We cannot be certain that consumer and retail customer demand for our other existing and future products</w:t>
      </w:r>
    </w:p>
    <w:p>
      <w:pPr>
        <w:spacing w:after="0" w:line="2" w:lineRule="exact"/>
        <w:rPr>
          <w:sz w:val="20"/>
          <w:szCs w:val="20"/>
          <w:color w:val="auto"/>
        </w:rPr>
      </w:pPr>
    </w:p>
    <w:p>
      <w:pPr>
        <w:ind w:right="380"/>
        <w:spacing w:after="0" w:line="218" w:lineRule="auto"/>
        <w:rPr>
          <w:sz w:val="20"/>
          <w:szCs w:val="20"/>
          <w:color w:val="auto"/>
        </w:rPr>
      </w:pPr>
      <w:r>
        <w:rPr>
          <w:rFonts w:ascii="Times New Roman" w:cs="Times New Roman" w:eastAsia="Times New Roman" w:hAnsi="Times New Roman"/>
          <w:sz w:val="18"/>
          <w:szCs w:val="18"/>
          <w:color w:val="auto"/>
        </w:rPr>
        <w:t>will expand to reduce this reliance on coconut water and allow such products to represent a larger percentage of our revenue than they do currently. Accordingly, any factor adversely affecting demand or sales of our coconut water or coconut water generally or a negative decision by a major retailer, could have a material adverse effect on our business, financial condition, results of operations and cash flows.</w:t>
      </w:r>
    </w:p>
    <w:p>
      <w:pPr>
        <w:spacing w:after="0" w:line="20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encounter problems or interruptions with our supply chain, our costs may increase and our or our customers’ ability to deliver our products to market could be adversely affected, impacting our business and profitability.</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Our supply chain is heavily reliant on third-party partners, and our success is dependent upon our ability to maintain our relationships with</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existing partners and enter into new arrangements in the future. Any changes to the relationships with our existing partners, including deprioritizing or experiencing delays in our production, or terminating the relationship could adversely affect our business. Furthermore, if we need to find an alternative or new manufacturing or co-packing partner, we would need to spend a significant amount of time and resources to ensure the new partner can meet our</w:t>
      </w:r>
    </w:p>
    <w:p>
      <w:pPr>
        <w:spacing w:after="0" w:line="2"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8"/>
          <w:szCs w:val="18"/>
          <w:color w:val="auto"/>
        </w:rPr>
        <w:t>standards for quality control and have the necessary capabilities, responsiveness, high-quality service and financial stability, among other things, that align with our values and mission. We may need to assist that manufacturing partner in purchasing and installing packaging and processing capability which may further delay and increase the financial costs of including them in our supply network and increase the financial risk of that relationship. Although we do not rely on our co-packing partners for the sourcing of raw materials, we face similar risks related to the operations and quality of services provided by</w:t>
      </w:r>
    </w:p>
    <w:p>
      <w:pPr>
        <w:spacing w:after="0" w:line="1"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such partners. If we are unable to manage our supply chain effectively and ensure that our products are available to meet consumer demand, we may not have the ability to pursue our growth strategy, our sales might decrease, and our business, financial condition, results of operations and cash flows may be materially adversely affected.</w:t>
      </w:r>
    </w:p>
    <w:p>
      <w:pPr>
        <w:spacing w:after="0" w:line="212"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Our independent shipping partners transport our products from the country of origin or from our domestic co-packing partners, which are then received by, and subsequently distributed from our third party warehousing and fulfillment service providers to our distributors and retail-direct customers by our third party transportation partners or customer pickup. We depend in large part on the orderly operation of this receiving and distribution process from these third party partners, which depends, in turn, on timely arrival of product from ports or co-packers, availability of outbound and inbound shipping, real-time tracking information on our products location, and effective operations at the warehouses or distribution centers and the ports through which our product flows. Any increase in transportation costs (including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increases in fuel costs), increased shipping costs or shipping transit times, increased warehouse costs, issues with overseas shipments or port or supplier-side delays, reductions in the transportation capacity of carriers, labor strikes or shortages in the transportation industry, disruptions to the national and international transportation infrastructure, decreased warehouse availability including due to labor shortages, and unexpected delivery interruptions or delays may increase the cost of, and adversely impact, our logistics, and our ability to provide quality and timely service to our distributor or retail-direct customers. The inability to fulfill or any delays in processing customer or consumer orders from the warehousing or fulfillment centers of our providers, or any quality issues could result in the loss of consumers, retail partners or distributors, or the issuances of penalties, refunds or credits, and may also adversely affect our reputation.</w:t>
      </w:r>
    </w:p>
    <w:p>
      <w:pPr>
        <w:spacing w:after="0" w:line="20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Additionally, external events beyond our control may affect and cause interruptions or delays in our supply chain. Disruptions in operations due to natural or man-made disasters, inclement weather conditions, accidents, system failures, power outages, political instability, physical or cyber break-ins, server failure, work stoppages, slowdowns or strikes by employees, acts of terrorism, the outbreak of viruses, widespread illness, infectious diseases, contagions and the occurrence of unforeseen epidemics and other unforeseen or catastrophic events could damage the facilities of our supply chain partners or render them inoperable, effect the flow of product to and from these centers, or impact our ability to manage our partners, making it difficult or impossible for us to process customer or consumer orders for an extended period of time. We could also incur significantly higher costs and longer lead times during the time it takes for our supply chain to react and normalize.</w:t>
      </w:r>
    </w:p>
    <w:p>
      <w:pPr>
        <w:spacing w:after="0" w:line="22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Furthermore, international instability, including volatility in global oil markets or ongoing geopolitical tensions, may affect our supply chain, impacting our rates and capacity to timely supply our products. For instance, recently our shipping routes and costs, have been impacted by ocean carriers avoiding the Red Sea and Gulf of Aden, due to concerns that Houthi forces based in Yemen have been attacking freighters. It is hard to predict where ocean freight rates and capacity will be in the future and what long-term rates could be. A significant part of our business relies on shipping prepackaged coconut water from sourcing countries to our countries of sale so we are very dependent on shipping container prices and service levels and cost increases in shipping have materially impacted our financial results in recent years. Due to the price sensitivity of our products, we may not be able to pass such increases on to our customers. Any such disruption or unanticipated event may cause significant interruptions or delays in our business and the reduction or loss of inventory may render us unable to fulfill customer orders in a timely manner, or at all, which could materially adversely affect our business, financial condition, results of operations and cash flows.</w:t>
      </w:r>
    </w:p>
    <w:p>
      <w:pPr>
        <w:spacing w:after="0" w:line="291"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cash flows and results of operations may be negatively affected if we are not successful in predicting demand and managing our inventory at appropriate levels for the demand that we experience.</w:t>
      </w:r>
    </w:p>
    <w:p>
      <w:pPr>
        <w:spacing w:after="0" w:line="19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Efficient inventory planning and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 while ensuring we have adequate inventory to fulfill their needs, if their demand changes unexpectedly.</w:t>
      </w:r>
    </w:p>
    <w:p>
      <w:pPr>
        <w:spacing w:after="0" w:line="21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Maintaining adequate inventory requires significant attention to and monitoring of: market trends, local market demands; performance of our raw material suppliers and manufacturers, our logistics suppliers and distributors; and the collection of data to enable efficient forecasting and inventory management. Although we seek to forecast and plan our product needs sufficiently in advance of anticipated requirements to facilitate reserving production time at our manufacturing and co-packing partners, and arranging for the availability and supply of packaging and ingredient materials, our product takes many weeks to arrive at our warehouses from our manufacturing partners, which reduces our flexibility to react to short term or unexpected consumer demand changes and can require planning as much as six months in advance to coordinate all materials for production. As we expand our operations, it may be more difficult to effectively manage our inventory as the complexity increases. In any cases where consumers might not have access to our products, our reputation and brands could be harmed, and consumers may be less likely to recommend our products in the future. If we are not successful in managing our inventory balances, it could have a material adverse effect on our business, financial conditions, results of operations and cash flows.</w:t>
      </w:r>
    </w:p>
    <w:p>
      <w:pPr>
        <w:spacing w:after="0" w:line="210"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financial condition, results of operations and cash flows may be adversely affected by reduced or limited availability of coconuts and other raw materials for our products</w:t>
      </w:r>
      <w:r>
        <w:rPr>
          <w:rFonts w:ascii="Arial" w:cs="Arial" w:eastAsia="Arial" w:hAnsi="Arial"/>
          <w:sz w:val="21"/>
          <w:szCs w:val="21"/>
          <w:color w:val="auto"/>
        </w:rPr>
        <w:t>.</w:t>
      </w:r>
    </w:p>
    <w:p>
      <w:pPr>
        <w:spacing w:after="0" w:line="17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coconut water and other natural ingredients, in sufficient quantities.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coconuts from which our products are sourced, and the harvesting and transportation of them to our manufacturing partners, are vulnerable to adverse weather conditions and natural 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 current manufacturing partners operate in the Philippines, Sri Lanka, Malaysia, Thailand, Brazil and Vietnam and source coconuts from owned trees and networks of many independent small farmers. Thus, while we attempt to mitigate the risk by sourcing in multiple geographic areas, the supply of coconuts and other ingredients may be particularly affected by any adverse events in these countries or regions. Any disruption in the ability of our manufacturing partners to source coconuts or other raw materials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 all.</w:t>
      </w:r>
    </w:p>
    <w:p>
      <w:pPr>
        <w:spacing w:after="0" w:line="21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addition, we also compete with other food and beverage companies in the procurement of coconut materials and other raw materials, and this competition may increase in the future if consumer demand increases for these materials or products containing such materials, and if new or existing competitors increasingly offer products in these market sectors. If supplies of coconut materials and other raw materials that meet our quality standards are reduced or are in greater demand, this could cause our expenses to increase and we or our manufacturing partners may not be able to obtain sufficient supply to meet our needs on favorable terms, or at all.</w:t>
      </w:r>
    </w:p>
    <w:p>
      <w:pPr>
        <w:spacing w:after="0" w:line="204"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Our manufacturing partners and their ability to source coconut materials and other raw materials may also be affected by any changes among farmers in our sourcing countries as to what they choose to grow and harvest, changes in global economic conditions or climate, and our or their ability to forecast or to commit to our raw materials requirements. 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existing suppliers for materials used to package our products, the costs of which may be volatile and may rise significantly.</w:t>
      </w:r>
    </w:p>
    <w:p>
      <w:pPr>
        <w:spacing w:after="0" w:line="24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to purchasing coconut materials and other ingredients, we negotiate the terms and specifications for the purchase of significant quantities of packaging materials and pallets by our manufacturers and co-packing partners from third parties. The majority of our products are produced and packaged with materials sourced from a single supplier, Tetra Pak. While we believe that we may be able to establish alternative supply relationships for some of these materials, we may be unable to do so in the short term, or at all, at prices or quality levels that are acceptable to us, or in packaging that is acceptable to consumers. Further, any such alternative supplier arrangements may lead to increased costs or delays.</w:t>
      </w:r>
    </w:p>
    <w:p>
      <w:pPr>
        <w:spacing w:after="0" w:line="20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Volatility or inflation in the costs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will adversely affect our business, financial condition, results of operations and cash flows.</w:t>
      </w:r>
    </w:p>
    <w:p>
      <w:pPr>
        <w:spacing w:after="0" w:line="222"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Further, changes in business conditions, pandemics, governmental regulations and other factors beyond our control or that we do not presently anticipate could affect our manufacturing and co-packing partners’ ability to receive components from our existing or future suppliers of such materials or the availability of such components generally. The unavailability of any components for our suppliers could result in production delays and idle manufacturing facilities which may increase our cost of operations and render us unable to fulfill customer orders in a timely manner. In addition, quality issues with packaging materials or packaging processes, could result in the need to replace inventory produced, resulting in increased costs.</w:t>
      </w:r>
    </w:p>
    <w:p>
      <w:pPr>
        <w:spacing w:after="0" w:line="20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distributor and retail customers for most of our sales, and our failure to maintain these relationships or further develop our sales channels could harm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firstLine="648"/>
        <w:spacing w:after="0" w:line="246" w:lineRule="auto"/>
        <w:rPr>
          <w:sz w:val="20"/>
          <w:szCs w:val="20"/>
          <w:color w:val="auto"/>
        </w:rPr>
      </w:pPr>
      <w:r>
        <w:rPr>
          <w:rFonts w:ascii="Times New Roman" w:cs="Times New Roman" w:eastAsia="Times New Roman" w:hAnsi="Times New Roman"/>
          <w:sz w:val="18"/>
          <w:szCs w:val="18"/>
          <w:color w:val="auto"/>
        </w:rPr>
        <w:t>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other retailers. In addition, our largest distributor customer and the largest retail-direct customer together accounted for approximately 53% of our total net sales as of December 31, 2023. No other customer or distributor represented more than 10% of our total net sales as of December 31, 2023.</w:t>
      </w:r>
    </w:p>
    <w:p>
      <w:pPr>
        <w:spacing w:after="0" w:line="22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 For example, as previously disclosed, in 2023 we agreed to start to discontinue the private label coconut water and coconut oil supply relationship with one of our significant customers as the terms required to retain the business were contrary to our long term margin targets. However, at the request of this customer, we expect to continue the supply relationship through 2024 for a significant portion of their private label coconut water needs. In addition, any store closings or changes in retail strategy by our retail customers, particularly our largest retail customer, could reduce the number of stores or regions carrying our products, or stores may purchase a smaller amount of our products and/or may reduce the retail floor space designated for our products. If any negative change in our relationship with our largest distributor and retail customer or other customers occurs, any other disputes with key customers arose, if we were to lose placement and support of any of our key customers 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w:t>
      </w:r>
    </w:p>
    <w:p>
      <w:pPr>
        <w:spacing w:after="0" w:line="21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is terminated or if the performance of such distributor deteriorates, we cannot guarantee that we will be able to find suitable replacement partners on favorable terms, or at all. Distributor contracts also may require that we make payments to terminate or upon non-renewal, and there is no guarantee that the parties will agree on payment terms, or that we will be able to recoup such fees from any replacement distributors.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 that disputes will not arise as to the sharing of the costs of such activity, which could impact our relationship with the distributors or impose additional costs on us.</w:t>
      </w:r>
    </w:p>
    <w:p>
      <w:pPr>
        <w:spacing w:after="0" w:line="2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generally do not have long-term contracts or minimum purchase volumes with our retail-direct customers beyond promotional price</w:t>
      </w:r>
    </w:p>
    <w:p>
      <w:pPr>
        <w:spacing w:after="0" w:line="1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arrangements, except in cases related to private label supply, and the duration of these relationships and terms are subject to change and adjustment based on the performance of the products and our performance as a supplier of these products. For 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have a material adverse effect on our business, financial condition, results of operations and cash flows.</w:t>
      </w:r>
    </w:p>
    <w:p>
      <w:pPr>
        <w:spacing w:after="0" w:line="22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We rely on our retailer partners’ continuing demand for our products whether supplied directly or supported through distributors and their support of our promotional programs. If our retail partners change their pricing and margin expectations, change their business strategies as a result of industry consolidation or 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 our competitors’ products, our sales could decrease and our business, financial conditions, results of operations and cash flows may be materially adversely affected.</w:t>
      </w:r>
    </w:p>
    <w:p>
      <w:pPr>
        <w:spacing w:after="0" w:line="22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Certain of our distributors or retail-direct customers may from time to time experience financial difficulties, including bankruptcy or insolvency. If our customers suffer significant financial or operational difficulty, they may reduce their orders from us or stop purchasing from us and/or be unable to pay the amounts due to us timely or at all, which could have a material adverse effect on our ability to collect on receivables, our revenues and our results of operations. It is possible that customers may contest their contractual obligations to us, whether under bankruptcy laws or otherwise.</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food and beverage retail industry is strong and presents an ongoing threat to the success of our business.</w:t>
      </w:r>
    </w:p>
    <w:p>
      <w:pPr>
        <w:spacing w:after="0" w:line="256"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juices, energy drinks, ready to drink teas and coffees and other non-100% coconut water based beverages, and many of these products are marketed by companies with substantially greater financial resources than ours. We also compete with a number of natural, organic, and functional food and beverage producers. We and these competing brands and products compete for limited retail, and foodservice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e-commerce customer relationships, marketing investment and effectiveness, pricing competitiveness and product packaging.</w:t>
      </w:r>
    </w:p>
    <w:p>
      <w:pPr>
        <w:spacing w:after="0" w:line="22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 competitive pressures and changes in consumer preferences by introducing new products, reducing prices or increasing promotional activities, among other things. These large competitors may decide not to compete in coconut water but rather to use their retail relationships and category insights to reduce retailer excitement for the category, impacting our visibility and shelf space.</w:t>
      </w:r>
    </w:p>
    <w:p>
      <w:pPr>
        <w:spacing w:after="0" w:line="20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Retailers also market competitive products under their own private labels, which are generally sold at lower prices and compete with our products. Retailers source these products from a range of suppliers under competitive bidding relationships and we compete for this business as a private label supplier. While we seek to enter into strategic partnerships with retailers to capitalize on private label supply opportunities, we cannot guarantee that we will be awarded this private label business in future years or that the business will be profitable. If the quality of competing private label or branded products were to be compromised, that could affect the consumer perceptions of coconut water more generally which could impact our business. Additionally, some of our distributor 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w:t>
      </w:r>
    </w:p>
    <w:p>
      <w:pPr>
        <w:spacing w:after="0" w:line="206"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w:t>
      </w:r>
    </w:p>
    <w:p>
      <w:pPr>
        <w:spacing w:after="0" w:line="21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expect competition in the natural, organic and functional food and beverage industry to continue to increase. We believe that our ability to compete successfully in this market depends upon many factors both within and beyond our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control. If we fail to compete successfully in this market, our business, financial condition, results of operations and cash flows would be materially and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our brands and Company image, our business could suffer.</w:t>
      </w:r>
    </w:p>
    <w:p>
      <w:pPr>
        <w:spacing w:after="0" w:line="24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have developed strong and trusted brands, including our leading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that we believe have contributed significantly to the success of our business, and we believe our continued success depends on our ability to maintain and grow the value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 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growing use of social and digital media by us, our consumers and third parties increases the speed and extent that information or misinformation and opinions can be shared. Negative publicity about us, our brands, our products or our industry on social or digital media could seriously damage our brands and reputation.</w:t>
      </w:r>
    </w:p>
    <w:p>
      <w:pPr>
        <w:spacing w:after="0" w:line="196"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Company image and brands are very important to our vision and growth strategies, particularly as a public benefit corporation, a Certified B Corporation, and with the goal of operating 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is based on perceptions of subjective qualities, and any incident that erodes the loyalty of our consumers, customers, suppliers or manufacturers, including adverse publicity or a governmental investigation or litigation, could significantly reduce the value of our brands and significantly damage our business, which would have a material adverse effect on our business, financial condition, results of operations and cash flows.</w:t>
      </w:r>
    </w:p>
    <w:p>
      <w:pPr>
        <w:spacing w:after="0" w:line="22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introduce new products or successfully improve existing products or adopt new technology or marketing practices effectively, may adversely affect our ability to continue to grow and may cause us to lose market share and sales.</w:t>
      </w:r>
    </w:p>
    <w:p>
      <w:pPr>
        <w:spacing w:after="0" w:line="18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 key element of our growth strategy depends on our ability to develop and market new products, product extensions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and introducing and marketing new products. Failure to develop and market new products that appeal to consumers may lead to a decrease in our growth, sales and profitability. There is no guarantee that each innovation we launch will reach our goals and be successful, and many will require iteration and development to have a chance of success. Discontinuing products that have not reached sufficient scale to be viable long term or where consumer demand is decreasing, may result in decreased sales, disappointed customers, and unexpected costs.</w:t>
      </w:r>
    </w:p>
    <w:p>
      <w:pPr>
        <w:spacing w:after="0" w:line="21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the development and introduction of new products requires research, development and marketing expenditures, which we may be unable to recoup if the new products do not gain widespread market acceptance. For example, a failure to incorporate new technology, like artificial intelligence (“AI”), or marketing practices may reduce our ability to compete and operate efficiently. 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efficiency and quality of new production processes and products before they launch, we may experience uneven product quality and supply, which could negatively impact consumer acceptance of new products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and negatively impact our sales and brand reputation. If we are unsuccessful in meeting our objectives with respect to new or improved products, our business, financial condition, results of operations and cash flow may be adversely affected.</w:t>
      </w:r>
    </w:p>
    <w:p>
      <w:pPr>
        <w:spacing w:after="0" w:line="19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85"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Our business is primarily focused on the development, manufacturing, marketing and distribution of coconut water branded and private label products and other “better-for-you” beverages. Consumer demand for our products and interest in our offerings could change based on a number of possible factors, including changes in consumer preferences, dietary habits, refreshment and nutritional habits, concerns regarding the health effects of ingredients, the usage of single use packaging, the impact of our supply chain on our sourcing communities, shifts in preference for various product attributes or consumer confidence, trends within consumer age groups and perceived value and quality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decreased, our business, financial condition, results of operations and cash flows may be adversely affected.</w:t>
      </w:r>
    </w:p>
    <w:p>
      <w:pPr>
        <w:spacing w:after="0" w:line="20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or global trade disruption may disrupt our business, including, among other things, consumption and trade patterns, and our supply chain and production processes, each of which could materially affect our operations, liquidity, financial condition and results of operations.</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actual or perceived effects of a disease outbreak, epidemic, pandemic or similar widespread public health concern, or global trade disruptions, could negatively affect our business, liquidity, financial condition and results of operations. Any new restrictions related to such matters, such as requiring employees to work remotely, imposing travel restrictions, reducing operating hours, imposing operating restrictions and temporarily closing businesses could have an adverse impact on global economic conditions and impact consumer confidence and spending which might have a material adverse impact on our supply chain, or on some of our customers and could impact the availability and demand for our products and ultimately our financial condition.</w:t>
      </w:r>
    </w:p>
    <w:p>
      <w:pPr>
        <w:spacing w:after="0" w:line="22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Furthermore, given our supply chain is dependent on ocean freight for shipping coconut water from the source countries to the end use markets, we are particularly exposed to ocean freight cost changes, and availability of containers, and to changes or disruptions in global trade.</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could suffer product inventory losses or markdowns and lost revenue in the event of the loss or shutdown of a major manufacturing partner, a local raw materials supplier of a manufacturing partner, or a co-packing partner, due to pandemic conditions in their respective locales. Any interruptions to logistics could impact their ability to operate and ship us product. The potential impact of a pandemic on any of our production or logistics providers could include, but is not limited to, problems with their respective businesses, finances, labor matters (including illness or absenteeism in workforce or closure), ability to import and secure ingredients and packaging, product quality issues, costs, production, insurance and reputation. Any of the foregoing could negatively affect the price and availability of our products and impact our supply chain. If these disruptions continue for an extended period of time, our ability to meet the demand for our products may be materially impacted.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certification for a number of our products.</w:t>
      </w:r>
    </w:p>
    <w:p>
      <w:pPr>
        <w:spacing w:after="0" w:line="243"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our manufacturing partners fail to source certified organic raw materials from local raw material suppliers. In addition, all raw materials must be certified organic. The loss of any independent certifications could adversely affect our market position as an organic and natural products company, which could harm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make acquisitions and successfully integrate newly acquired products or businesses.</w:t>
      </w:r>
    </w:p>
    <w:p>
      <w:pPr>
        <w:spacing w:after="0" w:line="25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have in the past pursued and may in the future consider opportunities to acquire other products or businesses that may strategically complement our portfolio of brands and expand the breadth of our markets or customer base. We may be unable to identify suitable targets, opportunistic or otherwise, for acquisition in the future at acceptable terms or at all. In addition, exploring acquisition opportunities may divert management attention from the core business and organic</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pricing and terms. Historical instability in the financial markets indicates that obtaining future financing to fund acquisitions may present significant challenges and could also create dilution to shareholders among other potential impacts.</w:t>
      </w:r>
    </w:p>
    <w:p>
      <w:pPr>
        <w:spacing w:after="0" w:line="222"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The success of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w:t>
      </w:r>
    </w:p>
    <w:p>
      <w:pPr>
        <w:spacing w:after="0" w:line="21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Further, the future acquisition of a product or business may cause us to deviate from our historically fixed-asset lite business model if we were to acquire production capabilities and facilities in connection therewith, and as a result could increase our costs of operation.</w:t>
      </w:r>
    </w:p>
    <w:p>
      <w:pPr>
        <w:spacing w:after="0" w:line="1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do not know if we will be able to identify acquisitions we deem suitable, whether we will be able to successfully complete any such</w:t>
      </w:r>
    </w:p>
    <w:p>
      <w:pPr>
        <w:spacing w:after="0" w:line="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acquisitions on favorable terms or at all, or whether we will be able to successfully integrate or realize the anticipated benefits of any acquired products or businesses. Additionally, an additional risk inherent in any acquisition is that we fail to realize a positive return on our investment.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and operations.</w:t>
      </w:r>
    </w:p>
    <w:p>
      <w:pPr>
        <w:spacing w:after="0" w:line="24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cream and other raw materials that are necessary for our current or any future products. Such climate changes may also require us to find manufacturing partners in new geographic areas if the location for best production of coconuts changes, which will require changes to our supply network and investing time and resources with new manufacturing partners, thereby potentially increasing our costs of production. In addition, there is no guarantee that we will be able to maintain the quality and taste of our products as we transition to sourcing coconuts in new geographic areas. Increasing frequency and severity of extreme weather and natural disasters could result in unusual weather patterns, which could affect the supply and demand for our products and lead to negative effects on our business, financial condition, results of operations and cash flow.</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Additionally, the increasing concern over climate change may also result in more federal, state, local and foreign legal requirements to reduce or mitigate the effects of greenhouse gases or to reduce packaging and improve recyclability. If such laws are enacted, we may experience significant increases in our costs of operations and delivery, which in turn may negatively affect our business, financial condition, results of operations and cash flows, and may incur increased liability for the accuracy of any public disclosures.</w:t>
      </w:r>
    </w:p>
    <w:p>
      <w:pPr>
        <w:spacing w:after="0" w:line="2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and key personnel, or to maintain and evolve our culture may adversely affect our operations or our ability to grow successfully.</w:t>
      </w:r>
    </w:p>
    <w:p>
      <w:pPr>
        <w:spacing w:after="0" w:line="185"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 distributors, customers and consumers. In particular, we are dependent on our co-founder, Michael Kirban, for leadership, culture, strategy, key customer and supplier relationships and other skills and capabilities. The loss of the services of the co-founder, or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co-founder or senior executives.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train and retain a diverse workforce who understand and appreciate our culture and can represent our brand effectively and establish credibility with our business partners and consumers. Pressures in the labor market for talent and wage inflation have been increasing and could increase our future costs of hiring or retaining our employees, and thus impact our profitability. If we are unable to hire and retain employees capable of meeting our business needs, and creating the culture and capability that we desire, our business and brand image may be impaired, including not meeting our B Corp expectations nor our public benefit corporation mission.</w:t>
      </w:r>
    </w:p>
    <w:p>
      <w:pPr>
        <w:spacing w:after="0" w:line="2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and manufacturing partners, or the local farmers or other suppliers from which our manufacturing partners source the raw materials, do not comply with ethical business practices or with applicable laws and regulations, our reputation, business, and results of operations may be harmed.</w:t>
      </w:r>
    </w:p>
    <w:p>
      <w:pPr>
        <w:spacing w:after="0" w:line="216"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Our reputation and our consumers’ willingness to purchase our products depend in part on the compliance of our suppliers, manufacturers, distributors, and retailer partners, as well as the local farmers or other suppliers from which our 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 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our business subjects us to additional risks.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business. These risks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32" w:lineRule="exact"/>
        <w:rPr>
          <w:sz w:val="20"/>
          <w:szCs w:val="20"/>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difficulties, such as legal, regulatory, personnel, technological, and consumer preference variation risks, as we operate in countries where we have limited experience or presence, or expand our operations into countries in which we have no prior operating history;</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tariffs, quotas, trade barriers or other export or import restrictions, including navigating the changing relationships between countries such as the United States and China and between the United Kingdom and the European Union;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variation in currency exchange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international market and economic conditions and uncertainty;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environmental, health-related or social uncertainty and volatility;</w:t>
      </w:r>
    </w:p>
    <w:p>
      <w:pPr>
        <w:spacing w:after="0" w:line="252" w:lineRule="exact"/>
        <w:rPr>
          <w:rFonts w:ascii="Times New Roman" w:cs="Times New Roman" w:eastAsia="Times New Roman" w:hAnsi="Times New Roman"/>
          <w:sz w:val="18"/>
          <w:szCs w:val="18"/>
          <w:color w:val="auto"/>
        </w:rPr>
      </w:pPr>
    </w:p>
    <w:p>
      <w:pPr>
        <w:ind w:left="660" w:right="560" w:hanging="328"/>
        <w:spacing w:after="0" w:line="27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penalties, litigation and reputational risk related to violations of a wide variety of laws, treaties and regulations, including food and beverage regulations, anti-corruption regulations (including, but not limited to, the U.S. Foreign Corrupt Practices Act (“FCPA”), and the U.K. Bribery Act) and data privacy laws and regulations (including the EU’s General Data Protection Regulation);</w:t>
      </w:r>
    </w:p>
    <w:p>
      <w:pPr>
        <w:spacing w:after="0" w:line="1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differing labor and employment laws and standards;</w:t>
      </w:r>
    </w:p>
    <w:p>
      <w:pPr>
        <w:spacing w:after="0" w:line="238"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regulations across international markets, including new regulations that could impact requirements applicable to our products and the regulatory impacts on a globally integrated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0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varying trademark laws and regulations, or difficulties with international intellectual property protection and problems created by counterfeiting;</w:t>
      </w:r>
    </w:p>
    <w:p>
      <w:pPr>
        <w:spacing w:after="0" w:line="202"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default in payment by our international customers and/or import partners and the potential inability to recoup damages from such defaults, as well as subsequent termination of existing importation agreements;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diverse regions and employee bases;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monitoring and managing compliance with a broad array of international laws related to data privacy and data protection, as well as cross-border transfers of personal data;</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 and meeting different data security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cost and pricing pressures;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supply chain and shipping logistical challenges;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sustainability and corporate social responsibility.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business faces increasing scrutiny related to environmental, social and governance issues, including sustainable development, product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renewable resources, environmental 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There has been increasing public focus by investors, customers environmental activists, the media and governmental and nongovernmental organizations on a variety of environmental, social and other sustainability matters. Our efforts to ensure we meet these standards rely on our leadership, contracts, internal and third-party audits and on continued monitoring of potential risks and solutions. We may experience increased costs in order to execute upon our sustainability goals and measure achievement of those goals, which could have an adverse impact on our business and financial condition. Additionally, if we fail to meet applicable standards or expectations with respect to these issues across any of our products and in any of our operations and activities or those of our third party partners, such as manufacturers and co-packer, our reputation and brand image could be damaged, and our business, financial condition, results of operations and cash flows could be adversely impacted.</w:t>
      </w:r>
    </w:p>
    <w:p>
      <w:pPr>
        <w:spacing w:after="0" w:line="23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Further, we have developed a strong corporate reputation over the years for our focus on responsible sourcing and support of our supplier communities. We seek to conduct our business in an 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or implemented. If we are unable to meet our sustainability, and environmental, social and governance goals, this could have a material adverse effect on our reputation and brand and negatively impact our relationship with our employees, customers, consumers and investors.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incidents or other safety concerns may materially adversely affect our business by exposing us to lawsuits, product recalls or regulatory enforcement actions, increasing our operating costs and reducing demand for our product offerings.</w:t>
      </w:r>
    </w:p>
    <w:p>
      <w:pPr>
        <w:spacing w:after="0" w:line="18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Selling food and beverages for human consumption involves inherent legal and other risks, and there is increasing governmental scrutiny of and public awareness regarding food safety. Unexpected side effects, illness, injury or death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related to allergens, food-borne illnesses or other food safety incidents caused by products we sell or involving our suppliers or manufacturers, could result in the discontinuance of sales of these products or cessation of our relationships 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 actions, could compel us, our manufacturing and co-packing partners, our distributors or our retail customers, depending on the circumstances, to conduct a recall in accordance with the FDA, regulations and comparable foreign laws and regulations, as well as other regulations and laws in the other jurisdictions in which we operate.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affect a recall quickly and effectively, or manage the consumer and retailer communication in a way that mitigates concerns, might create adverse effects on our business and reputation, including large recall and disposal costs and significant loss of revenue.</w:t>
      </w:r>
    </w:p>
    <w:p>
      <w:pPr>
        <w:spacing w:after="0" w:line="23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food and beverage companies have been subject to targeted, large-scale tampering as well as to opportunistic, individual product tampering, and we, like any beverage company,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 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w:t>
      </w:r>
    </w:p>
    <w:p>
      <w:pPr>
        <w:spacing w:after="0" w:line="291"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state and government regulation and oversight both in the United States and abroad, and our failure to comply with applicable requirements, or to respond to changes in regulations applicable to our business could adversely affect our business, financial condition, results of operations and cash flows.</w:t>
      </w:r>
    </w:p>
    <w:p>
      <w:pPr>
        <w:spacing w:after="0" w:line="21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manufacturing,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 sale, quality and safety of our products, as well as the health and safety of employees and the protection of the environment.</w:t>
      </w:r>
    </w:p>
    <w:p>
      <w:pPr>
        <w:spacing w:after="0" w:line="20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products and operations and those of our manufacturing and co-packing partners are subject to oversight by multiple U.S. and international regulatory agencies including the USDA, the FDA, the FTC, the Environmental Protection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Agency (“EPA”), the European Commission and the U.K.’s Food Standards Agency, Health and Safety Executive, Environment Agency, Environmental Health Officers and Trading Standards Officers and the Singapore Food Agency, among others. These agencies regulate, among other things, with respect to our products and operations:</w:t>
      </w:r>
    </w:p>
    <w:p>
      <w:pPr>
        <w:spacing w:after="0" w:line="19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corrective actions;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5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the United States, for example,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(“cGMP”), and supplier 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 they may be subject to adverse inspectional findings or enforcement actions, which could materially impact our ability to market our products, could result in our manufacturing or co-packing partners’ inability to continue manufacturing for us or could result in a recall of our product that has already been distributed. In addition, we rely upon these parties to maintain adequate quality control, quality assurance and qualified personnel.</w:t>
      </w:r>
    </w:p>
    <w:p>
      <w:pPr>
        <w:spacing w:after="0" w:line="21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Furthermore, there are an increasing number of state and local regulations in the United States related to, among other things, beverage packaging, labeling requirements, container deposits, recycling, or beverage taxes. We anticipate more states to adopt similar legislation or regulations, requiring us to continuously monitor various state laws to ensure compliance. Any failure to comply with these laws or regulations correctly could result in a temporary halt in distribution of our products and other costs, affecting our business and profitability.</w:t>
      </w:r>
    </w:p>
    <w:p>
      <w:pPr>
        <w:spacing w:after="0" w:line="21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revenue, resulting in a material effect on our business, financial condition, results of operations and cash flows. The regulations to which we are subject are complex and continuously changing,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w:t>
      </w:r>
    </w:p>
    <w:p>
      <w:pPr>
        <w:spacing w:after="0" w:line="19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21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USDA each have issued statements and adopted policies regarding the appropriate use of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20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spacing w:after="0" w:line="21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spacing w:after="0" w:line="213"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 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w:t>
      </w:r>
    </w:p>
    <w:p>
      <w:pPr>
        <w:spacing w:after="0" w:line="206"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loss of confidence on the part of consumers in the truthfulness of our labeling, advertising or ingredient claims would be difficult and costly to overcome and may significantly reduce our brand value. In addition, packaging has to be suitable to distributor and retail handling and scanning, and any failures of the packaging to meet these expectations could cause recall or product destruction. Any of these events could adversely affect our brands, increase our costs, and decrease our sales, which could have an adverse effect on our business, financial condition, results of operations and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foreign anti-corruption, sanctions and trade laws create the potential for significant liabilities and penalties and reputational harm.</w:t>
      </w:r>
    </w:p>
    <w:p>
      <w:pPr>
        <w:spacing w:after="0" w:line="22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As of December 31, 2023, we derived 13% of our net sales from our International segment. In addition, we source all of our coconut water internationally. As such, we are subject to a number of laws and regulations governing payments and contributions to political persons or other third parties, including restrictions imposed by the FCPA, as well as economic sanctions, customs and export control laws, including those administered by the U.S. Department of the Treasury's Office of Foreign Assets Control (“OFAC”), U.S. Customs and Border Protection (“CBP”), the U.S. Department of Commerce and the U.S. 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United States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among other governmental authorities, administer and enforce various customs and export control laws and regulations, as well as economic and trade sanctions based on U.S. foreign policy and national security goals that target certain countries, regions, governments, businesses and individuals. These laws and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relate to a number of aspects of our business, including but not limited to the activities of our suppliers, distributors and other partners.</w:t>
      </w:r>
    </w:p>
    <w:p>
      <w:pPr>
        <w:spacing w:after="0" w:line="23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or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we acquire. Despite our compliance efforts and activities we cannot assure compliance by our employees or representatives for which we may be held responsible.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25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w:t>
      </w:r>
    </w:p>
    <w:p>
      <w:pPr>
        <w:spacing w:after="0" w:line="222"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potentially prevent us from selling or manufacturing our products, which would make it more difficult to compete effectively or to obtain adequate insurance in the future.</w:t>
      </w:r>
    </w:p>
    <w:p>
      <w:pPr>
        <w:spacing w:after="0" w:line="222"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and Intellectual Property</w:t>
      </w:r>
    </w:p>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financial condition, results of operations and cash flows.</w:t>
      </w:r>
    </w:p>
    <w:p>
      <w:pPr>
        <w:spacing w:after="0" w:line="205"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We use information technology systems, infrastructure and data in substantially all aspects of our business operations. Our ability to effectively manage our business and coordinate the manufacturing, sourcing, distribution and sale of our products depends significantly on the reliability and capacity of these systems. We are critically dependent on the integrity, security and 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22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under, “If we encounter problems or interruptions with our supply chain, our costs may increase and our or our customers’ ability to deliver our products to market could be adversely affected, impacting our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business and profitability,” our systems and those of our third party vendors, service providers, and business partners may be subject to damage or interruption from power outages or damages,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third party vendors and business partners may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227"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Further, our systems and those of our third-party vendors, service providers, and business partners may be vulnerable to, and have experienced attempted security incidents, attacks by hackers (including ransomware attacks, phishing attacks and other third-party intrusions), acts of vandalism, computer viruses, misplaced or lost data, human errors or other similar events. If unauthorized parties gain access to our networks or databases, or those of our third-party vendors or business partners, they may be able to commit financial fraud, publish, delete, use inappropriately or modify our private and sensitive third-party information, including credit card information and other personally identifiable personal information. In addition, employees may intentionally or inadvertently cause data or security incidents that result in unauthorized payments, release of personally identifiable or confidential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21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Security incidents compromising the confidentiality, integrity, and availability of our sensitive information and our systems and those of our third party vendors and business partners could result from cyber-attacks, computer malware, viruses, social engineering (including spear phishing and ransomware attacks), supply chain attacks, efforts by individuals or groups of hackers and sophisticated organizations, including state-sponsored organizations, errors or malfeasance of our personnel, including human error and bad actors, and security vulnerabilities in the software or systems on which we, or our third party vendors or business partners, rely. Cybercrime and hacking techniques are constantly evolving. We and/or our third-party vendors, service providers, and/or business partners may be unable to stop all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 such incidents may occur in the future, and could result in unauthorized, unlawful, or inappropriate access to, inability to access, disclosure of, or loss of the sensitive, proprietary and confidential information (including personal information) that we collect, receive, and process.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 As we rely on a number of our third party vendors and business partners, we are exposed to certain security risks outside of our direct control resulting from our engagements with these parties, and our ability to directly monitor these third-party vendors’ and business partners’ data security is limited. While we take care to vet our vendors and business partners and contract with them to require levels of data security and best practices, and employ a number of security measures designed to prevent, detect, and mitigate potential for harm to our users and our systems from the theft of or misuse of user credentials on our network, these measures may not be effective in every instance. Moreover, we or our third-party vendors or business partners may be more vulnerable to such attacks in remote work environments, which have increased in recent years. Additionally, while we maintain cyber insurance that may help provide coverage for these types of incidents, we cannot assure ensure that our insurance will be adequate to cover costs and liabilities related to an incident. Recently, we have experienced spoofing and social engineering incidents and have taken measures such as third-party forensic consultant reviews to ensure that no compromises of our systems have occurred and to mitigate risks of future harm.</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data security breach, attack, virus or other incident could result in additional financial losses, costly investigations and litigation exceeding applicable insurance coverage or contractual rights available to us, civil or criminal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penalties, operational changes or other response measures, loss of consumer confidence in our security measures, and negative publicity that could adversely affect our business, reputation, financial condition, results of operations and cash flows. Furthermore, regulations and expectations for timely disclosing any cyber security events are evolving, and there are additional risks that in our response to such events, and in our disclosure, we will not meet the appropriate requirements, creating regulatory and litigation risks.</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if any such event resulted in access, disclosure or other loss or unauthorized use of information or data, such as customers’ and suppliers’ information, private information about employees and financial and strategic information about us and our business partners, whether actual or perceived, it could result in legal claims or proceedings, regulatory investigations or actions, and other types of liability under laws that protect the privacy and security of personal information, including federal, state and foreign data protection and privacy laws and regulations, violations of which could result in significant penalties, fines, costs and litigation. The cost of investigating, mitigating and responding to potential security breaches and complying with applicable breach notification obligations to individuals, regulators, partners and others can be significant and the risk of legal claims in the event of a security breach is increasing. For example, certain of the recently enacted state and international comprehensive privacy laws create a private right of action for certain data breaches and for non-compliance.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 requirements, could adversely affect our reputation, business, financial condition, results of operations and cash flows. Any material disruption or slowdown of our systems or those of our third-party vendors or business partners, could have a material adverse effect on our business, financial condition, results of operations and cash flows. Our risks are likely to increase as we continue to expand, grow our customer base, and process, store, and transmit increasing amounts of proprietary and sensitive data. In addition, although we seek to detect and investigate all data security incidents, security breaches and other incidents of unauthorized access to our information technology systems, it can be difficult to detect and determine the scope and impact of data security incidents. Any delay in identifying such breaches or incidents may lead to increased harm and legal exposure of the type described above.</w:t>
      </w:r>
    </w:p>
    <w:p>
      <w:pPr>
        <w:spacing w:after="0" w:line="288"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and increases our compliance costs and litigation risks.</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may collect, maintain, and otherwise process personal information and other data relating to our employees and customers. Additionally, we sell products directly to consumers from our website and rely on a variety of marketing techniques, including email and social media marketing, and we are subject to various laws and regulations that govern such selling, marketing and advertising practices. We are subject to numerous state, federal and international laws, rules and regulations that govern the collection, use and protection of personal information.</w:t>
      </w:r>
    </w:p>
    <w:p>
      <w:pPr>
        <w:spacing w:after="0" w:line="204"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the United Kingdom’s transposition of GDPR into its domestic laws , which took effect September 2021, the California Privacy Rights Act (“CPRA”), which took effect January 1, 2023 and expands the California Consumer Privacy Act (“CCPA”) of 2020, Virginia’s Consumer Data Protection Act, which also took effect January 1, 2023, and similar comprehensive privacy laws adopted in other states and jurisdictions including Colorado, Connecticut, and Utah. We anticipate that federal, state and international regulators will continue to enact new legislation related to privacy and cybersecurity. These laws may impose restrictions on our ability to gather and utilize personal information, provide individuals with additional rights around their personal information, and place downstream obligations on our vendors and business partners relating to their use of personal information we provide to them for processing.</w:t>
      </w:r>
    </w:p>
    <w:p>
      <w:pPr>
        <w:spacing w:after="0" w:line="228"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Our actual or alleged failure to comply with applicable privacy or data security laws, regulations, and policies, or to protect personal information, could result in enforcement actions and significant penalties against us, which could result in negative publicity or costs, subject us to claims or other remedies, and have a material adverse effect on our business, financial condition, and results of operations. Further, these laws may require us to take on more onerous obligations in our contracts, add new provisions in data processing agreements ("DPAs") related to the processing of personal information, restrict our ability to store, transfer and process personal information or, in some cases, impact our ability to reach current and prospective customers, or to derive insights from data globally. Cross-border data transfers and the use of data transfer mechanisms now involve additional compliance steps and in the event any court blocks personal information transfers to or from a particular jurisdiction on the basis that certain or all such transfer mechanisms are not legally adequate, this could give rise to operational interruption in the performance of services for customers and internal processing of employee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greater costs to implement alternative data transfer mechanisms that are still permitted, regulatory liabilities, or reputational harm.</w:t>
      </w:r>
    </w:p>
    <w:p>
      <w:pPr>
        <w:spacing w:after="0" w:line="23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CAN-SPAM Act, establishes specific requirements for commercial email messages in the United States. Governmental authorities, including in the European Union and the United Kingdom,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 Furthermore, the uncertain and shifting regulatory environment and trust climate may prompt individuals to opt out of our collection of their personal information. Concern regarding our use of the personal information collected on our websites or via our marketing activities could impact sales of product. Additionally, certain new privacy laws require opt-ins rather than opt-outs for certain personal information, which could reduce some of the data we have historically been able to collect. Even the perception that the privacy of personal information is not satisfactorily protected or does not meet regulatory requirements could discourage prospective customers from purchasing our products.</w:t>
      </w:r>
    </w:p>
    <w:p>
      <w:pPr>
        <w:spacing w:after="0" w:line="230"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Industry-wide incidents or incidents with respect to our websites, including changes in industry standards, regulations, or laws, could deter people from using the internet or our websites to conduct transactions that involve the transmission of personal information, which could harm our business. We also receive data from third-party vendors (e.g., data brokers).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adequately, which may harm the value of our brands.</w:t>
      </w:r>
    </w:p>
    <w:p>
      <w:pPr>
        <w:spacing w:after="0" w:line="25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 jurisdictions in which we have not yet obtained trademark protection, thereby impeding our ability to build brand identity and possibly leading to market confusion.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 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21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w:t>
      </w:r>
    </w:p>
    <w:p>
      <w:pPr>
        <w:spacing w:after="0" w:line="196"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 maintaining them as trade secrets rather than publicly filing for formal intellectual property registrations such as patents and copyrights.</w:t>
      </w:r>
    </w:p>
    <w:p>
      <w:pPr>
        <w:spacing w:after="0" w:line="22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 our suppliers (manufacturing, co-packing, ingredient and packaging partners). As a result, we may not be able to prevent others from developing or using similar formulations.</w:t>
      </w:r>
    </w:p>
    <w:p>
      <w:pPr>
        <w:spacing w:after="0" w:line="20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 Litigation may be necessary in the future to enforce our intellectual property rights, including to protect our trademarks and trade secrets. We cannot assure you that we will have adequate resources to enforce our intellectual property rights, as such enforcement and potential litigation can be costly, time-consuming, and distracting to the Company’s operations. Any such litigation could result in the impairment or loss of portions of our intellectual property, as our efforts to enforce our intellectual property rights may be met with defenses, counterclaims, and countersuits attacking the ownership, scope, validity and enforceability of our intellectual property rights.</w:t>
      </w:r>
    </w:p>
    <w:p>
      <w:pPr>
        <w:spacing w:after="0" w:line="2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also face the risk of claims that we have infringed third parties’ intellectual property rights. If a third party asserts a claim that our offerings infringe, misappropriate or violate their rights, resulting litigation could be expensive and could divert management attention and resources away from our core business operations. Any claims of trademark or intellectual property infringement, even those without merit, could:</w:t>
      </w:r>
    </w:p>
    <w:p>
      <w:pPr>
        <w:spacing w:after="0" w:line="19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w:t>
      </w:r>
    </w:p>
    <w:p>
      <w:pPr>
        <w:spacing w:after="0" w:line="25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products that incorporate the challenged intellectual property, which in turn could harm relationships with customers and distributors and might result in damages;</w:t>
      </w:r>
    </w:p>
    <w:p>
      <w:pPr>
        <w:spacing w:after="0" w:line="18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or packaging, if feasible, and might result in large inventory write-offs of unsaleable or unusable materials; and</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in order to obtain the right to use a third party’s intellectual property which might affect our margins and ability to compete.</w:t>
      </w:r>
    </w:p>
    <w:p>
      <w:pPr>
        <w:spacing w:after="0" w:line="20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 and harm our future prospects.</w:t>
      </w:r>
    </w:p>
    <w:p>
      <w:pPr>
        <w:spacing w:after="0" w:line="20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Risks Related to the Ability to Finance our Business and Our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which may not be available when needed or may be costly and dilutive.</w:t>
      </w:r>
    </w:p>
    <w:p>
      <w:pPr>
        <w:spacing w:after="0" w:line="22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require additional financing to support the growth of our business, to acquire new businesses,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 complexity and characteristics of additional products or future manufacturing processes we require to serve new or existing markets, any proposed acquisitions and cost increases related to the integration of acquired products or businesses, any material or significant product recalls, any failure or disruption with our manufacturing and co-packing partners as well as our third 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future debt service obligations, which would adversely affect our financial condition and results of operations.</w:t>
      </w:r>
    </w:p>
    <w:p>
      <w:pPr>
        <w:spacing w:after="0" w:line="19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May 2020, we entered into a five-year credit facility ("2020 Credit Facility") with Wells Fargo Bank, National Association consisting of a revolving line of credit, which currently provides for committed borrowings of $60 million. As of December 31, 2023, we have no outstanding debt under our 2020 Credit Facility. Our ability to make principal and interest payments on and to refinance any indebtedness we incur in the future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future debt obligations,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98" w:lineRule="exact"/>
        <w:rPr>
          <w:sz w:val="20"/>
          <w:szCs w:val="20"/>
          <w:color w:val="auto"/>
        </w:rPr>
      </w:pPr>
    </w:p>
    <w:p>
      <w:pPr>
        <w:ind w:right="7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current and future indebtedness may contain restrictive covenants and our failure to comply with any of these covenants could put us in default, which would have an adverse effect on our business and prospects.</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2020 Credit Facility imposes certain terms and restrictive covenants of these borrowings and the terms of any future indebtedness will likely impose similar restrictions. The 2020 Credit Facility contains, and agreements governing any future indebtedness may contain, a number of covenants which put some limits on our ability to, among other things:</w:t>
      </w:r>
    </w:p>
    <w:p>
      <w:pPr>
        <w:spacing w:after="0" w:line="19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dispose of assets;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dividends and distributions on, or repurchases of, equity;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advances or investments, or give guarantees;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00" w:lineRule="exact"/>
        <w:rPr>
          <w:sz w:val="20"/>
          <w:szCs w:val="20"/>
          <w:color w:val="auto"/>
        </w:rPr>
      </w:pPr>
    </w:p>
    <w:p>
      <w:pPr>
        <w:spacing w:after="0" w:line="282"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The 2020 Credit Facility also requires us to maintain a specified total leverage ratio, fixed charge coverage ratio and asset coverage ratio and our ability to meet these financial ratios may be affected by events beyond our control, and we may not satisfy such a test. A breach of the covenants in the 2020 Credit Facility or any agreements governing future debt obligations could result in a 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are accelerated because of a default and we are unable to pay such amounts, our lenders may have the right to assume control of substantially all of the assets securing the indebtedness.</w:t>
      </w:r>
    </w:p>
    <w:p>
      <w:pPr>
        <w:spacing w:after="0" w:line="20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changes to interest rates could affect the value of any investments and interest income thereof, or could significantly change the cost of any borrowing.</w:t>
      </w:r>
    </w:p>
    <w:p>
      <w:pPr>
        <w:spacing w:after="0" w:line="17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Borrowings under the 2020 Credit Facility accrue interest at variable rates and expose us to interest rate risk. Interest rates may fluctuate in the future. Although we have explored in the past various hedging strategies, we do not currently hedge our interest rate exposure under the 2020 Credit Facility. As a result, interest rates under the agreement or other variable rate debt obligations could be higher or lower than current levels. If interest rates increase, our debt service obligations on any future variable rate indebtedness could be significant.</w:t>
      </w:r>
    </w:p>
    <w:p>
      <w:pPr>
        <w:spacing w:after="0" w:line="20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generally operate with a small target cash balance, and when that level is exceeded, we invest any excess in interest generating investments with generally short maturities consistent with our projected cash business needs. Any</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change in interest rates could affect the income from our cash equivalent balance and such investments, and might impact the market value of such holdings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9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among our existing executive officers, directors and principal shareholders may prevent new investors from influencing significant corporate decisions.</w:t>
      </w:r>
    </w:p>
    <w:p>
      <w:pPr>
        <w:spacing w:after="0" w:line="21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Based upon our shares of common stock outstanding as of December 31, 2023, our executive officers, directors and shareholders who own more than 5% of our outstanding share capital, in the aggregate, beneficially own over 30% of our outstanding shares of common stock. These shareholders, acting together, are able to significantly influence all matters requiring shareholder approval, including the election and removal of directors and approval of any merger, consolidation or sale of all or substantially all of our assets.</w:t>
      </w:r>
    </w:p>
    <w:p>
      <w:pPr>
        <w:spacing w:after="0" w:line="20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of our shareholders have entered into a shareholders’ agreement to support each other’s director nominees. For so long as such agreement remains, the remaining shareholders may be prevented from having an influence on the board.</w:t>
      </w:r>
    </w:p>
    <w:p>
      <w:pPr>
        <w:spacing w:after="0" w:line="20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shareholders purchased their shares at prices substantially below the current market price and have held their shares for a long period, they may be more interested in selling our Company to an acquirer than other investors, or they may want us to pursue strategies that deviate from the interests of other shareholders.</w:t>
      </w:r>
    </w:p>
    <w:p>
      <w:pPr>
        <w:spacing w:after="0" w:line="21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Furthermore, 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45"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an “emerging growth company” within the meaning of the Securities Act and are required to comply with the auditor attestation requirements of Section 404 of the Sarbanes-Oxley Act.</w:t>
      </w:r>
    </w:p>
    <w:p>
      <w:pPr>
        <w:spacing w:after="0" w:line="185"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previously qualified as an “emerging growth company” as defined in Section 2(a) of the Securities Act, as amended, and elected to take advantage of certain exemptions and relief from various reporting requirements that applied to public companies that are not “emerging growth companies.” As of December 31, 2023, the Company was deemed a large accelerated filer and can no longer take advantage of the exemptions available to “emerging growth companies.” As a large accelerated filer, our independent registered public accounting firm must provide an attestation report on our system of internal control over financial reporting in this Annual Report on Form 10-K, and going forward, if we or our independent registered public accounting firm fails to assert our effectiveness in our internal control over financial reporting, investors may lose confidence in the accuracy and completeness of our financial reports. This may lead to restricted access to the capital markets or other sources of funds, and our stock price may be adversely affected.</w:t>
      </w:r>
    </w:p>
    <w:p>
      <w:pPr>
        <w:spacing w:after="0" w:line="22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Consequently, any gains from an investment in our common stock will likely depend on whether the price of our common stock increases.</w:t>
      </w:r>
    </w:p>
    <w:p>
      <w:pPr>
        <w:spacing w:after="0" w:line="18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arrangements of indebtedness restrict our ability to pay dividends under certain circumstances,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w:t>
      </w:r>
    </w:p>
    <w:p>
      <w:pPr>
        <w:spacing w:after="0" w:line="200"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18"/>
          <w:szCs w:val="18"/>
          <w:color w:val="auto"/>
        </w:rPr>
        <w:t>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9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forum for certain litigation against us is restricted to Delaware or the federal courts, as applicable;</w:t>
      </w:r>
    </w:p>
    <w:p>
      <w:pPr>
        <w:spacing w:after="0" w:line="23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9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our stockholders;</w:t>
      </w:r>
    </w:p>
    <w:p>
      <w:pPr>
        <w:spacing w:after="0" w:line="238" w:lineRule="exact"/>
        <w:rPr>
          <w:rFonts w:ascii="Times New Roman" w:cs="Times New Roman" w:eastAsia="Times New Roman" w:hAnsi="Times New Roman"/>
          <w:sz w:val="18"/>
          <w:szCs w:val="18"/>
          <w:color w:val="auto"/>
        </w:rPr>
      </w:pPr>
    </w:p>
    <w:p>
      <w:pPr>
        <w:ind w:left="660" w:right="36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stockholders may be called only by the chair of the board of directors, a chief executive officer, or the board of directors, which may delay the ability of our stockholders to force consideration of a proposal or to take action, including the removal of directors;</w:t>
      </w:r>
    </w:p>
    <w:p>
      <w:pPr>
        <w:spacing w:after="0" w:line="153" w:lineRule="exact"/>
        <w:rPr>
          <w:rFonts w:ascii="Times New Roman" w:cs="Times New Roman" w:eastAsia="Times New Roman" w:hAnsi="Times New Roman"/>
          <w:sz w:val="17"/>
          <w:szCs w:val="17"/>
          <w:color w:val="auto"/>
        </w:rPr>
      </w:pPr>
    </w:p>
    <w:p>
      <w:pPr>
        <w:ind w:left="660" w:right="1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our bylaws without obtaining stockholder approval;</w:t>
      </w:r>
    </w:p>
    <w:p>
      <w:pPr>
        <w:spacing w:after="0" w:line="238"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96"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9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20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 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w:t>
      </w:r>
    </w:p>
    <w:p>
      <w:pPr>
        <w:spacing w:after="0" w:line="2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(1) any derivative action or proceeding brought on behalf of the Company, (2) any action asserting a claim of breach of a fiduciary duty owed by any current or former director, officer, other employee or stockholder of the Company to the Company or the Company’s stockholders, (3)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of Chancery of the State of Delaware or (4)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22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may adversely affect our business and financial condition.</w:t>
      </w:r>
    </w:p>
    <w:p>
      <w:pPr>
        <w:spacing w:after="0" w:line="25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There could be significant changes in tax laws and regulations that could result in additional federal income taxes being imposed on us or changes to taxes in other jurisdictions. Any adverse developments in these laws or regulations, including legislative changes, judicial holdings or administrative interpretations, could have a material and adverse effect on our business, financial condition, results of operations and cash flows. Changes in tax rates or exposure to additional tax liabilities or assessments could affect our profitability, and audits by tax authorities could result in additional tax payments.</w:t>
      </w:r>
    </w:p>
    <w:p>
      <w:pPr>
        <w:spacing w:after="0" w:line="200"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w:t>
      </w:r>
    </w:p>
    <w:p>
      <w:pPr>
        <w:spacing w:after="0" w:line="17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Risks Related to Our Existence as a Public Benefit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as a Delaware public benefit corporation, and we cannot provide any assurance that we will achieve our public benefit purpose.</w:t>
      </w:r>
    </w:p>
    <w:p>
      <w:pPr>
        <w:spacing w:after="0" w:line="24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As a public benefit corporation, we are required to produce a public benefit or benefits and to operate in a responsible and sustainable manner, balancing our stockholders’ pecuniary interests, the best interests of those materially affected by our conduct, and the public benefit or benefits identified by our amended and restated certificate of incorporation. There is no assurance that 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As a public benefit corporation, we are required to publicly disclose a report at least biennially on our overall public benefit performance and on our assessment of our success in achieving our specific public benefit purpose. If we are unable to provide the report, if we are unable to provide the report in a timely manner, or if the report is not viewed favorably by parties doing business with us or regulators or others reviewing our credentials, our reputation and status as a public benefit corporation may be harmed and we could be subject to derivative litigation</w:t>
      </w:r>
      <w:r>
        <w:rPr>
          <w:rFonts w:ascii="Times New Roman" w:cs="Times New Roman" w:eastAsia="Times New Roman" w:hAnsi="Times New Roman"/>
          <w:sz w:val="18"/>
          <w:szCs w:val="18"/>
          <w:b w:val="1"/>
          <w:bCs w:val="1"/>
          <w:i w:val="1"/>
          <w:iCs w:val="1"/>
          <w:color w:val="auto"/>
        </w:rPr>
        <w:t>.</w:t>
      </w:r>
    </w:p>
    <w:p>
      <w:pPr>
        <w:spacing w:after="0" w:line="2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a Delaware public benefit corporation, our focus on a specific public benefit purpose and producing positive effect for society may negatively impact our financial performance or increase legal risk.</w:t>
      </w:r>
    </w:p>
    <w:p>
      <w:pPr>
        <w:spacing w:after="0" w:line="18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 actions do not maximize our financial results. While we intend for this public benefit designation and obligation to provide an overall net benefit to us, our stockholders and our customers, it could instead cause us to make decisions and take actions without seeking to maximize the income generated from our business.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w:t>
      </w:r>
    </w:p>
    <w:p>
      <w:pPr>
        <w:spacing w:after="0" w:line="21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 contain the identical provisions identifying the public benefit or public benefits,” unless the transaction receives approval from two-thirds of the target public benefit corporation’s outstanding voting shares. Additionally, public benefit corporations may also not be attractive targets for activists or hedge fund investors because new directors would still have to consider and give appropriate weight to the public benefit along with shareholder value, and shareholders committed to the public benefit can enforce this through derivative suits. Further, by requiring that boards of directors of public benefit corporations consider additional constituencies other than maximizing shareholder value, Delaware public benefit corporation law could potentially make it easier for a board to reject a hostile bid, even where the takeover would provide the greatest short-term financial yield to investors. Additionally, being a public benefit corporation may result in a different assessment of potential acquisitions than a traditional corporation and may limit the suitable pool of such targets.</w:t>
      </w:r>
    </w:p>
    <w:p>
      <w:pPr>
        <w:spacing w:after="0" w:line="21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Stockholders of a Delaware public benefit corporation (if they, individually or collectively, own at least 2% of the Company’s outstanding shares or, upon our listing, the lesser of such 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have a fiduciary duty to consider not only our stockholders’ interests, but also our specific public benefit and the interests of other</w:t>
      </w:r>
    </w:p>
    <w:p>
      <w:pPr>
        <w:spacing w:after="0" w:line="6"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stakeholders affected by our actions. If a conflict between such interests arises, there is no guarantee that such a conflict would be resolved in favor of our stockholders.</w:t>
      </w:r>
    </w:p>
    <w:p>
      <w:pPr>
        <w:spacing w:after="0" w:line="198"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While directors of a traditional corporation are required to make decisions that they believe to be in the best interests of their stockholders, directors of a public benefit corporation have a 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 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our board of directors may take actions that do not maximize stockholder value. Any benefits to stockholders resulting from our public benefit purposes may not materialize within the timeframe we expect or at all and may have negative effects.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4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revise our policies in ways that we believe will be beneficial to our stakeholders, including suppliers, employees and local communities, even though the changes may be costly;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take actions that exceed regulatory requirements, even though these actions may be more costly than other alternatives;</w:t>
      </w:r>
    </w:p>
    <w:p>
      <w:pPr>
        <w:spacing w:after="0" w:line="23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influenced to pursue programs and services to further our commitment to the communities to which we serve even though there is no immediate return to our stockholders; or</w:t>
      </w:r>
    </w:p>
    <w:p>
      <w:pPr>
        <w:spacing w:after="0" w:line="202" w:lineRule="exact"/>
        <w:rPr>
          <w:rFonts w:ascii="Times New Roman" w:cs="Times New Roman" w:eastAsia="Times New Roman" w:hAnsi="Times New Roman"/>
          <w:sz w:val="18"/>
          <w:szCs w:val="18"/>
          <w:color w:val="auto"/>
        </w:rPr>
      </w:pPr>
    </w:p>
    <w:p>
      <w:pPr>
        <w:jc w:val="both"/>
        <w:ind w:left="660" w:right="480" w:hanging="328"/>
        <w:spacing w:after="0" w:line="296"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responding to a possible proposal to acquire the Company, our board of directors has a fiduciary duty to consider the interests of our other stakeholders, including suppliers, employees and local communities, whose interests may be different from the interests of our stockholders.</w:t>
      </w:r>
    </w:p>
    <w:p>
      <w:pPr>
        <w:spacing w:after="0" w:line="16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may be unable or slow to realize the benefits we expect from actions taken to benefit our stakeholders, which could have a material adverse effect on our business, financial condition, results of operations, and cash flows, which in turn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face significant and persistent cybersecurity risks due to the global nature of our business, the use of i</w:t>
      </w:r>
      <w:r>
        <w:rPr>
          <w:rFonts w:ascii="Times New Roman" w:cs="Times New Roman" w:eastAsia="Times New Roman" w:hAnsi="Times New Roman"/>
          <w:sz w:val="18"/>
          <w:szCs w:val="18"/>
          <w:color w:val="000000"/>
        </w:rPr>
        <w:t>nformation technology systems,</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infrastructure and data in our business operations and our reliance on third-party vendors, suppliers, customers and business partners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00000"/>
        </w:rPr>
        <w:t xml:space="preserve"> We defend our systems against cybersecurity attacks on a daily basis and rely heavily on the reliability, security and efficiency of our information technology systems and ongoing employee training to face these threats. In addition, t</w:t>
      </w:r>
      <w:r>
        <w:rPr>
          <w:rFonts w:ascii="Times New Roman" w:cs="Times New Roman" w:eastAsia="Times New Roman" w:hAnsi="Times New Roman"/>
          <w:sz w:val="18"/>
          <w:szCs w:val="18"/>
          <w:color w:val="262626"/>
        </w:rPr>
        <w:t>o protect our business, we have implemented a cybersecurity risk management program with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62626"/>
        </w:rPr>
        <w:t>robust governance structure and strong mechanisms, controls, technologies, and processes designed to help us assess, identify, and manage these risks.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rely on a multidisciplinary team, including our information security function, legal department, management, and third-party service providers, as described further below, to identify, assess, and manage cybersecurity threats and risks. These processes include, among other things, annual security awareness training for employees, programs to increase awareness of phishing attempts, tools to detect and monitor unusual network activity, and processes to contain, escalate and respond to incidents. In addition, we have an enterprise Information Security Policy describing our cybersecurity program and governance structure and the processes and procedures in place to identify, mitigate and remediate cybersecurity threats and risks.</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262626"/>
        </w:rPr>
        <w:t>To further protect our business, we partner with a third party vendor to provide cybersecurity and risk management as a managed service offering. They provide cybersecurity risk assessment and threat intelligence to the Company, in addition to acting as a managed service provider for our information technology program. We decided to retain a third party for these services given the small size of our Company and internal information technology staff and the quality, comprehensiveness, and cost-effectiveness of the services offered. An internal team, led by our Chief Operating Officer, oversees and works collaboratively with this third party vendor to evaluate the strength of our cybersecurity protocols and the results of testing to determine what additional actions, such as trainings or remedial actions, are necessary to lessen cybersecurity risks. We intend to continue to make investments to monitor and maintain the security of our data and cybersecurity infrastructure.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Third Party Risk Management</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also monitor and manage cybersecurity risks associated with our third-party service providers, including our managed security service provider, suppliers, customers and vendors, through, among other things, the processes set forth in our policies and procedures, due diligence processes, regular oversight, monitoring and auditing of our relationships by internal staff, supplier codes of conduct and escalation practices for reporting issues. We require our third-party providers to meet appropriate security requirements and controls prior to providing access to our internal systems, and investigate and report any security incidents, as appropriate.</w:t>
      </w:r>
    </w:p>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262626"/>
        </w:rPr>
        <w:t>Based on the information available as of the date of this Annual Report on Form 10-K, we are not aware of any risks from cybersecurity threats, including as a result of any cybersecurity incidents, which have materially affected or are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262626"/>
        </w:rPr>
        <w:t>reasonably likely to materially affect us, including our business strategy, results of operations, or financial condition. Despite our security measures, however, there can be no assurance that we, or the third parties with which we interact, will not experience a cybersecurity incident in the future that will materially affect us. For more information, see "Risk Factors</w:t>
      </w:r>
      <w:r>
        <w:rPr>
          <w:rFonts w:ascii="Times New Roman" w:cs="Times New Roman" w:eastAsia="Times New Roman" w:hAnsi="Times New Roman"/>
          <w:sz w:val="18"/>
          <w:szCs w:val="18"/>
          <w:color w:val="000000"/>
        </w:rPr>
        <w:t>—Risks Related to Our Information Technology and Intellectual Property" in Part I, Item IA of</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0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(the "Board") has ultimate oversight of the Company's risk management. In accordance with its charter, the Audit Committee of the Board is responsible for overseeing our enterprise risk management program on behalf of the Board, including material risks related to cybersecurity threats, and reporting on these matters to the Board. The Audit Committee receives regular updates from management, including the information technology and legal teams, on cybersecurity risk resulting from risk assessments and reviews any information on relevant internal and industry cybersecurity incidents and is notified between such updates relative to any incidents which could materially affect the Company. Based on this information, our Audit Committee monitors the Company's cybersecurity program, including potential threats, weaknesses and vulnerabilities, and reviews the policies and procedures in place to prevent, detect and respond to cybersecurity threats and unauthorized access to our information security systems. Significant findings related to cybersecurity, data and technology risks or incidents are regularly reported to and discussed at the Board level. Three members of our Board, included two of our Audit Committee members, are currently pursuing or have received certifications in cyber-risk oversight through the National Association of Corporate Directors.</w:t>
      </w:r>
    </w:p>
    <w:p>
      <w:pPr>
        <w:spacing w:after="0" w:line="21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Management, in coordination with our information technology department, is responsible for assessing the risk of cybersecurity threats and hiring appropriate personnel and third-party consultants to oversee the cybersecurity program. Specifically, these processes are overseen by our multidisciplinary Technology Risk and Information Security Committee, which consists of leaders from our Information Technology, Operations, Internal Audit and Legal teams. Such individuals have an average of over 15 years of prior work experience in various roles across multiple industries involving information technology, risk management, operations and legal matters.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corporate headquarters is located in Manhattan, New York, at 250 Park Avenue South, where we lease office space, which provides support to</w:t>
      </w:r>
    </w:p>
    <w:p>
      <w:pPr>
        <w:spacing w:after="0" w:line="14"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both our Americas and International segments. As of December 31, 2023, we leased office facilities totaling approximately 29,400 square feet in the United States, Singapore and London, with the Singapore and London facilities primarily supporting our International segment. We believe that our corporate headquarters and other offices are adequate for our immediate needs and that we will be able to obtain additional or substitute space, as needed,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terms.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66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145"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880"/>
        <w:spacing w:after="0" w:line="46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660"/>
        <w:spacing w:after="0"/>
        <w:rPr>
          <w:sz w:val="20"/>
          <w:szCs w:val="20"/>
          <w:color w:val="auto"/>
        </w:rPr>
      </w:pPr>
      <w:r>
        <w:rPr>
          <w:rFonts w:ascii="Times New Roman" w:cs="Times New Roman" w:eastAsia="Times New Roman" w:hAnsi="Times New Roman"/>
          <w:sz w:val="18"/>
          <w:szCs w:val="18"/>
          <w:color w:val="auto"/>
        </w:rPr>
        <w:t>Our stock currently trades on The Nasdaq Stock Market LLC under the ticker symbol "COCO".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26, 2024, there were 40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for the operation and expansion of our business, and any authorized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share repurchases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In addition, the terms of our current credit facilities contain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our ability to declare and pay dividends under certain limited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8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Company did not sell any equity securities during the three months and year ended December 31, 2023 that were not registered under the Securities Act.</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76"/>
        </w:trPr>
        <w:tc>
          <w:tcPr>
            <w:tcW w:w="2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Period</w:t>
            </w:r>
          </w:p>
        </w:tc>
        <w:tc>
          <w:tcPr>
            <w:tcW w:w="212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229"/>
        </w:trPr>
        <w:tc>
          <w:tcPr>
            <w:tcW w:w="2560" w:type="dxa"/>
            <w:vAlign w:val="bottom"/>
            <w:vMerge w:val="continue"/>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 (1)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October 1, 2023 - October 31,</w:t>
            </w:r>
          </w:p>
        </w:tc>
        <w:tc>
          <w:tcPr>
            <w:tcW w:w="2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November 1, 2023 - November</w:t>
            </w:r>
          </w:p>
        </w:tc>
        <w:tc>
          <w:tcPr>
            <w:tcW w:w="2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30, 2023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December 1, 2023 - December</w:t>
            </w:r>
          </w:p>
        </w:tc>
        <w:tc>
          <w:tcPr>
            <w:tcW w:w="2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31, 2023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30,000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$25.78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$39.2</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On October 30, 2023, the Company's Board of Directors approved a share repurchase program ("Program") authorizing the Company to repurchase up to $40 million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During the year ended December 31, 2023, the Company repurchased 30,000 shares at a cost of $0.8 million under this program.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3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following graph illustrates the total return from October 22, 2021 through December 29, 2023, for (i) our common stock, (ii) the Russell 2000 Index, (iii) the NASDAQ Composite Index, and (iv) the NASDAQ US Smart Food &amp; Beverage Index. The graph assumes that $100 was invested on October 22, 2021 in our common stock, the Russell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Index, the NASDAQ Composite Index, and the NASDAQ US Smart Food &amp; Beverage Index, and that any dividends were reinvested. The graph assumes our closing sales price on October 22, 2021 of $13.95 per share as the initial value of our common stock and not the initial offering price to the public of $15.00 per share. The comparisons reflected in the graph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657850" cy="2288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10-K filing.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Form 10-K. Our historical results are not necessarily indicative of the results that may be expected for any period in the future. Except as otherwise noted, all references to 2023 refer to the year ended December 31, 2023, all references to 2022 refer to the year ended December 31, 2022 and all references to 2021, refer to the year ended December 31, 2021.</w:t>
      </w:r>
    </w:p>
    <w:p>
      <w:pPr>
        <w:spacing w:after="0" w:line="181" w:lineRule="exact"/>
        <w:rPr>
          <w:sz w:val="20"/>
          <w:szCs w:val="20"/>
          <w:color w:val="auto"/>
        </w:rPr>
      </w:pPr>
    </w:p>
    <w:p>
      <w:pPr>
        <w:ind w:right="100" w:firstLine="551"/>
        <w:spacing w:after="0" w:line="247"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generally discusses the years ended December 31, 2023 and 2022 and year-over-year comparisons between the years ended December 31, 2023 and 2022. Discussions of the periods prior to the year ended December 31, 2022 that are not included in this Annual Report on Form 10-K are found in "Management's Discussion and Analysis of Financial Condition and Results of Operations" in Part II, Item 7 of our Annual Report on Form 10-K for the year ended December 31, 2022 and the discussion therein for the year ended December 31, 2022 compared to the year ended December 31, 2021.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Vita Coco Company is a leading platform for brands in the functional beverage category. We pioneered packaged coconut water in 2004 and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1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ectPr>
          <w:pgSz w:w="11900" w:h="16838" w:orient="portrait"/>
          <w:cols w:equalWidth="0" w:num="1">
            <w:col w:w="11160"/>
          </w:cols>
          <w:pgMar w:left="320" w:top="10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7"/>
          <w:szCs w:val="17"/>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and to better service our customers’ needs.</w:t>
      </w:r>
    </w:p>
    <w:p>
      <w:pPr>
        <w:spacing w:after="0" w:line="18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30 countries, with our primary markets in North America, the United Kingdom, and China. Our primary markets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are North America and Europe. Our products are distributed primarily through club, food, drug, mass, convenience, e-commerce, and foodservice channels. Our products are also available in a variety of on-premise locations such as corporate offices, fitness clubs, airports, and educational institutions.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right="420" w:firstLine="551"/>
        <w:spacing w:after="0" w:line="266"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upon many factors, including the key trends and uncertainties highlighted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Supply Chain and Shipping</w:t>
      </w:r>
    </w:p>
    <w:p>
      <w:pPr>
        <w:spacing w:after="0" w:line="216" w:lineRule="exact"/>
        <w:rPr>
          <w:sz w:val="20"/>
          <w:szCs w:val="20"/>
          <w:color w:val="auto"/>
        </w:rPr>
      </w:pPr>
    </w:p>
    <w:p>
      <w:pPr>
        <w:ind w:right="20" w:firstLine="180"/>
        <w:spacing w:after="0" w:line="246" w:lineRule="auto"/>
        <w:rPr>
          <w:sz w:val="20"/>
          <w:szCs w:val="20"/>
          <w:color w:val="auto"/>
        </w:rPr>
      </w:pPr>
      <w:r>
        <w:rPr>
          <w:rFonts w:ascii="Times New Roman" w:cs="Times New Roman" w:eastAsia="Times New Roman" w:hAnsi="Times New Roman"/>
          <w:sz w:val="18"/>
          <w:szCs w:val="18"/>
          <w:color w:val="auto"/>
        </w:rPr>
        <w:t>Our global asset lite supply chain model has been an integral part of our ability to efficiently scale our business and compete in the marketplace, and to support our private label business. This asset-lite model allows us to effectively manage total delivery costs and afford greater ability to shift volume between our suppliers to optimize our supply chain, and better manage our supply levels. In addition, our scale of sourcing has allowed us to add capacity as needed and service retailers more reliably, and we believe that our global position as one of the largest and highest quality coconut water procurers in the world protects our customer and supplier relationships.</w:t>
      </w:r>
    </w:p>
    <w:p>
      <w:pPr>
        <w:spacing w:after="0" w:line="222"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However, in order to make our supply chain model successful and efficient, we source a large amount of our finished goods from international countries, which exposes us to international supply chain inflation, particularly ocean freight. Uncertainty in the macroeconomic environment resulting from geopolitical and economic instability (including the effects of current wars and other international conflicts) and variability in interest rates, foreign exchange rates and inflationary cost environments may affect our global supply chain. Inflation rates and foreign exchange rate movements varies by country and relevant period, and can impact our expenses significantly.</w:t>
      </w:r>
    </w:p>
    <w:p>
      <w:pPr>
        <w:spacing w:after="0" w:line="20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experienced significant inflation on transportation costs over the past three years, which affected our costs and margins significantly. Although we saw these transportation costs return to near pre-pandemic levels during 2023, we expect instability in pricing to continue in 2024 caused by recent geopolitical disruption of shipping lanes due to ocean carriers avoiding the Gulf due primarily to concerns that Houthi forces, based in Yemen, may attack freighters. We experienced spot cost increases for ocean freight routes from Asia, and then more significant cost increases when carriers began to route away from the Suez Canal. The changes in shipping container prices and service levels and cost increases in shipping and port congestion related costs have materially impacted our financial results in recent years. Due to the price sensitivity of our products, we may not be able to pass such increases on to our customers without impacting our volume, revenue, margins, and operating results and we have no certainty when these pressures may lessen. The Company is continuing to monitor the situation carefully to understand any future potential impact on its people and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Demand and Relationships with Key Customers</w:t>
      </w:r>
    </w:p>
    <w:p>
      <w:pPr>
        <w:spacing w:after="0" w:line="108"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Coconut water accounted for approximately 92% of our revenue for the year ended December 31, 2023 and we believe that sales of coconut water will continue to be a significant portion of our business in the foreseeable future. The coconut water category has been growing steadily in recent years and our Vita Coco brand has successfully gained over 50% market share in the US and over 80% market share in the UK in this category. We are also a significant supplier of private label coconut water and coconut oil products in the US and in Europe. Any material negative change to consumer demand for our products or coconut water generally, or failure to grow the coconut water category, could adversely affect our business. Consumer demand between branded products and private label may vary over time. In order to meet this consumer demand for our products, we also are subject to the risk of overly relying upon our largest customers for both our branded and private label business. In 2023, we announced changes to our supply relationship with a significant private label customer with the expected loss of a significant private label coconut oil business. Any loss of business or changes in our relationships with our key customers can impact our operating results in future periods, as may changes in consumer demand for private label versus branded products.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Generate Growth Through Product Innovation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551"/>
        <w:spacing w:after="0" w:line="243" w:lineRule="auto"/>
        <w:rPr>
          <w:sz w:val="20"/>
          <w:szCs w:val="20"/>
          <w:color w:val="auto"/>
        </w:rPr>
      </w:pPr>
      <w:r>
        <w:rPr>
          <w:rFonts w:ascii="Times New Roman" w:cs="Times New Roman" w:eastAsia="Times New Roman" w:hAnsi="Times New Roman"/>
          <w:sz w:val="18"/>
          <w:szCs w:val="18"/>
          <w:color w:val="auto"/>
        </w:rPr>
        <w:t>The beverage industry is subject to shifting consumer preferences which present opportunities for new beverage occasions, tastes and functional benefits. Our future success is therefore partially dependent on our ability to identify these trends and develop products and brands that effectively meet those needs. We also invest in sales and marketing and execute our sales strategy to develop and deepen consumers’ connection to our brand and new products and to create category growth and increase our branded share. Our innovation efforts focus on developing and marketing product extensions, improving upon the quality and taste profiles of existing products, and introducing new products or brands to meet evolving consumer needs. For example, we introduced Vita Coco juice as our first broad based offering of coconut juice with pulp in cans. In 2023, we expanded distribution of Vita Coco juice, with a focus on convenience stores and, in 2024, we intend to continue to gain distribution in convenience, while expanding to select mass and food retailers.</w:t>
      </w:r>
    </w:p>
    <w:p>
      <w:pPr>
        <w:spacing w:after="0" w:line="227"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maintain in-house research and development capabilities as well as strong third-party relationships with flavor development houses, and we monitor the latest advancements to support continued innovation and learning. Our ability to successfully improve existing products, or develop, market and sell new products or brands, or our ability to grow the category or gain branded share, depends on our commitment and continued investment in sales execution, marketing, innovation, and our willingness to try and fail and learn from our experiences.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Successfully Execute Both In-Store and Online</w:t>
      </w:r>
    </w:p>
    <w:p>
      <w:pPr>
        <w:spacing w:after="0" w:line="108" w:lineRule="exact"/>
        <w:rPr>
          <w:sz w:val="20"/>
          <w:szCs w:val="20"/>
          <w:color w:val="auto"/>
        </w:rPr>
      </w:pPr>
    </w:p>
    <w:p>
      <w:pPr>
        <w:ind w:right="100" w:firstLine="551"/>
        <w:spacing w:after="0" w:line="245" w:lineRule="auto"/>
        <w:rPr>
          <w:sz w:val="20"/>
          <w:szCs w:val="20"/>
          <w:color w:val="auto"/>
        </w:rPr>
      </w:pPr>
      <w:r>
        <w:rPr>
          <w:rFonts w:ascii="Times New Roman" w:cs="Times New Roman" w:eastAsia="Times New Roman" w:hAnsi="Times New Roman"/>
          <w:sz w:val="18"/>
          <w:szCs w:val="18"/>
          <w:color w:val="auto"/>
        </w:rPr>
        <w:t>To aid the growth of our business, we intend to continue improving our operational efficiency and leverage our brand position across channels, and therefore have a balanced approach to investment and development of capabilities in retail and e-commerce execution. Our DSD network is an important asset in executing physical retail programs and ensuring product availability and visibility in the United States. In 2023, we offered more multi-packs in coconut water in US retail to increase consumption with core consumers, and increased distribution of our other product offerings. Managing our DSD network requires relationship building and communication as to plans, and alignment of goals and interests, and we are not always a top priority for our DSD network. We also continue to expand our business in e-commerce, including our DTC business, and look to adapt our approaches as consumer and retail behavior changes to ensure we remain competitive and visible regardless of channel.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6"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 through which we sell our products, the promotional environment in the marketplace, manufacturing costs, exchange rates, commodity prices and transportation rates. We expect that our gross margin will fluctuate from period to period depending on the interplay of these variables.</w:t>
      </w:r>
    </w:p>
    <w:p>
      <w:pPr>
        <w:spacing w:after="0" w:line="177" w:lineRule="exact"/>
        <w:rPr>
          <w:sz w:val="20"/>
          <w:szCs w:val="20"/>
          <w:color w:val="auto"/>
        </w:rPr>
      </w:pPr>
    </w:p>
    <w:p>
      <w:pPr>
        <w:jc w:val="both"/>
        <w:ind w:right="10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all of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660" w:firstLine="551"/>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“—Qualitative and Quantitative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“—Qualitative and Quantitative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payable on our credit facilities and vehicle loans.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ind w:right="8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00" w:lineRule="exact"/>
        <w:rPr>
          <w:sz w:val="20"/>
          <w:szCs w:val="20"/>
          <w:color w:val="auto"/>
        </w:rPr>
      </w:pPr>
    </w:p>
    <w:p>
      <w:pPr>
        <w:ind w:left="820" w:hanging="245"/>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00" w:lineRule="exact"/>
        <w:rPr>
          <w:sz w:val="20"/>
          <w:szCs w:val="20"/>
          <w:color w:val="auto"/>
        </w:rPr>
      </w:pPr>
    </w:p>
    <w:p>
      <w:pPr>
        <w:ind w:left="820" w:hanging="245"/>
        <w:spacing w:after="0" w:line="260"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56" w:lineRule="exact"/>
        <w:rPr>
          <w:rFonts w:ascii="Times New Roman" w:cs="Times New Roman" w:eastAsia="Times New Roman" w:hAnsi="Times New Roman"/>
          <w:sz w:val="18"/>
          <w:szCs w:val="18"/>
          <w:color w:val="auto"/>
        </w:rPr>
      </w:pPr>
    </w:p>
    <w:p>
      <w:pPr>
        <w:ind w:left="820" w:right="240" w:hanging="245"/>
        <w:spacing w:after="0" w:line="25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production of these private label products over time as the production for open purchase orders occurs, which may be prior to any shipment.</w:t>
      </w:r>
    </w:p>
    <w:p>
      <w:pPr>
        <w:spacing w:after="0" w:line="111" w:lineRule="exact"/>
        <w:rPr>
          <w:sz w:val="20"/>
          <w:szCs w:val="20"/>
          <w:color w:val="auto"/>
        </w:rPr>
      </w:pPr>
    </w:p>
    <w:p>
      <w:pPr>
        <w:ind w:left="820" w:right="120" w:hanging="245"/>
        <w:spacing w:after="0" w:line="25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w:t>
      </w:r>
      <w:r>
        <w:rPr>
          <w:rFonts w:ascii="Times New Roman" w:cs="Times New Roman" w:eastAsia="Times New Roman" w:hAnsi="Times New Roman"/>
          <w:sz w:val="18"/>
          <w:szCs w:val="18"/>
          <w:i w:val="1"/>
          <w:iCs w:val="1"/>
          <w:color w:val="auto"/>
        </w:rPr>
        <w:t>, Ever &amp; 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 respectively: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02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spacing w:after="0"/>
              <w:rPr>
                <w:sz w:val="16"/>
                <w:szCs w:val="16"/>
                <w:color w:val="auto"/>
              </w:rPr>
            </w:pPr>
          </w:p>
        </w:tc>
      </w:tr>
      <w:tr>
        <w:trPr>
          <w:trHeight w:val="23"/>
        </w:trPr>
        <w:tc>
          <w:tcPr>
            <w:tcW w:w="12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122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Borders>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6"/>
        </w:trPr>
        <w:tc>
          <w:tcPr>
            <w:tcW w:w="1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31"/>
        </w:trPr>
        <w:tc>
          <w:tcPr>
            <w:tcW w:w="12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50"/>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312,883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57"/>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43"/>
        </w:trPr>
        <w:tc>
          <w:tcPr>
            <w:tcW w:w="4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6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 instrument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(113.2 %)</w:t>
            </w:r>
          </w:p>
        </w:tc>
      </w:tr>
      <w:tr>
        <w:trPr>
          <w:trHeight w:val="257"/>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(118.1 %)</w:t>
            </w:r>
          </w:p>
        </w:tc>
      </w:tr>
      <w:tr>
        <w:trPr>
          <w:trHeight w:val="25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4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(88.0 %)</w:t>
            </w:r>
          </w:p>
        </w:tc>
      </w:tr>
      <w:tr>
        <w:trPr>
          <w:trHeight w:val="250"/>
        </w:trPr>
        <w:tc>
          <w:tcPr>
            <w:tcW w:w="4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(expense)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434.3 %</w:t>
            </w:r>
          </w:p>
        </w:tc>
      </w:tr>
      <w:tr>
        <w:trPr>
          <w:trHeight w:val="263"/>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273.0 %</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496.7 %</w:t>
            </w: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Company’s net sales by operating segment and product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3"/>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317,221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The primary driver of the consolidated net sales increase of 15.4% was increased case equivalents ("CE") volume growth of 13.4%. Net sales also benefited from branded pricing, which was partially offset by decreased price/mix of private label products.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 in Case Equivalent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our volume in CE, by operating segment and product category: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0" w:type="dxa"/>
            <w:vAlign w:val="bottom"/>
            <w:gridSpan w:val="3"/>
          </w:tcPr>
          <w:p>
            <w:pPr>
              <w:ind w:left="55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9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Vita Coco Coconut Water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33,021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57"/>
        </w:trPr>
        <w:tc>
          <w:tcPr>
            <w:tcW w:w="580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Private Label</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56"/>
        </w:trPr>
        <w:tc>
          <w:tcPr>
            <w:tcW w:w="5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7"/>
        </w:trPr>
        <w:tc>
          <w:tcPr>
            <w:tcW w:w="4920" w:type="dxa"/>
            <w:vAlign w:val="bottom"/>
            <w:tcBorders>
              <w:top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10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39,769</w:t>
            </w:r>
          </w:p>
        </w:tc>
        <w:tc>
          <w:tcPr>
            <w:tcW w:w="120" w:type="dxa"/>
            <w:vAlign w:val="bottom"/>
            <w:tcBorders>
              <w:top w:val="single" w:sz="8" w:color="CFF0FC"/>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52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Vita Coco Coconut Water</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7"/>
        </w:trPr>
        <w:tc>
          <w:tcPr>
            <w:tcW w:w="5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Private Label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56"/>
        </w:trPr>
        <w:tc>
          <w:tcPr>
            <w:tcW w:w="580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gridSpan w:val="2"/>
          </w:tcPr>
          <w:p>
            <w:pPr>
              <w:ind w:left="70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Borders>
              <w:bottom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20" w:type="dxa"/>
            <w:vAlign w:val="bottom"/>
            <w:tcBorders>
              <w:bottom w:val="single" w:sz="8" w:color="CFF0FC"/>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FF0FC"/>
            </w:tcBorders>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b w:val="1"/>
                <w:bCs w:val="1"/>
                <w:color w:val="auto"/>
              </w:rPr>
              <w:t>Total volume (CE)</w:t>
            </w: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53,568</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20" w:type="dxa"/>
            <w:vAlign w:val="bottom"/>
            <w:tcBorders>
              <w:bottom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74"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Other excludes minor volume that is treated as zero CE.</w:t>
      </w:r>
    </w:p>
    <w:p>
      <w:pPr>
        <w:spacing w:after="0" w:line="31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551"/>
        <w:spacing w:after="0" w:line="258" w:lineRule="auto"/>
        <w:rPr>
          <w:sz w:val="20"/>
          <w:szCs w:val="20"/>
          <w:color w:val="auto"/>
        </w:rPr>
      </w:pPr>
      <w:r>
        <w:rPr>
          <w:rFonts w:ascii="Times New Roman" w:cs="Times New Roman" w:eastAsia="Times New Roman" w:hAnsi="Times New Roman"/>
          <w:sz w:val="18"/>
          <w:szCs w:val="18"/>
          <w:color w:val="auto"/>
        </w:rPr>
        <w:t>Americas net sales increased by $56.6 million, or 15.2%, to $430.2 million for the year ended December 31, 2023, from $373.6 million for the year ended December 31, 2022, primarily driven by CE volume growth of 13.8% with additional benefit from branded pricing, partially offset by private label price/mix.</w:t>
      </w:r>
    </w:p>
    <w:p>
      <w:pPr>
        <w:spacing w:after="0" w:line="167" w:lineRule="exact"/>
        <w:rPr>
          <w:sz w:val="20"/>
          <w:szCs w:val="20"/>
          <w:color w:val="auto"/>
        </w:rPr>
      </w:pPr>
    </w:p>
    <w:p>
      <w:pPr>
        <w:jc w:val="both"/>
        <w:ind w:right="42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$41.3 million, or 15.0%, to $317.2 million for the year ended December 31, 2023, from $276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2022. The increase was primarily driven by a combination of increased CE volume growth and benefits from pricing actions.</w:t>
      </w:r>
    </w:p>
    <w:p>
      <w:pPr>
        <w:spacing w:after="0" w:line="169" w:lineRule="exact"/>
        <w:rPr>
          <w:sz w:val="20"/>
          <w:szCs w:val="20"/>
          <w:color w:val="auto"/>
        </w:rPr>
      </w:pPr>
    </w:p>
    <w:p>
      <w:pPr>
        <w:ind w:right="220" w:firstLine="551"/>
        <w:spacing w:after="0" w:line="266" w:lineRule="auto"/>
        <w:rPr>
          <w:sz w:val="20"/>
          <w:szCs w:val="20"/>
          <w:color w:val="auto"/>
        </w:rPr>
      </w:pPr>
      <w:r>
        <w:rPr>
          <w:rFonts w:ascii="Times New Roman" w:cs="Times New Roman" w:eastAsia="Times New Roman" w:hAnsi="Times New Roman"/>
          <w:sz w:val="18"/>
          <w:szCs w:val="18"/>
          <w:color w:val="auto"/>
        </w:rPr>
        <w:t>Private Label net sales increased by $15.0 million, or 17.0%, to $103.2 million for the year ended December 31, 2023, from $88.2 million for the year ended December 31, 2022. The increase was driven by significant CE volume growth of 24.7%, which was partly offset by product price/mix.</w:t>
      </w:r>
    </w:p>
    <w:p>
      <w:pPr>
        <w:spacing w:after="0" w:line="176" w:lineRule="exact"/>
        <w:rPr>
          <w:sz w:val="20"/>
          <w:szCs w:val="20"/>
          <w:color w:val="auto"/>
        </w:rPr>
      </w:pPr>
    </w:p>
    <w:p>
      <w:pPr>
        <w:ind w:right="240" w:firstLine="551"/>
        <w:spacing w:after="0" w:line="266" w:lineRule="auto"/>
        <w:rPr>
          <w:sz w:val="20"/>
          <w:szCs w:val="20"/>
          <w:color w:val="auto"/>
        </w:rPr>
      </w:pPr>
      <w:r>
        <w:rPr>
          <w:rFonts w:ascii="Times New Roman" w:cs="Times New Roman" w:eastAsia="Times New Roman" w:hAnsi="Times New Roman"/>
          <w:sz w:val="18"/>
          <w:szCs w:val="18"/>
          <w:color w:val="auto"/>
        </w:rPr>
        <w:t>Net Sales for Other products increased by $0.4 million, or 3.9%, to $9.9 million for the year ended December 31, 2023, from $9.5 million for the year ended December 31,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Segment</w:t>
      </w:r>
    </w:p>
    <w:p>
      <w:pPr>
        <w:spacing w:after="0" w:line="121"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International net sales increased by $9.2 million, or 17.0%, to $63.4 million for the year ended December 31, 2023 from $54.2 million for the year ended December 31, 2022. The increase was driven by CE volume growth of 11.7%, with notable growth in the Europe, the Middle East and Africa ("EMEA") region, in addition to benefits from net pricing actions.</w:t>
      </w:r>
    </w:p>
    <w:p>
      <w:pPr>
        <w:spacing w:after="0" w:line="188" w:lineRule="exact"/>
        <w:rPr>
          <w:sz w:val="20"/>
          <w:szCs w:val="20"/>
          <w:color w:val="auto"/>
        </w:rPr>
      </w:pPr>
    </w:p>
    <w:p>
      <w:pPr>
        <w:ind w:right="140" w:firstLine="55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$3.3 million, or 8.4%, to $41.8 million for the year ended December 31, 2023, from $38.6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2022. The increase was driven by higher CE volume, primarily in the European region, which was partially offset by volume decreases in Asia, in addition to benefits from net pricing actions..</w:t>
      </w:r>
    </w:p>
    <w:p>
      <w:pPr>
        <w:spacing w:after="0" w:line="190" w:lineRule="exact"/>
        <w:rPr>
          <w:sz w:val="20"/>
          <w:szCs w:val="20"/>
          <w:color w:val="auto"/>
        </w:rPr>
      </w:pPr>
    </w:p>
    <w:p>
      <w:pPr>
        <w:ind w:right="180" w:firstLine="551"/>
        <w:spacing w:after="0" w:line="266" w:lineRule="auto"/>
        <w:rPr>
          <w:sz w:val="20"/>
          <w:szCs w:val="20"/>
          <w:color w:val="auto"/>
        </w:rPr>
      </w:pPr>
      <w:r>
        <w:rPr>
          <w:rFonts w:ascii="Times New Roman" w:cs="Times New Roman" w:eastAsia="Times New Roman" w:hAnsi="Times New Roman"/>
          <w:sz w:val="18"/>
          <w:szCs w:val="18"/>
          <w:color w:val="auto"/>
        </w:rPr>
        <w:t>Private Label net sales increased by $5.9 million, or 45.6%, to $18.7 million for the year ended December 31, 2023, as compared to $12.9 million for the year ended December 31, 2022, which was driven by CE volume growth in both EMEA and the Asia Pacific regions.</w:t>
      </w:r>
    </w:p>
    <w:p>
      <w:pPr>
        <w:spacing w:after="0" w:line="162" w:lineRule="exact"/>
        <w:rPr>
          <w:sz w:val="20"/>
          <w:szCs w:val="20"/>
          <w:color w:val="auto"/>
        </w:rPr>
      </w:pPr>
    </w:p>
    <w:p>
      <w:pPr>
        <w:ind w:right="240" w:firstLine="551"/>
        <w:spacing w:after="0" w:line="282" w:lineRule="auto"/>
        <w:rPr>
          <w:sz w:val="20"/>
          <w:szCs w:val="20"/>
          <w:color w:val="auto"/>
        </w:rPr>
      </w:pPr>
      <w:r>
        <w:rPr>
          <w:rFonts w:ascii="Times New Roman" w:cs="Times New Roman" w:eastAsia="Times New Roman" w:hAnsi="Times New Roman"/>
          <w:sz w:val="18"/>
          <w:szCs w:val="18"/>
          <w:color w:val="auto"/>
        </w:rPr>
        <w:t>Net Sales for Other products increased by $0.1 million, or 3.1%, to $2.8 million for the year ended December 31, 2023, from $2.7 million for the year ended December 31, 2022, driven primarily by CE volume growth in the EMEA region.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267,983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278,130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46,296</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312,883</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324,426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162,262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95,492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134.7 %</w:t>
            </w:r>
          </w:p>
        </w:tc>
      </w:tr>
      <w:tr>
        <w:trPr>
          <w:trHeight w:val="244"/>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180,729</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103,361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7"/>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w:t>
            </w:r>
            <w:r>
              <w:rPr>
                <w:rFonts w:ascii="Times New Roman" w:cs="Times New Roman" w:eastAsia="Times New Roman" w:hAnsi="Times New Roman"/>
                <w:sz w:val="14"/>
                <w:szCs w:val="14"/>
                <w:b w:val="1"/>
                <w:bCs w:val="1"/>
                <w:color w:val="auto"/>
              </w:rPr>
              <w:t>percentage of net sales</w:t>
            </w: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43"/>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945"/>
        </w:trPr>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8"/>
        </w:trPr>
        <w:tc>
          <w:tcPr>
            <w:tcW w:w="47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On a consolidated basis, cost of goods sold decreased $11.5 million, or 3.6%, to $312.9 million for the year ended December 31, 2023, from $324.4 million for the year ended December 31, 2022. On a consolidated and segment basis, the decrease was primarily driven by significantly lower transportation costs, relating to ocean freight and domestic logistics, which were partly offset by higher CE volume.</w:t>
      </w:r>
    </w:p>
    <w:p>
      <w:pPr>
        <w:spacing w:after="0" w:line="196" w:lineRule="exact"/>
        <w:rPr>
          <w:sz w:val="20"/>
          <w:szCs w:val="20"/>
          <w:color w:val="auto"/>
        </w:rPr>
      </w:pPr>
    </w:p>
    <w:p>
      <w:pPr>
        <w:ind w:right="220" w:firstLine="551"/>
        <w:spacing w:after="0" w:line="250" w:lineRule="auto"/>
        <w:rPr>
          <w:sz w:val="20"/>
          <w:szCs w:val="20"/>
          <w:color w:val="auto"/>
        </w:rPr>
      </w:pPr>
      <w:r>
        <w:rPr>
          <w:rFonts w:ascii="Times New Roman" w:cs="Times New Roman" w:eastAsia="Times New Roman" w:hAnsi="Times New Roman"/>
          <w:sz w:val="18"/>
          <w:szCs w:val="18"/>
          <w:color w:val="auto"/>
        </w:rPr>
        <w:t>On a consolidated basis, gross profit increased by $77.4 million, or 74.9%, to $180.7 million for the year ended December 31, 2023, from $103.4 million for the year ended December 31, 2022. This was a result of decreased transportation cost, strong CE volume growth and benefits from branded pricing actions, which was partially offset by price/mix effects within private label products. As a result, gross margin increased approximately 12.4% percentage points to 36.6% for the year ended December 31, 2023, as compared to 24.2% for the year ended December 31,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90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23,930</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80" w:firstLine="551"/>
        <w:spacing w:after="0" w:line="250" w:lineRule="auto"/>
        <w:rPr>
          <w:sz w:val="20"/>
          <w:szCs w:val="20"/>
          <w:color w:val="auto"/>
        </w:rPr>
      </w:pPr>
      <w:r>
        <w:rPr>
          <w:rFonts w:ascii="Times New Roman" w:cs="Times New Roman" w:eastAsia="Times New Roman" w:hAnsi="Times New Roman"/>
          <w:sz w:val="18"/>
          <w:szCs w:val="18"/>
          <w:color w:val="auto"/>
        </w:rPr>
        <w:t>SG&amp;A expense increased by $23.9 million, or 23.9%, to $124.2 million for the year ended December 31, 2023, from $100.3 million for the year ended December 31, 2022. The increase was primarily driven by a $13.3 million increase in marketing expenses, a $13.3 million increase in personnel related expenses and $1.5 million of costs associated with the secondary share offerings in May 2023 and in November 2023, partially offset by a non-recurring intangible asset impairment charge of $6.7 million in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8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(113.2 %)</w:t>
            </w:r>
          </w:p>
        </w:tc>
      </w:tr>
      <w:tr>
        <w:trPr>
          <w:trHeight w:val="25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(118.1 %)</w:t>
            </w:r>
          </w:p>
        </w:tc>
      </w:tr>
      <w:tr>
        <w:trPr>
          <w:trHeight w:val="263"/>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8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(88.0 %)</w:t>
            </w:r>
          </w:p>
        </w:tc>
      </w:tr>
      <w:tr>
        <w:trPr>
          <w:trHeight w:val="282"/>
        </w:trPr>
        <w:tc>
          <w:tcPr>
            <w:tcW w:w="4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r>
      <w:tr>
        <w:trPr>
          <w:trHeight w:val="163"/>
        </w:trPr>
        <w:tc>
          <w:tcPr>
            <w:tcW w:w="1220" w:type="dxa"/>
            <w:vAlign w:val="bottom"/>
            <w:tcBorders>
              <w:bottom w:val="single" w:sz="8" w:color="auto"/>
            </w:tcBorders>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we recorded an unrealized loss of $0.9 million relating to outstanding derivative instruments for forward foreign currency exchange contracts, with the largest loss for the year ended December 31, 2023 related to the contracts hedging the British pound and the Brazilian real. During the year ended December 31, 2022, we recorded an unrealized gain of $6.6 million relating to outstanding derivative instruments for forward foreign currency exchange contracts. All forward foreign currency exchange contracts were entered to hedge some of our exposures to the British pound, Canadian dollar, Brazilian real, Malaysian ringgit, European Union euro, and Thai baht.</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80" w:firstLine="551"/>
        <w:spacing w:after="0" w:line="258" w:lineRule="auto"/>
        <w:rPr>
          <w:sz w:val="20"/>
          <w:szCs w:val="20"/>
          <w:color w:val="auto"/>
        </w:rPr>
      </w:pPr>
      <w:r>
        <w:rPr>
          <w:rFonts w:ascii="Times New Roman" w:cs="Times New Roman" w:eastAsia="Times New Roman" w:hAnsi="Times New Roman"/>
          <w:sz w:val="18"/>
          <w:szCs w:val="18"/>
          <w:color w:val="auto"/>
        </w:rPr>
        <w:t>Foreign currency loss was $0.3 million for the year ended December 31, 2023, as compared to a $1.4 million gain for the year ended December 31, 2022. The change in both years was a result of movements in various foreign currency exchange rates related to transactions denominated in currencies other than the functional currency.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year ended December 31, 2023 compared to the same prior year period was related to interest income on cash invested with financial institutions, reflecting improved cash balances and higher interest rates versus prior periods.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year ended December 31, 2023 compared to the same prior year period was driven by decreased borrowings on the 2020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(3,027)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273.0 %</w:t>
            </w:r>
          </w:p>
        </w:tc>
      </w:tr>
      <w:tr>
        <w:trPr>
          <w:trHeight w:val="24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was $11.3 million for the year ended December 31, 2023, as compared to $3.0 million for the year ended December 31,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combined federal, state and foreign tax rate decreased to 19.5% from 27.9% for the years ended December 31, 2023, and 2022, respectively.</w:t>
      </w:r>
    </w:p>
    <w:p>
      <w:pPr>
        <w:spacing w:after="0" w:line="381" w:lineRule="exact"/>
        <w:rPr>
          <w:sz w:val="20"/>
          <w:szCs w:val="20"/>
          <w:color w:val="auto"/>
        </w:rPr>
      </w:pPr>
    </w:p>
    <w:p>
      <w:pPr>
        <w:ind w:right="60" w:firstLine="551"/>
        <w:spacing w:after="0" w:line="247" w:lineRule="auto"/>
        <w:rPr>
          <w:sz w:val="20"/>
          <w:szCs w:val="20"/>
          <w:color w:val="auto"/>
        </w:rPr>
      </w:pPr>
      <w:r>
        <w:rPr>
          <w:rFonts w:ascii="Times New Roman" w:cs="Times New Roman" w:eastAsia="Times New Roman" w:hAnsi="Times New Roman"/>
          <w:sz w:val="18"/>
          <w:szCs w:val="18"/>
          <w:color w:val="auto"/>
        </w:rPr>
        <w:t>The effective tax rate for the current period is lower than the U.S. statutory rate of 21% primarily as a result of lower statutory tax rates in countries outside the U.S. that the Company operates in and the corresponding credits available from those taxing jurisdictions to offset U.S. income tax. The effective tax rate for the same period in the prior year is higher than the U.S. statutory rate of 21% primarily as a result of state income taxes for the U.S. operations of the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77" w:lineRule="exact"/>
        <w:rPr>
          <w:sz w:val="20"/>
          <w:szCs w:val="20"/>
          <w:color w:val="auto"/>
        </w:rPr>
      </w:pPr>
    </w:p>
    <w:p>
      <w:pPr>
        <w:ind w:right="120" w:firstLine="551"/>
        <w:spacing w:after="0" w:line="250" w:lineRule="auto"/>
        <w:rPr>
          <w:sz w:val="20"/>
          <w:szCs w:val="20"/>
          <w:color w:val="auto"/>
        </w:rPr>
      </w:pPr>
      <w:r>
        <w:rPr>
          <w:rFonts w:ascii="Times New Roman" w:cs="Times New Roman" w:eastAsia="Times New Roman" w:hAnsi="Times New Roman"/>
          <w:sz w:val="18"/>
          <w:szCs w:val="18"/>
          <w:color w:val="auto"/>
        </w:rPr>
        <w:t>These non-GAAP measures are key metrics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7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7,814</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20" w:type="dxa"/>
            <w:vAlign w:val="bottom"/>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43"/>
        </w:trPr>
        <w:tc>
          <w:tcPr>
            <w:tcW w:w="81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12,949</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 (d)</w:t>
            </w:r>
          </w:p>
        </w:tc>
        <w:tc>
          <w:tcPr>
            <w:tcW w:w="90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50"/>
        </w:trPr>
        <w:tc>
          <w:tcPr>
            <w:tcW w:w="81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 (e)</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75"/>
        </w:trPr>
        <w:tc>
          <w:tcPr>
            <w:tcW w:w="816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68,169</w:t>
            </w:r>
          </w:p>
        </w:tc>
        <w:tc>
          <w:tcPr>
            <w:tcW w:w="12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20,294</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r>
      <w:tr>
        <w:trPr>
          <w:trHeight w:val="170"/>
        </w:trPr>
        <w:tc>
          <w:tcPr>
            <w:tcW w:w="1220" w:type="dxa"/>
            <w:vAlign w:val="bottom"/>
            <w:tcBorders>
              <w:bottom w:val="single" w:sz="8" w:color="auto"/>
            </w:tcBorders>
          </w:tcPr>
          <w:p>
            <w:pPr>
              <w:spacing w:after="0"/>
              <w:rPr>
                <w:sz w:val="14"/>
                <w:szCs w:val="14"/>
                <w:color w:val="auto"/>
              </w:rPr>
            </w:pPr>
          </w:p>
        </w:tc>
        <w:tc>
          <w:tcPr>
            <w:tcW w:w="6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63" w:lineRule="exact"/>
        <w:rPr>
          <w:sz w:val="20"/>
          <w:szCs w:val="20"/>
          <w:color w:val="auto"/>
        </w:rPr>
      </w:pPr>
    </w:p>
    <w:p>
      <w:pPr>
        <w:ind w:left="500" w:right="280" w:hanging="492"/>
        <w:spacing w:after="0" w:line="254" w:lineRule="auto"/>
        <w:tabs>
          <w:tab w:leader="none" w:pos="4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500" w:right="620" w:hanging="492"/>
        <w:spacing w:after="0" w:line="241" w:lineRule="auto"/>
        <w:tabs>
          <w:tab w:leader="none" w:pos="4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spacing w:after="0" w:line="1" w:lineRule="exact"/>
        <w:rPr>
          <w:rFonts w:ascii="Times New Roman" w:cs="Times New Roman" w:eastAsia="Times New Roman" w:hAnsi="Times New Roman"/>
          <w:sz w:val="18"/>
          <w:szCs w:val="18"/>
          <w:color w:val="auto"/>
        </w:rPr>
      </w:pPr>
    </w:p>
    <w:p>
      <w:pPr>
        <w:ind w:left="500" w:right="40" w:hanging="492"/>
        <w:spacing w:after="0"/>
        <w:tabs>
          <w:tab w:leader="none" w:pos="4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other non-recurring expenses related to costs associated with two secondary offerings in which Verlinvest Beverages SA sold shares of the Company. The shares were sold in an underwritten public offering, which closed on May 26, 2023 and a block trade that was executed on November 9, 2023. The Company did not receive any proceeds from the sale of the shares.</w:t>
      </w:r>
    </w:p>
    <w:p>
      <w:pPr>
        <w:ind w:left="480" w:hanging="472"/>
        <w:spacing w:after="0" w:line="236"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intangible asset impairment charge related to the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trademarks and distributor relationships.</w:t>
      </w: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other charges primarily related to the impairment loss related to assets held for sale in both periods and other non-recurring expenses.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20" w:firstLine="551"/>
        <w:spacing w:after="0" w:line="250"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$132.5 million and $19.6 million of cash and cash equivalents as of December 31, 2023 and 2022, respectively.</w:t>
      </w:r>
    </w:p>
    <w:p>
      <w:pPr>
        <w:spacing w:after="0" w:line="19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68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spacing w:after="0"/>
              <w:rPr>
                <w:sz w:val="20"/>
                <w:szCs w:val="20"/>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4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29"/>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29"/>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107.3 %</w:t>
            </w:r>
          </w:p>
        </w:tc>
      </w:tr>
      <w:tr>
        <w:trPr>
          <w:trHeight w:val="229"/>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Effects of exchange rate on changes on cash and cash equivalents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122,299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(1349.7)%</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40" w:firstLine="551"/>
        <w:spacing w:after="0" w:line="266"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ind w:right="420" w:firstLine="55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cash from operating activities increased $118 million as compared to the year ended December 31, 2022. The higher cash generation was driven by the increase in net income after adjusting for non-cash items and improvements in working capital.</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ind w:right="800" w:firstLine="55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as compared to the year ended December 31, 2022, cash used in investing activities decreased $0.4 million, driven by less expenditures for property and equipment.</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86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compared to the year ended December 31, 2022, net cash provided by financing activities was $3.3 million higher, primarily driven by increased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an immaterial amount of outstanding debt as of December 31, 2023 and December 31, 2022 related to vehicle loans.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08" w:lineRule="exact"/>
        <w:rPr>
          <w:sz w:val="20"/>
          <w:szCs w:val="20"/>
          <w:color w:val="auto"/>
        </w:rPr>
      </w:pPr>
    </w:p>
    <w:p>
      <w:pPr>
        <w:ind w:right="60"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the five-year credit facility (the "2020 Credit Facility") with Wells Fargo Bank, National Association consisting of a revolving line of credit, which currently provides for committed borrowings of $60 million. The maturity date on the 2020 Credit Facility is May 12, 2026.</w:t>
      </w:r>
    </w:p>
    <w:p>
      <w:pPr>
        <w:spacing w:after="0" w:line="68"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72"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The borrowings made before December 2022 bore interest at rates based on either: 1) London Interbank Offered Rate ("LIBOR"); or 2) a specified base rate (determined by reference to the greatest of the prime rate published by Wells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Fargo, the federal funds effective rate plus 1.5% and one-month LIBOR plus 1.50%), as selected periodically by the Company. The LIBOR-based loans bore interest at LIBOR plus the Spread. The unused commitment fee prior to the December 2022 amendment was the same.</w:t>
      </w:r>
    </w:p>
    <w:p>
      <w:pPr>
        <w:spacing w:after="0" w:line="54" w:lineRule="exact"/>
        <w:rPr>
          <w:sz w:val="20"/>
          <w:szCs w:val="20"/>
          <w:color w:val="auto"/>
        </w:rPr>
      </w:pPr>
    </w:p>
    <w:p>
      <w:pPr>
        <w:ind w:right="24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December 31, 2023 and December 31, 2022, respectively. As of December 31, 2023, we were compliant with all financial covenants.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In May 2021, we entered into a Term Commitment Note, or the Term Facility with Wells Fargo pursuant to the terms of the Credit Agreement entered into in connection with the 2020 Credit Facility. The Term Facility provided us with term loans of up to $30.0 million, or the Term Loans. Borrowings under the Term Facility bear interest at the same rate as the Revolving Facility. We were required to repay the principal on the Term Loans in quarterly installments, commencing on October 1, 2021, through maturity date of May 21, 2026. On October 27, 2021, the Company repaid the outstanding balance on the 2021 Term Loan using the net proceeds from the IPO.</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08" w:lineRule="exact"/>
        <w:rPr>
          <w:sz w:val="20"/>
          <w:szCs w:val="20"/>
          <w:color w:val="auto"/>
        </w:rPr>
      </w:pPr>
    </w:p>
    <w:p>
      <w:pPr>
        <w:ind w:right="280" w:firstLine="551"/>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 on these vehicle loans range from 4.56% to 5.68%. The outstanding balance on the vehicle loans as of December 31, 2023 was less than $0.1 million.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w:t>
      </w:r>
    </w:p>
    <w:p>
      <w:pPr>
        <w:spacing w:after="0" w:line="229"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contractual obligations to repay indebtedness and required interest payments and unused commitment fees under our Revolving Facility and vehicle loans. As of December 31, 2023, we had no outstanding balance on the Revolving Facility. Any future outstanding balances on the Revolving Facility will be required to be repaid by May 2026.</w:t>
      </w:r>
    </w:p>
    <w:p>
      <w:pPr>
        <w:spacing w:after="0" w:line="16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lease certain assets under noncancelable operating leases, which expire through 2025. The leases relate primarily to office space in addition to machinery and equipment. Future minimum commitments under these leases are $1.7 million as of December 31, 2023.</w:t>
      </w:r>
    </w:p>
    <w:p>
      <w:pPr>
        <w:spacing w:after="0" w:line="189"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18"/>
          <w:szCs w:val="18"/>
          <w:color w:val="auto"/>
        </w:rPr>
        <w:t>As of December 31, 2023, we also have inventory purchase commitments, which include any raw material or packaging commitments with our suppliers to secure our needs for future orders, which are generally due to be paid within one year. We also have production purchase commitments from our manufacturers based on our production plans, forecasts and contracts, that might result in costs if we were to reduce our purchases significantly in 2024 or for some relationships, in future years. We have other contractual payments related to information technology service agreements, sponsorship and marketing agreements, and minimum contractual third-party warehouse commitments, which are not individually material.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firstLine="551"/>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within this Annual Report on Form 10-K, we believe that the following accounting policies are those most critical to the judgments and estimates used in the preparation of our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6" w:lineRule="exact"/>
        <w:rPr>
          <w:sz w:val="20"/>
          <w:szCs w:val="20"/>
          <w:color w:val="auto"/>
        </w:rPr>
      </w:pPr>
    </w:p>
    <w:p>
      <w:pPr>
        <w:ind w:right="60" w:firstLine="551"/>
        <w:spacing w:after="0" w:line="245"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defines a five-step model that requires entities exercise judgment when considering the terms of contract(s), which include (1) identifying the contract or agreement with a customer, (2) identifying the performance obligations in the contract or agreement, (3) 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 Our revenue is recognized net of allowances for returns, discounts, credits and any taxes collected from consumers.</w:t>
      </w:r>
    </w:p>
    <w:p>
      <w:pPr>
        <w:spacing w:after="0" w:line="195" w:lineRule="exact"/>
        <w:rPr>
          <w:sz w:val="20"/>
          <w:szCs w:val="20"/>
          <w:color w:val="auto"/>
        </w:rPr>
      </w:pPr>
    </w:p>
    <w:p>
      <w:pPr>
        <w:ind w:firstLine="551"/>
        <w:spacing w:after="0" w:line="244" w:lineRule="auto"/>
        <w:rPr>
          <w:sz w:val="20"/>
          <w:szCs w:val="20"/>
          <w:color w:val="auto"/>
        </w:rPr>
      </w:pPr>
      <w:r>
        <w:rPr>
          <w:rFonts w:ascii="Times New Roman" w:cs="Times New Roman" w:eastAsia="Times New Roman" w:hAnsi="Times New Roman"/>
          <w:sz w:val="18"/>
          <w:szCs w:val="18"/>
          <w:color w:val="auto"/>
        </w:rPr>
        <w:t xml:space="preserve">For our various products in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Other product categories,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97"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77" w:lineRule="exact"/>
        <w:rPr>
          <w:sz w:val="20"/>
          <w:szCs w:val="20"/>
          <w:color w:val="auto"/>
        </w:rPr>
      </w:pPr>
    </w:p>
    <w:p>
      <w:pPr>
        <w:ind w:right="14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consolidated financial statements include accruals for these promotion and discounts. The accruals are made for invoices that have not yet been received as of year-end and are recorded as a reduction of sales, and are based on contract terms and our historical experience with similar programs and require management judgement with respect to estimating customer and consumer participation and performance levels.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40" w:firstLine="551"/>
        <w:spacing w:after="0" w:line="242"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Accounting Standards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89" w:lineRule="exact"/>
        <w:rPr>
          <w:sz w:val="20"/>
          <w:szCs w:val="20"/>
          <w:color w:val="auto"/>
        </w:rPr>
      </w:pPr>
    </w:p>
    <w:p>
      <w:pPr>
        <w:jc w:val="both"/>
        <w:ind w:right="340" w:firstLine="551"/>
        <w:spacing w:after="0" w:line="258" w:lineRule="auto"/>
        <w:rPr>
          <w:sz w:val="20"/>
          <w:szCs w:val="20"/>
          <w:color w:val="auto"/>
        </w:rPr>
      </w:pPr>
      <w:r>
        <w:rPr>
          <w:rFonts w:ascii="Times New Roman" w:cs="Times New Roman" w:eastAsia="Times New Roman" w:hAnsi="Times New Roman"/>
          <w:sz w:val="18"/>
          <w:szCs w:val="18"/>
          <w:color w:val="auto"/>
        </w:rPr>
        <w:t>We must make assumptions and judgments to estimate the amount of valuation allowances to be recorded against our deferred tax assets, which take into account current tax laws and estimates of the amount of future taxable income, if any. Changes to any of the assumptions or judgments could cause our actual income tax obligations to differ from our estimates.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380" w:firstLine="551"/>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paid in excess of the fair value of net tangible and intangible assets acquired in a business combination and is measured in accordance with the provisions of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not amortized; instead goodwill is tested for impairment on an annual basis on December 31, or more frequently if the Company believes indicators of impairment exist.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determined that there are three reporting units for purposes of testing goodwill for impairment: (i) the Americas reporting unit,</w:t>
      </w:r>
    </w:p>
    <w:p>
      <w:pPr>
        <w:spacing w:after="0" w:line="27" w:lineRule="exact"/>
        <w:rPr>
          <w:sz w:val="20"/>
          <w:szCs w:val="20"/>
          <w:color w:val="auto"/>
        </w:rPr>
      </w:pPr>
    </w:p>
    <w:p>
      <w:pPr>
        <w:ind w:right="20" w:firstLine="8"/>
        <w:spacing w:after="0"/>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 reporting unit, and (iii) the Asia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98" w:lineRule="exact"/>
        <w:rPr>
          <w:sz w:val="20"/>
          <w:szCs w:val="20"/>
          <w:color w:val="auto"/>
        </w:rPr>
      </w:pPr>
    </w:p>
    <w:p>
      <w:pPr>
        <w:ind w:right="20" w:firstLine="551"/>
        <w:spacing w:after="0" w:line="242" w:lineRule="auto"/>
        <w:rPr>
          <w:sz w:val="20"/>
          <w:szCs w:val="20"/>
          <w:color w:val="auto"/>
        </w:rPr>
      </w:pPr>
      <w:r>
        <w:rPr>
          <w:rFonts w:ascii="Times New Roman" w:cs="Times New Roman" w:eastAsia="Times New Roman" w:hAnsi="Times New Roman"/>
          <w:sz w:val="18"/>
          <w:szCs w:val="18"/>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our industry, and require us to make certain assumptions and estimates regarding industry economic factors and future profitability of our business. It is our policy to conduct impairment testing based on our most current business plans, projected future revenues and cash flows, which reflect changes we anticipate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our reporting unit. The Company will recognize an impairment for the amount by which the carrying amount exceeds a reporting unit’s fair value. For the years ended December 31, 2023 and 2022, there were no impairments recorded.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to take advantage of an extended transition period to comply with new or revised accounting standards applicable to public companies until those standards would otherwise apply to private companies. Following the IPO, as an emerging growth company, we elected to apply the extended transition period.</w:t>
      </w:r>
    </w:p>
    <w:p>
      <w:pPr>
        <w:spacing w:after="0" w:line="190"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Emerging growth company status ceases on the date that is the earliest of (i) the last day of the fiscal year in which we have total annual gross revenues of $1.235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 Based on the closing share price and the market value of the Company's Common Stock, par value $0.01 per share ("Common Stock"), held by non-affiliates as of June 30, 2023, the Company was deemed a large accelerated public company filer as of December 31, 2023. As a result, beginning with this Annual Report on Form 10-K for the year ending December 31, 2023, the Company will not be able to rely on the extended transition period noted above and will be required to adopt all new accounting pronouncements within the same time periods as public companies.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6"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elsewhere within this Annual Report on Form 10-K.</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185" w:lineRule="exact"/>
        <w:rPr>
          <w:sz w:val="20"/>
          <w:szCs w:val="20"/>
          <w:color w:val="auto"/>
        </w:rPr>
      </w:pPr>
    </w:p>
    <w:p>
      <w:pPr>
        <w:ind w:right="60" w:firstLine="567"/>
        <w:spacing w:after="0" w:line="222" w:lineRule="auto"/>
        <w:rPr>
          <w:sz w:val="20"/>
          <w:szCs w:val="20"/>
          <w:color w:val="auto"/>
        </w:rPr>
      </w:pPr>
      <w:r>
        <w:rPr>
          <w:rFonts w:ascii="Times New Roman" w:cs="Times New Roman" w:eastAsia="Times New Roman" w:hAnsi="Times New Roman"/>
          <w:sz w:val="18"/>
          <w:szCs w:val="18"/>
          <w:color w:val="auto"/>
        </w:rPr>
        <w:t>As of December 31, 2023, the outstanding amounts related to our Revolving Facility incur interest fees at variable interest rates and are affected by changes in the general level of market interest rates. However, there was zero outstanding balance on the Revolving Facility as of December 31, 2023.</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During the year ended December 31, 2021, the Company repaid the outstanding balance on the 2021 Term Loan as discussed in the consolidated financial statements included elsewhere in this Form 10-K, using net proceeds received on the closing of the IPO.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02" w:lineRule="exact"/>
        <w:rPr>
          <w:sz w:val="20"/>
          <w:szCs w:val="20"/>
          <w:color w:val="auto"/>
        </w:rPr>
      </w:pPr>
    </w:p>
    <w:p>
      <w:pPr>
        <w:ind w:firstLine="567"/>
        <w:spacing w:after="0" w:line="229" w:lineRule="auto"/>
        <w:rPr>
          <w:sz w:val="20"/>
          <w:szCs w:val="20"/>
          <w:color w:val="auto"/>
        </w:rPr>
      </w:pPr>
      <w:r>
        <w:rPr>
          <w:rFonts w:ascii="Times New Roman" w:cs="Times New Roman" w:eastAsia="Times New Roman" w:hAnsi="Times New Roman"/>
          <w:sz w:val="17"/>
          <w:szCs w:val="17"/>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w:t>
      </w:r>
    </w:p>
    <w:p>
      <w:pPr>
        <w:jc w:val="both"/>
        <w:ind w:right="160"/>
        <w:spacing w:after="0" w:line="220" w:lineRule="auto"/>
        <w:rPr>
          <w:sz w:val="20"/>
          <w:szCs w:val="20"/>
          <w:color w:val="auto"/>
        </w:rPr>
      </w:pPr>
      <w:r>
        <w:rPr>
          <w:rFonts w:ascii="Times New Roman" w:cs="Times New Roman" w:eastAsia="Times New Roman" w:hAnsi="Times New Roman"/>
          <w:sz w:val="17"/>
          <w:szCs w:val="17"/>
          <w:color w:val="auto"/>
        </w:rPr>
        <w:t>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165" w:lineRule="exact"/>
        <w:rPr>
          <w:sz w:val="20"/>
          <w:szCs w:val="20"/>
          <w:color w:val="auto"/>
        </w:rPr>
      </w:pPr>
    </w:p>
    <w:p>
      <w:pPr>
        <w:ind w:right="320" w:firstLine="567"/>
        <w:spacing w:after="0" w:line="222"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$121.0 million and $97.4 million as of December 31, 2023 and December 31, 2022, respectively. The derivatives on the forward exchange contracts resulted in an unrealized loss of $0.9 million as of December 31, 2023, and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 that a 10 percent strengthening or weakening of the U.S. dollar would have resulted in an approximately $6.2 million gain or loss.</w:t>
      </w:r>
    </w:p>
    <w:p>
      <w:pPr>
        <w:spacing w:after="0" w:line="192" w:lineRule="exact"/>
        <w:rPr>
          <w:sz w:val="20"/>
          <w:szCs w:val="20"/>
          <w:color w:val="auto"/>
        </w:rPr>
      </w:pPr>
    </w:p>
    <w:p>
      <w:pPr>
        <w:ind w:right="80" w:firstLine="567"/>
        <w:spacing w:after="0" w:line="222" w:lineRule="auto"/>
        <w:rPr>
          <w:sz w:val="20"/>
          <w:szCs w:val="20"/>
          <w:color w:val="auto"/>
        </w:rPr>
      </w:pPr>
      <w:r>
        <w:rPr>
          <w:rFonts w:ascii="Times New Roman" w:cs="Times New Roman" w:eastAsia="Times New Roman" w:hAnsi="Times New Roman"/>
          <w:sz w:val="18"/>
          <w:szCs w:val="18"/>
          <w:color w:val="auto"/>
        </w:rPr>
        <w:t>Part of our cash and cash equivalents are denominated in foreign currencies. As of December 31, 2023, a 1% change in the value of the U.S. dollar compared to foreign currencies would have caused our cash and cash equivalents to decrease or increase by $0.1 million. As of December 31, 2022, a 1%</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change in the value of the U.S. dollar compared to foreign currencies would have caused our cash and cash equivalents to decrease or increase by $0.1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02" w:lineRule="exact"/>
        <w:rPr>
          <w:sz w:val="20"/>
          <w:szCs w:val="20"/>
          <w:color w:val="auto"/>
        </w:rPr>
      </w:pPr>
    </w:p>
    <w:p>
      <w:pPr>
        <w:ind w:right="140" w:firstLine="567"/>
        <w:spacing w:after="0" w:line="229" w:lineRule="auto"/>
        <w:rPr>
          <w:sz w:val="20"/>
          <w:szCs w:val="20"/>
          <w:color w:val="auto"/>
        </w:rPr>
      </w:pPr>
      <w:r>
        <w:rPr>
          <w:rFonts w:ascii="Times New Roman" w:cs="Times New Roman" w:eastAsia="Times New Roman" w:hAnsi="Times New Roman"/>
          <w:sz w:val="17"/>
          <w:szCs w:val="17"/>
          <w:color w:val="auto"/>
        </w:rPr>
        <w:t>Inflation generally affects us by increasing our costs of goods and labor costs. In the three years ending December 31, 2023, we experienced significant inflation on transportation costs compared to 2020 levels, which impacted our costs and margins significantly. While these transportation costs largely returned to historic levels during 2023, we have again seen instability in pricing due to geopolitical disruption of shipping lanes during 2024. We</w:t>
      </w:r>
    </w:p>
    <w:p>
      <w:pPr>
        <w:ind w:right="520"/>
        <w:spacing w:after="0" w:line="226" w:lineRule="auto"/>
        <w:rPr>
          <w:sz w:val="20"/>
          <w:szCs w:val="20"/>
          <w:color w:val="auto"/>
        </w:rPr>
      </w:pPr>
      <w:r>
        <w:rPr>
          <w:rFonts w:ascii="Times New Roman" w:cs="Times New Roman" w:eastAsia="Times New Roman" w:hAnsi="Times New Roman"/>
          <w:sz w:val="18"/>
          <w:szCs w:val="18"/>
          <w:color w:val="auto"/>
        </w:rPr>
        <w:t>source a large amount of our finished goods from international countries, which exposes us to international supply chain inflation, particularly ocean freight. Inflation rates varies by country and can impact our costs of operating in those countries.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40" w:firstLine="567"/>
        <w:spacing w:after="0" w:line="229"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As of December 31, 2023, sales to two customers represented approximately 53%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w:t>
      </w:r>
    </w:p>
    <w:p>
      <w:pPr>
        <w:spacing w:after="0"/>
        <w:rPr>
          <w:sz w:val="20"/>
          <w:szCs w:val="20"/>
          <w:color w:val="auto"/>
        </w:rPr>
      </w:pPr>
      <w:r>
        <w:rPr>
          <w:rFonts w:ascii="Times New Roman" w:cs="Times New Roman" w:eastAsia="Times New Roman" w:hAnsi="Times New Roman"/>
          <w:sz w:val="18"/>
          <w:szCs w:val="18"/>
          <w:color w:val="auto"/>
        </w:rPr>
        <w:t>need to be recorded. Significant economic disruptions or a slowdown in the economy could result in substantial additional charges.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set forth below: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NDEX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0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 34)</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660" w:type="dxa"/>
            <w:vAlign w:val="bottom"/>
            <w:gridSpan w:val="5"/>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346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2022 and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316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6"/>
        </w:trPr>
        <w:tc>
          <w:tcPr>
            <w:tcW w:w="9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Non-Controlling Interests and Stockholders’ Equity for the years ended December 31, 2023, 2022 and 2021</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40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6"/>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Vita Coco Company,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The Vita Coco Company,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w:t>
      </w:r>
    </w:p>
    <w:p>
      <w:pPr>
        <w:spacing w:after="0"/>
        <w:rPr>
          <w:sz w:val="20"/>
          <w:szCs w:val="20"/>
          <w:color w:val="auto"/>
        </w:rPr>
      </w:pPr>
      <w:r>
        <w:rPr>
          <w:rFonts w:ascii="Times New Roman" w:cs="Times New Roman" w:eastAsia="Times New Roman" w:hAnsi="Times New Roman"/>
          <w:sz w:val="18"/>
          <w:szCs w:val="18"/>
          <w:color w:val="auto"/>
        </w:rPr>
        <w:t>31, 2023, based on criteria established in Internal Control — Integrated Framework (2013) issued by COSO.</w:t>
      </w:r>
    </w:p>
    <w:p>
      <w:pPr>
        <w:spacing w:after="0" w:line="19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2023, of the Company and our report dated February 29, 2024 , expressed an unqualified</w:t>
      </w:r>
    </w:p>
    <w:p>
      <w:pPr>
        <w:spacing w:after="0"/>
        <w:rPr>
          <w:sz w:val="20"/>
          <w:szCs w:val="20"/>
          <w:color w:val="auto"/>
        </w:rPr>
      </w:pPr>
      <w:r>
        <w:rPr>
          <w:rFonts w:ascii="Times New Roman" w:cs="Times New Roman" w:eastAsia="Times New Roman" w:hAnsi="Times New Roman"/>
          <w:sz w:val="18"/>
          <w:szCs w:val="18"/>
          <w:color w:val="auto"/>
        </w:rPr>
        <w:t>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2"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spacing w:after="0" w:line="2"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Vita Coco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Vita Coco Company, Inc. and subsidiaries (the "Company") as of December 31, 2023 and 2022, the related consolidated statements of operations,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29, 2024, expressed an unqualified opinion on the Company's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 Accrual — Refer to Note 2 to the financial statement</w:t>
      </w:r>
      <w:r>
        <w:rPr>
          <w:rFonts w:ascii="Arial" w:cs="Arial" w:eastAsia="Arial" w:hAnsi="Arial"/>
          <w:sz w:val="19"/>
          <w:szCs w:val="19"/>
          <w:b w:val="1"/>
          <w:bCs w:val="1"/>
          <w:i w:val="1"/>
          <w:iCs w:val="1"/>
          <w:color w:val="auto"/>
        </w:rPr>
        <w: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Company’s contracts with customers include variable consideration, including trade promotions. Variable consideration is treated as a reduction in revenue when the related revenue is recognized, and is recorded using the expected value method, with updates to estimates and related accruals of variable consideration occurring each period based on historical experience and changes in circumstances. As disclosed by management in Note 9, the Company’s trade promotion accrual was $22.9 million as of December 31, 2023.</w:t>
      </w:r>
    </w:p>
    <w:p>
      <w:pPr>
        <w:spacing w:after="0" w:line="2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identified the estimation of trade promotion accruals by management as a critical audit matter. These accruals are based on contract terms and the Company’s historical experience with similar programs and requires management judgment with respect to estimating customer and consumer participation and performance results. Consequently, auditing these assumptions require subjective auditor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trade promotion accruals included the following, among others:</w:t>
      </w:r>
    </w:p>
    <w:p>
      <w:pPr>
        <w:spacing w:after="0" w:line="212" w:lineRule="exact"/>
        <w:rPr>
          <w:sz w:val="20"/>
          <w:szCs w:val="20"/>
          <w:color w:val="auto"/>
        </w:rPr>
      </w:pP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calculation of the trade promotion accruals, including management’s controls over the review of the period-end accrual.</w:t>
      </w:r>
    </w:p>
    <w:p>
      <w:pPr>
        <w:spacing w:after="0" w:line="176"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individual customers and promotional periods included in management’s detail of the recorded trade promotion accruals, and evaluated inputs relevant to recorded amounts, including contractual pricing and rebate arrangements with customers and customer claims received subsequent to the accrual period, which were compared to source documents.</w:t>
      </w:r>
    </w:p>
    <w:p>
      <w:pPr>
        <w:spacing w:after="0" w:line="23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color w:val="auto"/>
        </w:rPr>
        <w:t>We selected a sample of subsequent credits submitted by customers and inspected relevant source documents.</w:t>
      </w:r>
    </w:p>
    <w:p>
      <w:pPr>
        <w:spacing w:after="0" w:line="242" w:lineRule="exact"/>
        <w:rPr>
          <w:rFonts w:ascii="Arial" w:cs="Arial" w:eastAsia="Arial" w:hAnsi="Arial"/>
          <w:sz w:val="20"/>
          <w:szCs w:val="20"/>
          <w:color w:val="auto"/>
        </w:rPr>
      </w:pPr>
    </w:p>
    <w:p>
      <w:pPr>
        <w:jc w:val="both"/>
        <w:ind w:left="660" w:right="460" w:hanging="328"/>
        <w:spacing w:after="0" w:line="268" w:lineRule="auto"/>
        <w:tabs>
          <w:tab w:leader="none" w:pos="621"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7"/>
          <w:szCs w:val="17"/>
          <w:color w:val="auto"/>
        </w:rPr>
        <w:t>We tested the trade promotion accrual at year-end by developing an expectation of the amount by applying the ratio of gross sales and trade promotion accrual balances at interim periods to gross sales in the fourth quarter and compared it to the balance recorded by management.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ind w:left="4100"/>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132,537</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19,629</w:t>
            </w:r>
          </w:p>
        </w:tc>
        <w:tc>
          <w:tcPr>
            <w:tcW w:w="0" w:type="dxa"/>
            <w:vAlign w:val="bottom"/>
          </w:tcPr>
          <w:p>
            <w:pPr>
              <w:spacing w:after="0"/>
              <w:rPr>
                <w:sz w:val="1"/>
                <w:szCs w:val="1"/>
                <w:color w:val="auto"/>
              </w:rPr>
            </w:pP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of $2,486 at December 31, 2023, and $2,898 at December 31, 2022</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50,757</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84,115</w:t>
            </w:r>
          </w:p>
        </w:tc>
        <w:tc>
          <w:tcPr>
            <w:tcW w:w="0" w:type="dxa"/>
            <w:vAlign w:val="bottom"/>
          </w:tcPr>
          <w:p>
            <w:pPr>
              <w:spacing w:after="0"/>
              <w:rPr>
                <w:sz w:val="1"/>
                <w:szCs w:val="1"/>
                <w:color w:val="auto"/>
              </w:rPr>
            </w:pP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Supplier advances, Current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0" w:type="dxa"/>
            <w:vAlign w:val="bottom"/>
          </w:tcPr>
          <w:p>
            <w:pPr>
              <w:spacing w:after="0"/>
              <w:rPr>
                <w:sz w:val="1"/>
                <w:szCs w:val="1"/>
                <w:color w:val="auto"/>
              </w:rPr>
            </w:pP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Asset held for sale</w:t>
            </w:r>
          </w:p>
        </w:tc>
        <w:tc>
          <w:tcPr>
            <w:tcW w:w="9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22,181</w:t>
            </w:r>
          </w:p>
        </w:tc>
        <w:tc>
          <w:tcPr>
            <w:tcW w:w="0" w:type="dxa"/>
            <w:vAlign w:val="bottom"/>
          </w:tcPr>
          <w:p>
            <w:pPr>
              <w:spacing w:after="0"/>
              <w:rPr>
                <w:sz w:val="1"/>
                <w:szCs w:val="1"/>
                <w:color w:val="auto"/>
              </w:rPr>
            </w:pPr>
          </w:p>
        </w:tc>
      </w:tr>
      <w:tr>
        <w:trPr>
          <w:trHeight w:val="186"/>
        </w:trPr>
        <w:tc>
          <w:tcPr>
            <w:tcW w:w="81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262,937</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174,918</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Supplier advances, long-term</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193"/>
        </w:trPr>
        <w:tc>
          <w:tcPr>
            <w:tcW w:w="8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assets,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Right-of-use assets,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193"/>
        </w:trPr>
        <w:tc>
          <w:tcPr>
            <w:tcW w:w="8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assets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285,682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197,757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w:t>
            </w:r>
          </w:p>
        </w:tc>
        <w:tc>
          <w:tcPr>
            <w:tcW w:w="12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38,342</w:t>
            </w:r>
          </w:p>
        </w:tc>
        <w:tc>
          <w:tcPr>
            <w:tcW w:w="0" w:type="dxa"/>
            <w:vAlign w:val="bottom"/>
          </w:tcPr>
          <w:p>
            <w:pPr>
              <w:spacing w:after="0"/>
              <w:rPr>
                <w:sz w:val="1"/>
                <w:szCs w:val="1"/>
                <w:color w:val="auto"/>
              </w:rPr>
            </w:pPr>
          </w:p>
        </w:tc>
      </w:tr>
      <w:tr>
        <w:trPr>
          <w:trHeight w:val="193"/>
        </w:trPr>
        <w:tc>
          <w:tcPr>
            <w:tcW w:w="8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Notes payable, current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6"/>
        </w:trPr>
        <w:tc>
          <w:tcPr>
            <w:tcW w:w="8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82,585</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54,346</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83,245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56,664</w:t>
            </w:r>
          </w:p>
        </w:tc>
        <w:tc>
          <w:tcPr>
            <w:tcW w:w="0" w:type="dxa"/>
            <w:vAlign w:val="bottom"/>
          </w:tcPr>
          <w:p>
            <w:pPr>
              <w:spacing w:after="0"/>
              <w:rPr>
                <w:sz w:val="1"/>
                <w:szCs w:val="1"/>
                <w:color w:val="auto"/>
              </w:rPr>
            </w:pPr>
          </w:p>
        </w:tc>
      </w:tr>
      <w:tr>
        <w:trPr>
          <w:trHeight w:val="17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(See Note 11)</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8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63,135,453 and 62,225,250 shares issued at December 31, 2023 and</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December 31, 2022, respectively; 56,899,253 and 56,019,050 Shares Outstanding at December 31, 2023 and December 31, 2022,</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145,210</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6,236,200 shares at cost as of December 31, 2023, and 6,206,200 as of December 31, 2022.</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(58,928)</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stockholders’ equity attributable to The Vita Coco Company, Inc.</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202,437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141,093</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285,682</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197,757</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266,365</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5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5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0" w:type="dxa"/>
            <w:vAlign w:val="bottom"/>
          </w:tcPr>
          <w:p>
            <w:pPr>
              <w:spacing w:after="0"/>
              <w:rPr>
                <w:sz w:val="1"/>
                <w:szCs w:val="1"/>
                <w:color w:val="auto"/>
              </w:rPr>
            </w:pPr>
          </w:p>
        </w:tc>
      </w:tr>
      <w:tr>
        <w:trPr>
          <w:trHeight w:val="256"/>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income/(loss) attributable to noncontrolling interest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Vita Coco Company, Inc.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Vita Coco Company, Inc. per common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56,427,890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55,732,619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53,689,910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58,747,338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56,123,661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54,186,121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including noncontrolling interest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w:t>
            </w: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noncontrolling interest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NON-CONTROLLING INTERESTS AND STOCKHOLDERS’ EQUITY</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jc w:val="center"/>
        <w:ind w:right="-179"/>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55880</wp:posOffset>
            </wp:positionV>
            <wp:extent cx="4903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5"/>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8"/>
              </w:rPr>
              <w:t>Stockholders'</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gridSpan w:val="5"/>
            <w:vMerge w:val="restart"/>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with Exit</w:t>
            </w:r>
          </w:p>
        </w:tc>
        <w:tc>
          <w:tcPr>
            <w:tcW w:w="1340" w:type="dxa"/>
            <w:vAlign w:val="bottom"/>
            <w:gridSpan w:val="5"/>
            <w:vMerge w:val="restart"/>
          </w:tcPr>
          <w:p>
            <w:pPr>
              <w:ind w:left="280"/>
              <w:spacing w:after="0" w:line="108" w:lineRule="exact"/>
              <w:rPr>
                <w:sz w:val="20"/>
                <w:szCs w:val="20"/>
                <w:color w:val="auto"/>
              </w:rPr>
            </w:pPr>
            <w:r>
              <w:rPr>
                <w:rFonts w:ascii="Times New Roman" w:cs="Times New Roman" w:eastAsia="Times New Roman" w:hAnsi="Times New Roman"/>
                <w:sz w:val="11"/>
                <w:szCs w:val="11"/>
                <w:b w:val="1"/>
                <w:bCs w:val="1"/>
                <w:color w:val="auto"/>
              </w:rPr>
              <w:t>Total Common</w:t>
            </w: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tcPr>
          <w:p>
            <w:pPr>
              <w:jc w:val="center"/>
              <w:ind w:right="200"/>
              <w:spacing w:after="0" w:line="57" w:lineRule="exact"/>
              <w:rPr>
                <w:sz w:val="20"/>
                <w:szCs w:val="20"/>
                <w:color w:val="auto"/>
              </w:rPr>
            </w:pPr>
            <w:r>
              <w:rPr>
                <w:rFonts w:ascii="Times New Roman" w:cs="Times New Roman" w:eastAsia="Times New Roman" w:hAnsi="Times New Roman"/>
                <w:sz w:val="6"/>
                <w:szCs w:val="6"/>
                <w:b w:val="1"/>
                <w:bCs w:val="1"/>
                <w:color w:val="auto"/>
              </w:rPr>
              <w:t>Equity</w:t>
            </w:r>
          </w:p>
        </w:tc>
        <w:tc>
          <w:tcPr>
            <w:tcW w:w="140" w:type="dxa"/>
            <w:vAlign w:val="bottom"/>
          </w:tcPr>
          <w:p>
            <w:pPr>
              <w:spacing w:after="0"/>
              <w:rPr>
                <w:sz w:val="4"/>
                <w:szCs w:val="4"/>
                <w:color w:val="auto"/>
              </w:rPr>
            </w:pPr>
          </w:p>
        </w:tc>
        <w:tc>
          <w:tcPr>
            <w:tcW w:w="56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gridSpan w:val="5"/>
            <w:vMerge w:val="continue"/>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8"/>
              </w:rPr>
              <w:t>Retained</w:t>
            </w:r>
          </w:p>
        </w:tc>
        <w:tc>
          <w:tcPr>
            <w:tcW w:w="80" w:type="dxa"/>
            <w:vAlign w:val="bottom"/>
          </w:tcPr>
          <w:p>
            <w:pPr>
              <w:spacing w:after="0"/>
              <w:rPr>
                <w:sz w:val="4"/>
                <w:szCs w:val="4"/>
                <w:color w:val="auto"/>
              </w:rPr>
            </w:pPr>
          </w:p>
        </w:tc>
        <w:tc>
          <w:tcPr>
            <w:tcW w:w="68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7"/>
              </w:rPr>
              <w:t>Accumulated</w:t>
            </w: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vMerge w:val="restart"/>
          </w:tcPr>
          <w:p>
            <w:pPr>
              <w:jc w:val="center"/>
              <w:ind w:right="100"/>
              <w:spacing w:after="0" w:line="95" w:lineRule="exact"/>
              <w:rPr>
                <w:sz w:val="20"/>
                <w:szCs w:val="20"/>
                <w:color w:val="auto"/>
              </w:rPr>
            </w:pPr>
            <w:r>
              <w:rPr>
                <w:rFonts w:ascii="Times New Roman" w:cs="Times New Roman" w:eastAsia="Times New Roman" w:hAnsi="Times New Roman"/>
                <w:sz w:val="9"/>
                <w:szCs w:val="9"/>
                <w:b w:val="1"/>
                <w:bCs w:val="1"/>
                <w:color w:val="auto"/>
                <w:w w:val="99"/>
              </w:rPr>
              <w:t>Attributable</w:t>
            </w:r>
          </w:p>
        </w:tc>
        <w:tc>
          <w:tcPr>
            <w:tcW w:w="1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11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3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3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00" w:type="dxa"/>
            <w:vAlign w:val="bottom"/>
            <w:gridSpan w:val="3"/>
            <w:vMerge w:val="continue"/>
          </w:tcPr>
          <w:p>
            <w:pPr>
              <w:spacing w:after="0"/>
              <w:rPr>
                <w:sz w:val="3"/>
                <w:szCs w:val="3"/>
                <w:color w:val="auto"/>
              </w:rPr>
            </w:pPr>
          </w:p>
        </w:tc>
        <w:tc>
          <w:tcPr>
            <w:tcW w:w="7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00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w w:val="96"/>
              </w:rPr>
              <w:t>Earnings</w:t>
            </w:r>
          </w:p>
        </w:tc>
        <w:tc>
          <w:tcPr>
            <w:tcW w:w="80" w:type="dxa"/>
            <w:vAlign w:val="bottom"/>
          </w:tcPr>
          <w:p>
            <w:pPr>
              <w:spacing w:after="0"/>
              <w:rPr>
                <w:sz w:val="8"/>
                <w:szCs w:val="8"/>
                <w:color w:val="auto"/>
              </w:rPr>
            </w:pPr>
          </w:p>
        </w:tc>
        <w:tc>
          <w:tcPr>
            <w:tcW w:w="680" w:type="dxa"/>
            <w:vAlign w:val="bottom"/>
            <w:gridSpan w:val="2"/>
          </w:tcPr>
          <w:p>
            <w:pPr>
              <w:jc w:val="center"/>
              <w:ind w:right="180"/>
              <w:spacing w:after="0" w:line="92"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3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60"/>
              <w:spacing w:after="0" w:line="92" w:lineRule="exact"/>
              <w:rPr>
                <w:sz w:val="20"/>
                <w:szCs w:val="20"/>
                <w:color w:val="auto"/>
              </w:rPr>
            </w:pPr>
            <w:r>
              <w:rPr>
                <w:rFonts w:ascii="Times New Roman" w:cs="Times New Roman" w:eastAsia="Times New Roman" w:hAnsi="Times New Roman"/>
                <w:sz w:val="9"/>
                <w:szCs w:val="9"/>
                <w:b w:val="1"/>
                <w:bCs w:val="1"/>
                <w:color w:val="auto"/>
                <w:w w:val="96"/>
              </w:rPr>
              <w:t>to The Vita</w:t>
            </w:r>
          </w:p>
        </w:tc>
        <w:tc>
          <w:tcPr>
            <w:tcW w:w="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87"/>
              <w:spacing w:after="0" w:line="92"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2"/>
                <w:szCs w:val="2"/>
                <w:color w:val="auto"/>
              </w:rPr>
            </w:pPr>
          </w:p>
        </w:tc>
        <w:tc>
          <w:tcPr>
            <w:tcW w:w="58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rPr>
              <w:t>Loan to</w:t>
            </w:r>
          </w:p>
        </w:tc>
        <w:tc>
          <w:tcPr>
            <w:tcW w:w="720" w:type="dxa"/>
            <w:vAlign w:val="bottom"/>
            <w:gridSpan w:val="3"/>
            <w:vMerge w:val="restart"/>
          </w:tcPr>
          <w:p>
            <w:pPr>
              <w:jc w:val="center"/>
              <w:ind w:right="100"/>
              <w:spacing w:after="0" w:line="95" w:lineRule="exact"/>
              <w:rPr>
                <w:sz w:val="20"/>
                <w:szCs w:val="20"/>
                <w:color w:val="auto"/>
              </w:rPr>
            </w:pPr>
            <w:r>
              <w:rPr>
                <w:rFonts w:ascii="Times New Roman" w:cs="Times New Roman" w:eastAsia="Times New Roman" w:hAnsi="Times New Roman"/>
                <w:sz w:val="9"/>
                <w:szCs w:val="9"/>
                <w:b w:val="1"/>
                <w:bCs w:val="1"/>
                <w:color w:val="auto"/>
                <w:w w:val="99"/>
              </w:rPr>
              <w:t>(Accumulated</w:t>
            </w:r>
          </w:p>
        </w:tc>
        <w:tc>
          <w:tcPr>
            <w:tcW w:w="76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160"/>
              <w:spacing w:after="0" w:line="95" w:lineRule="exact"/>
              <w:rPr>
                <w:sz w:val="20"/>
                <w:szCs w:val="20"/>
                <w:color w:val="auto"/>
              </w:rPr>
            </w:pPr>
            <w:r>
              <w:rPr>
                <w:rFonts w:ascii="Times New Roman" w:cs="Times New Roman" w:eastAsia="Times New Roman" w:hAnsi="Times New Roman"/>
                <w:sz w:val="9"/>
                <w:szCs w:val="9"/>
                <w:b w:val="1"/>
                <w:bCs w:val="1"/>
                <w:color w:val="auto"/>
                <w:w w:val="92"/>
              </w:rPr>
              <w:t>Coco</w:t>
            </w:r>
          </w:p>
        </w:tc>
        <w:tc>
          <w:tcPr>
            <w:tcW w:w="700" w:type="dxa"/>
            <w:vAlign w:val="bottom"/>
            <w:gridSpan w:val="3"/>
            <w:vMerge w:val="restart"/>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62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8"/>
              </w:rPr>
              <w:t>Stockholders'</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4"/>
                <w:szCs w:val="4"/>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Shareholder</w:t>
            </w:r>
          </w:p>
        </w:tc>
        <w:tc>
          <w:tcPr>
            <w:tcW w:w="10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Deficit)</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9"/>
                <w:szCs w:val="9"/>
                <w:b w:val="1"/>
                <w:bCs w:val="1"/>
                <w:color w:val="auto"/>
              </w:rPr>
              <w:t>Income / (Loss)</w:t>
            </w: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 Inc.</w:t>
            </w: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Subsidiary</w:t>
            </w:r>
          </w:p>
        </w:tc>
        <w:tc>
          <w:tcPr>
            <w:tcW w:w="120" w:type="dxa"/>
            <w:vAlign w:val="bottom"/>
          </w:tcPr>
          <w:p>
            <w:pPr>
              <w:spacing w:after="0"/>
              <w:rPr>
                <w:sz w:val="11"/>
                <w:szCs w:val="11"/>
                <w:color w:val="auto"/>
              </w:rPr>
            </w:pPr>
          </w:p>
        </w:tc>
        <w:tc>
          <w:tcPr>
            <w:tcW w:w="500" w:type="dxa"/>
            <w:vAlign w:val="bottom"/>
          </w:tcPr>
          <w:p>
            <w:pPr>
              <w:jc w:val="center"/>
              <w:ind w:right="67"/>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b w:val="1"/>
                <w:bCs w:val="1"/>
                <w:color w:val="auto"/>
              </w:rPr>
              <w:t>2020</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6"/>
              </w:rPr>
              <w:t>51,086,945</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511</w:t>
            </w:r>
          </w:p>
        </w:tc>
        <w:tc>
          <w:tcPr>
            <w:tcW w:w="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8,113,105</w:t>
            </w: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59,200,050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100,849</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(17,700)</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28,354</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1,014,195</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(8,925)</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102,221</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102,299</w:t>
            </w:r>
          </w:p>
        </w:tc>
        <w:tc>
          <w:tcPr>
            <w:tcW w:w="0" w:type="dxa"/>
            <w:vAlign w:val="bottom"/>
          </w:tcPr>
          <w:p>
            <w:pPr>
              <w:spacing w:after="0"/>
              <w:rPr>
                <w:sz w:val="1"/>
                <w:szCs w:val="1"/>
                <w:color w:val="auto"/>
              </w:rPr>
            </w:pPr>
          </w:p>
        </w:tc>
      </w:tr>
      <w:tr>
        <w:trPr>
          <w:trHeight w:val="153"/>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19,015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19,015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18,992</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pursuant to</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initial public</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underwriting</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discounts and</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offering costs</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30,331</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30,356</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30,356</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5,192,005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(50,003)</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Loan to stockholder</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17,700</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17,700</w:t>
            </w: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17,700</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3,380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Exercise of stock</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awards</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20,930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20,930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 of non-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98"/>
              </w:rPr>
              <w:t>controlling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adjustment</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0" w:type="dxa"/>
            <w:vAlign w:val="bottom"/>
          </w:tcPr>
          <w:p>
            <w:pPr>
              <w:spacing w:after="0"/>
              <w:rPr>
                <w:sz w:val="1"/>
                <w:szCs w:val="1"/>
                <w:color w:val="auto"/>
              </w:rPr>
            </w:pPr>
          </w:p>
        </w:tc>
      </w:tr>
      <w:tr>
        <w:trPr>
          <w:trHeight w:val="133"/>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53,651,477</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537</w:t>
            </w: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61,764,582</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618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134,730</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47,369</w:t>
            </w:r>
          </w:p>
        </w:tc>
        <w:tc>
          <w:tcPr>
            <w:tcW w:w="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(616)</w:t>
            </w:r>
          </w:p>
        </w:tc>
        <w:tc>
          <w:tcPr>
            <w:tcW w:w="8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123,173</w:t>
            </w:r>
          </w:p>
        </w:tc>
        <w:tc>
          <w:tcPr>
            <w:tcW w:w="8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123,173</w:t>
            </w:r>
          </w:p>
        </w:tc>
        <w:tc>
          <w:tcPr>
            <w:tcW w:w="0" w:type="dxa"/>
            <w:vAlign w:val="bottom"/>
          </w:tcPr>
          <w:p>
            <w:pPr>
              <w:spacing w:after="0"/>
              <w:rPr>
                <w:sz w:val="1"/>
                <w:szCs w:val="1"/>
                <w:color w:val="auto"/>
              </w:rPr>
            </w:pPr>
          </w:p>
        </w:tc>
      </w:tr>
      <w:tr>
        <w:trPr>
          <w:trHeight w:val="137"/>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Borders>
              <w:bottom w:val="single" w:sz="8" w:color="CFF0FC"/>
            </w:tcBorders>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7,814</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7,814</w:t>
            </w: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7,814</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7,384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7,384</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Exercise of stock</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awards</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460,668</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460,668</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3,096</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3,100</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adjustment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54,112,145</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541</w:t>
            </w: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62,225,250</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622</w:t>
            </w:r>
          </w:p>
        </w:tc>
        <w:tc>
          <w:tcPr>
            <w:tcW w:w="8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145,210</w:t>
            </w:r>
          </w:p>
        </w:tc>
        <w:tc>
          <w:tcPr>
            <w:tcW w:w="8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55,183</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(994)</w:t>
            </w: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141,093</w:t>
            </w:r>
          </w:p>
        </w:tc>
        <w:tc>
          <w:tcPr>
            <w:tcW w:w="8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141,093</w:t>
            </w:r>
          </w:p>
        </w:tc>
        <w:tc>
          <w:tcPr>
            <w:tcW w:w="0" w:type="dxa"/>
            <w:vAlign w:val="bottom"/>
          </w:tcPr>
          <w:p>
            <w:pPr>
              <w:spacing w:after="0"/>
              <w:rPr>
                <w:sz w:val="1"/>
                <w:szCs w:val="1"/>
                <w:color w:val="auto"/>
              </w:rPr>
            </w:pPr>
          </w:p>
        </w:tc>
      </w:tr>
      <w:tr>
        <w:trPr>
          <w:trHeight w:val="157"/>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4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48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46,629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46,629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46,629</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Cumulative-effect</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adjustment related</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to the adoption of</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accounting</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w w:val="98"/>
              </w:rPr>
              <w:t>guidance for credit</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losses</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9,128</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9,128</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9,128</w:t>
            </w: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awards</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910,203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910,203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7,085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7,085</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adjustment</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133"/>
        </w:trPr>
        <w:tc>
          <w:tcPr>
            <w:tcW w:w="1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55,022,348</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w:t>
            </w:r>
          </w:p>
        </w:tc>
        <w:tc>
          <w:tcPr>
            <w:tcW w:w="80" w:type="dxa"/>
            <w:vAlign w:val="bottom"/>
          </w:tcPr>
          <w:p>
            <w:pPr>
              <w:spacing w:after="0"/>
              <w:rPr>
                <w:sz w:val="10"/>
                <w:szCs w:val="10"/>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63,135,453</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161,414</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100,742</w:t>
            </w:r>
          </w:p>
        </w:tc>
        <w:tc>
          <w:tcPr>
            <w:tcW w:w="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(649)</w:t>
            </w:r>
          </w:p>
        </w:tc>
        <w:tc>
          <w:tcPr>
            <w:tcW w:w="8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6,236,200</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(59,701)</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8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0" w:type="dxa"/>
            <w:vAlign w:val="bottom"/>
          </w:tcPr>
          <w:p>
            <w:pPr>
              <w:spacing w:after="0"/>
              <w:rPr>
                <w:sz w:val="1"/>
                <w:szCs w:val="1"/>
                <w:color w:val="auto"/>
              </w:rPr>
            </w:pPr>
          </w:p>
        </w:tc>
      </w:tr>
      <w:tr>
        <w:trPr>
          <w:trHeight w:val="137"/>
        </w:trPr>
        <w:tc>
          <w:tcPr>
            <w:tcW w:w="10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jc w:val="center"/>
        <w:ind w:right="-13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18,992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2,069</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(Gain)/loss on disposal of equipment</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Bad debt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Unrealized (gain)/loss on derivative instruments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Impairment loss on assets held for sale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Noncash lease expense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Deferred tax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(16,917)</w:t>
            </w:r>
          </w:p>
        </w:tc>
        <w:tc>
          <w:tcPr>
            <w:tcW w:w="0" w:type="dxa"/>
            <w:vAlign w:val="bottom"/>
          </w:tcPr>
          <w:p>
            <w:pPr>
              <w:spacing w:after="0"/>
              <w:rPr>
                <w:sz w:val="1"/>
                <w:szCs w:val="1"/>
                <w:color w:val="auto"/>
              </w:rPr>
            </w:pPr>
          </w:p>
        </w:tc>
      </w:tr>
      <w:tr>
        <w:trPr>
          <w:trHeight w:val="193"/>
        </w:trPr>
        <w:tc>
          <w:tcPr>
            <w:tcW w:w="6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Prepaid expenses, net supplier advances, and other assets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2,725</w:t>
            </w:r>
          </w:p>
        </w:tc>
        <w:tc>
          <w:tcPr>
            <w:tcW w:w="0" w:type="dxa"/>
            <w:vAlign w:val="bottom"/>
          </w:tcPr>
          <w:p>
            <w:pPr>
              <w:spacing w:after="0"/>
              <w:rPr>
                <w:sz w:val="1"/>
                <w:szCs w:val="1"/>
                <w:color w:val="auto"/>
              </w:rPr>
            </w:pPr>
          </w:p>
        </w:tc>
      </w:tr>
      <w:tr>
        <w:trPr>
          <w:trHeight w:val="193"/>
        </w:trPr>
        <w:tc>
          <w:tcPr>
            <w:tcW w:w="62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20,503</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107,155</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0" w:type="dxa"/>
            <w:vAlign w:val="bottom"/>
          </w:tcPr>
          <w:p>
            <w:pPr>
              <w:spacing w:after="0"/>
              <w:rPr>
                <w:sz w:val="1"/>
                <w:szCs w:val="1"/>
                <w:color w:val="auto"/>
              </w:rPr>
            </w:pPr>
          </w:p>
        </w:tc>
      </w:tr>
      <w:tr>
        <w:trPr>
          <w:trHeight w:val="17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paid for property and equipment</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7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2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 upon initial public offering, net of underwriting discounts</w:t>
            </w: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2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and offering costs</w:t>
            </w:r>
          </w:p>
        </w:tc>
        <w:tc>
          <w:tcPr>
            <w:tcW w:w="9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30,356</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awards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Borrowings on credit facility</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 on credit facility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the term loan</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the term loan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Proceeds from settlement of loan to stockholder</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17,700</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received (paid) on notes payable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paid to acquire treasury stock</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(50,003)</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to acquire portion of non-controlling interest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Net cash provided (used in) by financing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6,290</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(26,803)</w:t>
            </w:r>
          </w:p>
        </w:tc>
        <w:tc>
          <w:tcPr>
            <w:tcW w:w="0" w:type="dxa"/>
            <w:vAlign w:val="bottom"/>
          </w:tcPr>
          <w:p>
            <w:pPr>
              <w:spacing w:after="0"/>
              <w:rPr>
                <w:sz w:val="1"/>
                <w:szCs w:val="1"/>
                <w:color w:val="auto"/>
              </w:rPr>
            </w:pPr>
          </w:p>
        </w:tc>
      </w:tr>
      <w:tr>
        <w:trPr>
          <w:trHeight w:val="186"/>
        </w:trPr>
        <w:tc>
          <w:tcPr>
            <w:tcW w:w="6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113,238</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(9,061)</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0" w:type="dxa"/>
            <w:vAlign w:val="bottom"/>
          </w:tcPr>
          <w:p>
            <w:pPr>
              <w:spacing w:after="0"/>
              <w:rPr>
                <w:sz w:val="1"/>
                <w:szCs w:val="1"/>
                <w:color w:val="auto"/>
              </w:rPr>
            </w:pPr>
          </w:p>
        </w:tc>
      </w:tr>
      <w:tr>
        <w:trPr>
          <w:trHeight w:val="19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72,181</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at end of the period </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132,867</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19,629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28,690</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20" w:type="dxa"/>
            <w:vAlign w:val="bottom"/>
            <w:tcBorders>
              <w:bottom w:val="single" w:sz="8" w:color="CFF0FC"/>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9,905</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2,440</w:t>
            </w:r>
          </w:p>
        </w:tc>
        <w:tc>
          <w:tcPr>
            <w:tcW w:w="0" w:type="dxa"/>
            <w:vAlign w:val="bottom"/>
          </w:tcPr>
          <w:p>
            <w:pPr>
              <w:spacing w:after="0"/>
              <w:rPr>
                <w:sz w:val="1"/>
                <w:szCs w:val="1"/>
                <w:color w:val="auto"/>
              </w:rPr>
            </w:pPr>
          </w:p>
        </w:tc>
      </w:tr>
      <w:tr>
        <w:trPr>
          <w:trHeight w:val="19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$330, $0 and $0 of restricted cash as of December 31, 2023, 2022, and 2021 respectively, that were included in other current assets.</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0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Other products include coconut milk, coconut oil,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coconut as a commodity and natural energy drinks (under the brand name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was marketed and distributed primarily in the United States until the Company ceased selling the brand in December 2023.</w:t>
      </w:r>
    </w:p>
    <w:p>
      <w:pPr>
        <w:spacing w:after="0" w:line="17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has nine wholly-owned subsidiaries including four wholly-owned Asian subsidiaries established between fiscal 2012 and 2015, four North American subsidiaries established between 2012 and 2018, as well as All Market Europe, Ltd. (“AME”) in the United Kingdom of which the Company became the sole shareholder as of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accordance with accounting principles generally accepted in the United States of America (“U.S. GAAP”).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ind w:right="120" w:firstLine="55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all the accounts of the wholly owned subsidiaries. All intercompany accounts and transactions have been eliminated in consolidation; the noncontrolling interest in consolidated subsidiaries presented in the accompanying consolidated financial statements in the year ended December 31, 2021 represents the portion of AME stockholders’ equity, which was not directly owned by the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(“IPO”)</w:t>
      </w:r>
    </w:p>
    <w:p>
      <w:pPr>
        <w:spacing w:after="0" w:line="243" w:lineRule="exact"/>
        <w:rPr>
          <w:sz w:val="20"/>
          <w:szCs w:val="20"/>
          <w:color w:val="auto"/>
        </w:rPr>
      </w:pPr>
    </w:p>
    <w:p>
      <w:pPr>
        <w:ind w:firstLine="567"/>
        <w:spacing w:after="0" w:line="246" w:lineRule="auto"/>
        <w:rPr>
          <w:sz w:val="20"/>
          <w:szCs w:val="20"/>
          <w:color w:val="auto"/>
        </w:rPr>
      </w:pPr>
      <w:r>
        <w:rPr>
          <w:rFonts w:ascii="Times New Roman" w:cs="Times New Roman" w:eastAsia="Times New Roman" w:hAnsi="Times New Roman"/>
          <w:sz w:val="18"/>
          <w:szCs w:val="18"/>
          <w:color w:val="auto"/>
        </w:rPr>
        <w:t>The Company’s registration statement on Form S-1, as amended, was declared effective by the SEC on October 20, 2021 related to the IPO of its common stock in the prospectus dated October 20, 2021, filed with the SEC in accordance with Rule 424(b)(4) of the Securities Act on October 22, 2021 (the “Prospectus”). On October 21, 2021, the Company’s shares began trading on the NASDAQ under the ticker symbol “COCO”. On October 25, 2021, we completed our IPO by issuing 2,500,000 shares of our common stock, $0.01 par value per share, at a price to the public of $15 per share, resulting in net proceeds to us of approximately $30,000, after deducting the underwriting discount and commissions of approximately $2,000 and offering expenses of approximately $5,000. Additionally, certain selling stockholders sold an aggregate of 9,000,000 shares. The Company did not receive any proceeds from the sale of these shares by certain selling stockholders. On October 27, 2021, the Company used the net proceeds from the IPO to repay the outstanding balance on the 2021 Term Loan. See Note 10 for additional information on the repayment of the 2021 Term Loan.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Events Causing Macroeconomic Uncertainty</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current geopolitical and economic instability (including the effects of current wars and other international conflicts) and the high interest rate and inflationary cost environment may affect our business.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6360" w:firstLine="8"/>
        <w:spacing w:after="0" w:line="370"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firstLine="551"/>
        <w:spacing w:after="0" w:line="242"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consolidated financial statements. Management must apply significant judgement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consolidated financial statements relate to share-based compensation, assessing long-lived assets for impairment, estimating the net realizable value of inventories, the determination of the current expected credit losses allowance, assessing goodwill for impairment, the determination of the value of trade promotions and assessing the realizability of deferred income taxes. Actual results could differ from those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defines a five-step model that requires entities exercise judgment when considering the terms of contract(s), which include (1) identifying the contract or agreement with a customer, (2) identifying the performance obligations in the contract or agreement, (3) 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 Our revenue is recognized net of allowances for returns, discounts, credits and any taxes collected from consumers.</w:t>
      </w:r>
    </w:p>
    <w:p>
      <w:pPr>
        <w:spacing w:after="0" w:line="179"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 xml:space="preserve">For the Company’s various products in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Other product categories (refer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83"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91" w:lineRule="exact"/>
        <w:rPr>
          <w:sz w:val="20"/>
          <w:szCs w:val="20"/>
          <w:color w:val="auto"/>
        </w:rPr>
      </w:pPr>
    </w:p>
    <w:p>
      <w:pPr>
        <w:ind w:right="140" w:firstLine="551"/>
        <w:spacing w:after="0" w:line="242"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consolidated financial statements include accruals for these promotion and discounts. The accruals are made for invoices that have not yet been received as of year-end and are recorded as a reduction of sales, and are based on contract terms and our historical experience with similar programs and require management judgement with respect to estimating customer and consumer participation and performance levels.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360" w:firstLine="551"/>
        <w:spacing w:after="0" w:line="282" w:lineRule="auto"/>
        <w:rPr>
          <w:sz w:val="20"/>
          <w:szCs w:val="20"/>
          <w:color w:val="auto"/>
        </w:rPr>
      </w:pPr>
      <w:r>
        <w:rPr>
          <w:rFonts w:ascii="Times New Roman" w:cs="Times New Roman" w:eastAsia="Times New Roman" w:hAnsi="Times New Roman"/>
          <w:sz w:val="18"/>
          <w:szCs w:val="18"/>
          <w:color w:val="auto"/>
        </w:rPr>
        <w:t>Costs of goods sold includes the costs of the products sold to customers, inbound and outbound shipping and handling costs, freight and duties, shipping and packaging supplies, and warehouse fulfillment costs incurred in operating and staffing warehouses.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08" w:lineRule="exact"/>
        <w:rPr>
          <w:sz w:val="20"/>
          <w:szCs w:val="20"/>
          <w:color w:val="auto"/>
        </w:rPr>
      </w:pPr>
    </w:p>
    <w:p>
      <w:pPr>
        <w:ind w:right="240" w:firstLine="551"/>
        <w:spacing w:after="0" w:line="258" w:lineRule="auto"/>
        <w:rPr>
          <w:sz w:val="20"/>
          <w:szCs w:val="20"/>
          <w:color w:val="auto"/>
        </w:rPr>
      </w:pPr>
      <w:r>
        <w:rPr>
          <w:rFonts w:ascii="Times New Roman" w:cs="Times New Roman" w:eastAsia="Times New Roman" w:hAnsi="Times New Roman"/>
          <w:sz w:val="18"/>
          <w:szCs w:val="18"/>
          <w:color w:val="auto"/>
        </w:rPr>
        <w:t>Shipping and handling costs related to the sale of inventory represent outbound distribution costs, and are included in cost of goods sold in the consolidated statement of operations. Shipping and handling costs were $13,261, $13,387 and $9,331 for the years ended December 31, 2023, 2022, and 2021,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Advertising expenses are charged to expense in the period they are incurred and are recorded in selling, general and administrative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$14,862, $14,404, and $13,755 for the years ended December 31, 2023, 2022, and 2021,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costs are charged to expense in the period incurred and are recorded in selling, general and administrative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$418, $541, and $477 for the years ended December 31, 2023, 2022, and 2021,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for awards issued under the 2014 Stock Option and Restricted Stock Plan and the 2021 Stock Incentive Award Plan.</w:t>
      </w:r>
    </w:p>
    <w:p>
      <w:pPr>
        <w:spacing w:after="0" w:line="162"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The Company measures all awards based on their fair value on the date of the grant and recognizes compensation expense for those awards over the requisite service period of each stock award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The Company issues stock-based awards with service-based and performance-based and market-based vesting conditions. The Company recognizes expense for performance-based awards when it becomes probable that such awards will be earned over a requisite service period. The Company defers the recognition of compensation expense for the stock awards that vest upon qualifying liquidity events until the qualifying events are probable of occurrence. Stock awards are equity-classified, as they do not contain a cash settlement option or other features requiring them to be liability-classified.</w:t>
      </w:r>
    </w:p>
    <w:p>
      <w:pPr>
        <w:spacing w:after="0" w:line="179" w:lineRule="exact"/>
        <w:rPr>
          <w:sz w:val="20"/>
          <w:szCs w:val="20"/>
          <w:color w:val="auto"/>
        </w:rPr>
      </w:pPr>
    </w:p>
    <w:p>
      <w:pPr>
        <w:ind w:right="200" w:firstLine="551"/>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fair value of stock awards with service-based vesting conditions and performance-based vesting conditions. For stock awards with performance-based and market-based vesting conditions, the Company uses the Barrier option valuation model to determine the fair value.</w:t>
      </w:r>
    </w:p>
    <w:p>
      <w:pPr>
        <w:spacing w:after="0" w:line="169" w:lineRule="exact"/>
        <w:rPr>
          <w:sz w:val="20"/>
          <w:szCs w:val="20"/>
          <w:color w:val="auto"/>
        </w:rPr>
      </w:pPr>
    </w:p>
    <w:p>
      <w:pPr>
        <w:ind w:right="260" w:firstLine="551"/>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classified most of its stock-based compensation expense in its consolidated statements of operations in selling, general, and administrative expenses, reflecting the same manner in which the award recipient’s payroll costs are classified or in which the award recipient’s service payments are classified. There are restricted stock units previously granted to entities affiliated with a major customer, which was recognized as a stock-based sales incentive based on guidance in ASC 606 and reflected as a reduction in the transaction price revenue.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information.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80" w:firstLine="551"/>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106"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net income per common share, on a basic and diluted basis, is presented for all periods, calculated using the treasury stock method. Basic net income per share is computed by dividing net income by the weighted average number of common shares and service warrants outstanding during each period. Diluted net income per share is computed by dividing net income by the weighted average number of common and dilutive common equivalent shares outstanding. The calculation of common equivalent shares assumes the exercise of dilutive in-the-money stock options, net of assumed treasury share repurchases at average market prices, as 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and cash equivalents include cash on hand and money market instruments with maturities of three months or less.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20" w:firstLine="551"/>
        <w:spacing w:after="0" w:line="258" w:lineRule="auto"/>
        <w:rPr>
          <w:sz w:val="20"/>
          <w:szCs w:val="20"/>
          <w:color w:val="auto"/>
        </w:rPr>
      </w:pPr>
      <w:r>
        <w:rPr>
          <w:rFonts w:ascii="Times New Roman" w:cs="Times New Roman" w:eastAsia="Times New Roman" w:hAnsi="Times New Roman"/>
          <w:sz w:val="18"/>
          <w:szCs w:val="18"/>
          <w:color w:val="auto"/>
        </w:rPr>
        <w:t>Accounts receivable are reported net of an allowance for doubtful accounts. In determining such an allowance, the Company considers historical losses and existing economic conditions, as well as the credit quality of each customer. Accounts receivable are charged off when the Company deems amounts to be uncollectible.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08"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Inventory represents raw materials, finished goods, packaging, and inbound shipping and handling and is reported at the lower of cost or net realizable value being determined using the first-in, first-out method. Net realizable value is the estimated selling price in the ordinary course of business, less reasonably predictable costs of completion, disposal and transportation. The Company reserves for finished goods that are close to the date of expiration.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08" w:lineRule="exact"/>
        <w:rPr>
          <w:sz w:val="20"/>
          <w:szCs w:val="20"/>
          <w:color w:val="auto"/>
        </w:rPr>
      </w:pPr>
    </w:p>
    <w:p>
      <w:pPr>
        <w:ind w:right="160" w:firstLine="551"/>
        <w:spacing w:after="0" w:line="245"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If an in-process equity financing is abandoned, the deferred offering costs will be expensed immediately as a charge to operating expenses in the consolidated statements of operations. As a result of the completion of the IPO on October 25, 2021 as described in Note 1, deferred offering costs recorded during the period were netted against the proceeds of the offering and reflected as a component of additional paid-in-capital in the quarter ended December 31, 2021. As of December 31, 2023 and 2022, the Company had no deferred offering costs in the consolidated balance sheets.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20" w:firstLine="551"/>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over the estimated useful lives of the related assets or in the case of leasehold improvements, the lease term if shorter, using the straight-line method of depreciation. Repairs and maintenance are charged to expense as incurred. The estimated useful lives of the Company’s property and equipment are as follows: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computer software and hardware – 3-7 years</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The lesser of the life of the asset or the term of the lease</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 5 years</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 3-5 years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principally intangibles and property and equipment, by comparing asset group’s carrying value to the expected undiscounted future cash flows to be generated from such assets when events or circumstances indicate that an impairment may have occurred. If the estimated undiscounted future cash flows are less than the carrying amount, an impairment loss is recorded based upon the difference between the carrying amount and the fair value of the asset.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06" w:lineRule="exact"/>
        <w:rPr>
          <w:sz w:val="20"/>
          <w:szCs w:val="20"/>
          <w:color w:val="auto"/>
        </w:rPr>
      </w:pPr>
    </w:p>
    <w:p>
      <w:pPr>
        <w:ind w:right="100" w:firstLine="551"/>
        <w:spacing w:after="0" w:line="245" w:lineRule="auto"/>
        <w:rPr>
          <w:sz w:val="20"/>
          <w:szCs w:val="20"/>
          <w:color w:val="auto"/>
        </w:rPr>
      </w:pPr>
      <w:r>
        <w:rPr>
          <w:rFonts w:ascii="Times New Roman" w:cs="Times New Roman" w:eastAsia="Times New Roman" w:hAnsi="Times New Roman"/>
          <w:sz w:val="18"/>
          <w:szCs w:val="18"/>
          <w:color w:val="auto"/>
        </w:rPr>
        <w:t xml:space="preserve">The Company evaluates each of its acquisitions under the accounting framework in Accounting Standards Codification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ASC 805 requires the reporting entity to identify the acquirer, determine the acquisition date, recognize and measure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tangible and intangible assets acquired, the liabilities assumed and any non-controlling interest in the acquired entity, and recognize and measure goodwill. The acquiree’s results are included in the consolidated financial statements from the date of the acquisition. The Company allocated the purchase price, including the fair value of any non-cash and contingent consideration, to the identifiable assets and liabilities of the relevant acquired business at their acquisition date fair values. Any excess consideration over the fair value of assets acquired and liabilities assumed is recognized as goodwill.</w:t>
      </w:r>
    </w:p>
    <w:p>
      <w:pPr>
        <w:spacing w:after="0" w:line="197"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Contingent consideration payable in cash or a fixed dollar amount settleable in a variable number of shares is classified as a liability and recorded at fair value, with changes in fair value recorded as a component of operating expenses in the accompanying consolidated statements of operations. Transaction costs associated with business combinations are expensed as incurred and are included in selling, general and administrative expenses in the consolidated statements of operations.</w:t>
      </w:r>
    </w:p>
    <w:p>
      <w:pPr>
        <w:spacing w:after="0" w:line="177"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The Company performs valuations of assets acquired, liabilities assumed, and contingent consideration and allocates the purchase price to its respective assets and liabilities. Determining the fair value of assets acquired, liabilities assumed, and contingent consideration requires the use of significant judgment and estimates including the selection of valuation methodologies, estimates of future revenue, costs and cash flows, discount rates, the probability of the achievement of specified milestones, and selection of comparable companies. The Company engages the assistance of valuation specialists in concluding on fair value measurements in connection with determining fair values of assets acquired, liabilities assumed, and contingent consideration in a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08"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Intangible assets consist primarily of acquired trade names and distributor relationships. The Company determines the appropriate useful life of the intangible assets by performing an analysis of expected cash flows of the acquired assets. Intangible assets are amortized over their estimated useful lives of ten years, using the straight-line method, which approximates the pattern in which the economic benefits are consumed. The Company’s intangible assets are reviewed for impairment whenever events or changes in circumstances indicate that the carrying amount may not be recoverable, or a triggering event. When a triggering event is identified, a test of recoverability is performed by estimating the undiscounted future cash flows associated with such assets and comparing them to the carrying value of the asset. When the recoverability test fails, the Company measures the impairment loss based on the fair value of the assets compared to the carrying amount of the asset. The fair value of the trade names is determined through an income approach using the relief from royalty method. The fair value of the distributor relationships is determined through an income approach using the excess earnings method.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paid in excess of the fair value of net identifiable tangible and intangible assets acquired in a business combination and is measured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is not amortized; instead goodwill is tested for impairment on an annual basis on December 31, or more frequently if the Company believes indicators of impairment exist.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determined that there are three reporting units for purposes of testing goodwill for impairment: (i) the Americas reporting unit,</w:t>
      </w:r>
    </w:p>
    <w:p>
      <w:pPr>
        <w:spacing w:after="0" w:line="27" w:lineRule="exact"/>
        <w:rPr>
          <w:sz w:val="20"/>
          <w:szCs w:val="20"/>
          <w:color w:val="auto"/>
        </w:rPr>
      </w:pPr>
    </w:p>
    <w:p>
      <w:pPr>
        <w:ind w:right="160" w:firstLine="8"/>
        <w:spacing w:after="0"/>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 reporting unit, and (iii) the Asia reporting unit. All of the Company’s goodwill is allocated to the Americas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98" w:lineRule="exact"/>
        <w:rPr>
          <w:sz w:val="20"/>
          <w:szCs w:val="20"/>
          <w:color w:val="auto"/>
        </w:rPr>
      </w:pPr>
    </w:p>
    <w:p>
      <w:pPr>
        <w:ind w:firstLine="551"/>
        <w:spacing w:after="0" w:line="241" w:lineRule="auto"/>
        <w:rPr>
          <w:sz w:val="20"/>
          <w:szCs w:val="20"/>
          <w:color w:val="auto"/>
        </w:rPr>
      </w:pPr>
      <w:r>
        <w:rPr>
          <w:rFonts w:ascii="Times New Roman" w:cs="Times New Roman" w:eastAsia="Times New Roman" w:hAnsi="Times New Roman"/>
          <w:sz w:val="18"/>
          <w:szCs w:val="18"/>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the Company’s industry, and require to make certain assumptions and estimates regarding industry economic factors and future profitability of the Company’s business. It is the Company’s policy to conduct impairment testing based on its most current business plans, projected future revenues and cash flows, which reflect changes anticipated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the Company’s reporting unit. The Company will recognize an impairment for the amount by which the carrying amount exceeds a reporting unit’s fair value. For the years ended December 31, 2023, 2022, and 2021, there were no impairments recorded.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Advances</w:t>
      </w:r>
    </w:p>
    <w:p>
      <w:pPr>
        <w:spacing w:after="0" w:line="106" w:lineRule="exact"/>
        <w:rPr>
          <w:sz w:val="20"/>
          <w:szCs w:val="20"/>
          <w:color w:val="auto"/>
        </w:rPr>
      </w:pPr>
    </w:p>
    <w:p>
      <w:pPr>
        <w:ind w:right="160" w:firstLine="551"/>
        <w:spacing w:after="0" w:line="259" w:lineRule="auto"/>
        <w:rPr>
          <w:sz w:val="20"/>
          <w:szCs w:val="20"/>
          <w:color w:val="auto"/>
        </w:rPr>
      </w:pPr>
      <w:r>
        <w:rPr>
          <w:rFonts w:ascii="Times New Roman" w:cs="Times New Roman" w:eastAsia="Times New Roman" w:hAnsi="Times New Roman"/>
          <w:sz w:val="18"/>
          <w:szCs w:val="18"/>
          <w:color w:val="auto"/>
        </w:rPr>
        <w:t>The Company issues advances to certain manufacturers with interest at rates between 0% and 4% with terms extending to February 2028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advances are assessed for collectability and an allowance for credit losses is recognized when it is probable that the Company will be unable to collect all amounts due according to the contractual terms. There was no allowance recorded as of December 31, 2023 and December 31,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08"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maintains the financial statements of each entity within the group in its local currency, which is also the entity’s functional currency. Gains and losses on transactions denominated in currencies other than the functional currency are included in determining net income for the period. All assets and liabilities denominated in a foreign currency are translated into U.S. dollars at the exchange rate on the balance sheet date. Revenue and expenses are translated at the average exchange rate applicable during the period. Translation gains and losses are included as a component of accumulated other comprehensive income in stockholders’ equity.</w:t>
      </w:r>
    </w:p>
    <w:p>
      <w:pPr>
        <w:spacing w:after="0" w:line="177"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Transaction gains and losses that arise from exchange rate fluctuations on transactions denominated in a currency other than the functional currency are included as a component of other income (expense) in the accompanying consolidated statements of operations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120" w:firstLine="551"/>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forward foreign currency exchange contracts to hedge its foreign currency exposure. The fair value of these contracts is recorded in the consolidated balance sheets with a corresponding adjustment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consolidated statements of operations for the change in fair value of the derivative instruments, as the contracts have not been designated as a hedge instrument. Refer to Note 12, Derivative Instruments,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08" w:lineRule="exact"/>
        <w:rPr>
          <w:sz w:val="20"/>
          <w:szCs w:val="20"/>
          <w:color w:val="auto"/>
        </w:rPr>
      </w:pPr>
    </w:p>
    <w:p>
      <w:pPr>
        <w:jc w:val="both"/>
        <w:ind w:right="200" w:firstLine="551"/>
        <w:spacing w:after="0" w:line="258" w:lineRule="auto"/>
        <w:rPr>
          <w:sz w:val="20"/>
          <w:szCs w:val="20"/>
          <w:color w:val="auto"/>
        </w:rPr>
      </w:pPr>
      <w:r>
        <w:rPr>
          <w:rFonts w:ascii="Times New Roman" w:cs="Times New Roman" w:eastAsia="Times New Roman" w:hAnsi="Times New Roman"/>
          <w:sz w:val="18"/>
          <w:szCs w:val="18"/>
          <w:color w:val="auto"/>
        </w:rPr>
        <w:t>The Company operates as two operating and reportable segments: (i) Americas segment, which is comprised of the Company’s operations in the Americas region, primarily in the U.S. and Canada, and (ii) International segment, which is comprised of the Company’s operations primarily in Europe, Middle East, Africa and the Asia Pacific regions.</w:t>
      </w:r>
    </w:p>
    <w:p>
      <w:pPr>
        <w:spacing w:after="0" w:line="169"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as the chief operating decision maker ("CODM"), manages and allocates resources between the Americas and International segments. Consistent with this decision-making process, the CEO uses financial information disaggregated between the Americas and International segment for purposes of evaluating performance, forecasting future period financial results, allocating resources and setting incentive targets. The CEO evaluates segment business performance based primarily on net sales and gross profit.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80" w:firstLine="551"/>
        <w:spacing w:after="0" w:line="250"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could be invested in overnight money market treasury deposits in widely diversified accounts.</w:t>
      </w:r>
    </w:p>
    <w:p>
      <w:pPr>
        <w:spacing w:after="0" w:line="69"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Substantially, all of the Company’s customers are either wholesalers or retailers of beverages. A material default in payment, a material reduction in purchase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represented 53%, 54%, and 53% of total net sales during the years ended December 31, 2023, 2022 and 2021, respectively. In addition, the two customers also accounted for 43% and 39% of total accounts receivable as of December 31, 2023 and 2022, respectively. The Company has not experienced credit issues with these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certain office space and machinery and equipment, which are primarily classified as operating leases. These leases expire at various dates through 2025. The Company's lease agreements do not contain any material restrictive covenants. Operating leases are included within right-of-use assets, net, accrued expenses, and other long-term liabilities within our Consolidated Balance Sheets. Finance leases are included within Property, Plant and Equipment, net, accrued expenses, and other long term liabilities. Leases with an initial term of 12 months or less are not recognized on the Consolidated Balance Sheets.</w:t>
      </w:r>
    </w:p>
    <w:p>
      <w:pPr>
        <w:spacing w:after="0" w:line="7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2016-02</w:t>
      </w:r>
      <w:r>
        <w:rPr>
          <w:rFonts w:ascii="Times New Roman" w:cs="Times New Roman" w:eastAsia="Times New Roman" w:hAnsi="Times New Roman"/>
          <w:sz w:val="18"/>
          <w:szCs w:val="18"/>
          <w:color w:val="auto"/>
        </w:rPr>
        <w:t xml:space="preserve">, Leases (Topic 842), which was amended by subsequent Accounting Standard Updates ("ASUs"), to enhance the comparability and usefulness of financial reporting around leasing activity. The new standard supersedes the existing authoritative literature for lease accounting under </w:t>
      </w:r>
      <w:r>
        <w:rPr>
          <w:rFonts w:ascii="Times New Roman" w:cs="Times New Roman" w:eastAsia="Times New Roman" w:hAnsi="Times New Roman"/>
          <w:sz w:val="18"/>
          <w:szCs w:val="18"/>
          <w:i w:val="1"/>
          <w:iCs w:val="1"/>
          <w:color w:val="auto"/>
        </w:rPr>
        <w:t>ASC 840</w:t>
      </w:r>
      <w:r>
        <w:rPr>
          <w:rFonts w:ascii="Times New Roman" w:cs="Times New Roman" w:eastAsia="Times New Roman" w:hAnsi="Times New Roman"/>
          <w:sz w:val="18"/>
          <w:szCs w:val="18"/>
          <w:color w:val="auto"/>
        </w:rPr>
        <w:t xml:space="preserve">, with a focus on applying a “right-of-use model.” The guidance for leases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results in a right-of-use asset (“ROU asset”) and lease liability being reported on the balance sheet for leases with a lease term greater than twelve months. In June 2020, the FASB issued </w:t>
      </w:r>
      <w:r>
        <w:rPr>
          <w:rFonts w:ascii="Times New Roman" w:cs="Times New Roman" w:eastAsia="Times New Roman" w:hAnsi="Times New Roman"/>
          <w:sz w:val="18"/>
          <w:szCs w:val="18"/>
          <w:i w:val="1"/>
          <w:iCs w:val="1"/>
          <w:color w:val="auto"/>
        </w:rPr>
        <w:t>ASU 2020-05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and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Effective Dates for certain entities, which deferred the effective date of </w:t>
      </w:r>
      <w:r>
        <w:rPr>
          <w:rFonts w:ascii="Times New Roman" w:cs="Times New Roman" w:eastAsia="Times New Roman" w:hAnsi="Times New Roman"/>
          <w:sz w:val="18"/>
          <w:szCs w:val="18"/>
          <w:i w:val="1"/>
          <w:iCs w:val="1"/>
          <w:color w:val="auto"/>
        </w:rPr>
        <w:t>ASU 2016-02</w:t>
      </w:r>
      <w:r>
        <w:rPr>
          <w:rFonts w:ascii="Times New Roman" w:cs="Times New Roman" w:eastAsia="Times New Roman" w:hAnsi="Times New Roman"/>
          <w:sz w:val="18"/>
          <w:szCs w:val="18"/>
          <w:color w:val="auto"/>
        </w:rPr>
        <w:t xml:space="preserve"> for certain entities.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was effective for the Company, as an Emerging Growth Company (“EGC”), for annual reporting periods beginning after December 15, 2021 and for interim periods beginning after December 15, 2022.</w:t>
      </w:r>
    </w:p>
    <w:p>
      <w:pPr>
        <w:spacing w:after="0" w:line="7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the standard on January 1, 2022 using the alternative modified retrospective transition approach in accordance with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2018-11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(Topic 842): Targeted Improvements, where the adoption date represents the initial date of application. As part of its adoption,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elected to apply the package of practical expedients requiring no reassessment of whether any expired or existing contracts are or contain leases, the lease</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classification of any expired or existing leases, or the capitalization of initial direct costs for any existing leases. Additionally, the Company elected the practical expedient that permits the exclusion of leases considered to be short-term. Under the alternative modified retrospective transition approach, the reported results for 2022 reflect the application of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guidance, whereas comparative periods and the respective disclosures prior to the adoption of </w:t>
      </w:r>
      <w:r>
        <w:rPr>
          <w:rFonts w:ascii="Times New Roman" w:cs="Times New Roman" w:eastAsia="Times New Roman" w:hAnsi="Times New Roman"/>
          <w:sz w:val="18"/>
          <w:szCs w:val="18"/>
          <w:i w:val="1"/>
          <w:iCs w:val="1"/>
          <w:color w:val="auto"/>
        </w:rPr>
        <w:t xml:space="preserve">ASC 842 </w:t>
      </w:r>
      <w:r>
        <w:rPr>
          <w:rFonts w:ascii="Times New Roman" w:cs="Times New Roman" w:eastAsia="Times New Roman" w:hAnsi="Times New Roman"/>
          <w:sz w:val="18"/>
          <w:szCs w:val="18"/>
          <w:color w:val="auto"/>
        </w:rPr>
        <w:t>are presented using the legacy guidance of</w:t>
      </w:r>
      <w:r>
        <w:rPr>
          <w:rFonts w:ascii="Times New Roman" w:cs="Times New Roman" w:eastAsia="Times New Roman" w:hAnsi="Times New Roman"/>
          <w:sz w:val="18"/>
          <w:szCs w:val="18"/>
          <w:i w:val="1"/>
          <w:iCs w:val="1"/>
          <w:color w:val="auto"/>
        </w:rPr>
        <w:t xml:space="preserve"> ASC 840</w:t>
      </w:r>
      <w:r>
        <w:rPr>
          <w:rFonts w:ascii="Times New Roman" w:cs="Times New Roman" w:eastAsia="Times New Roman" w:hAnsi="Times New Roman"/>
          <w:sz w:val="18"/>
          <w:szCs w:val="18"/>
          <w:color w:val="auto"/>
        </w:rPr>
        <w:t>. As a result of adopting the new standard, the Company recognized right-of-use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liabilities of $1,866 and $2,097, respectively, on the Company’s consolidated balance sheet as of January 1, 2022. The difference of $231 between the operating lease right-of-use assets and operating lease liabilities represents reclassification of deferred rent liability from other liabilities to operating lease right-to-use assets at the adoption date. The adoption of the standard did not have a material impact on the Company’s consolidated statements of operations, or consolidated statements of cash flows.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Losses</w:t>
      </w:r>
    </w:p>
    <w:p>
      <w:pPr>
        <w:spacing w:after="0" w:line="119" w:lineRule="exact"/>
        <w:rPr>
          <w:sz w:val="20"/>
          <w:szCs w:val="20"/>
          <w:color w:val="auto"/>
        </w:rPr>
      </w:pPr>
    </w:p>
    <w:p>
      <w:pPr>
        <w:ind w:right="400"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was effective for the Company, as an Emerging Growth Company ("EGC"), for annual and interim reporting periods beginning after December 15, 2022. The Company adopted the standard on January 1, 2023 using the modified retrospective method for all financial assets in scope. The amounts for reporting periods beginning after January 1, 2023 are presented under ASC 326 methodology, while prior period amounts continue to be reported in accordance with previously applicable U.S. GAAP.</w:t>
      </w:r>
    </w:p>
    <w:p>
      <w:pPr>
        <w:spacing w:after="0" w:line="32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326 adoption. The adoption of the standard did not have a material impact on the Company’s consolidated statements of operations, or consolidated statements of cash flows. The following table illustrates the impact of ASC 326.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 reported under</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Impact of ASC 326</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accounts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supplier advances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32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are accounted for in accordance with ASC 606. The Company disaggregates revenue into the following product categories:</w:t>
      </w:r>
    </w:p>
    <w:p>
      <w:pPr>
        <w:spacing w:after="0" w:line="113" w:lineRule="exact"/>
        <w:rPr>
          <w:sz w:val="20"/>
          <w:szCs w:val="20"/>
          <w:color w:val="auto"/>
        </w:rPr>
      </w:pPr>
    </w:p>
    <w:p>
      <w:pPr>
        <w:ind w:left="820" w:right="20" w:hanging="245"/>
        <w:spacing w:after="0" w:line="247"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Vita Coco Coconut Water </w:t>
      </w:r>
      <w:r>
        <w:rPr>
          <w:rFonts w:ascii="Times New Roman" w:cs="Times New Roman" w:eastAsia="Times New Roman" w:hAnsi="Times New Roman"/>
          <w:sz w:val="18"/>
          <w:szCs w:val="18"/>
          <w:color w:val="auto"/>
        </w:rPr>
        <w:t>– 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68" w:lineRule="exact"/>
        <w:rPr>
          <w:rFonts w:ascii="Times New Roman" w:cs="Times New Roman" w:eastAsia="Times New Roman" w:hAnsi="Times New Roman"/>
          <w:sz w:val="18"/>
          <w:szCs w:val="18"/>
          <w:color w:val="auto"/>
        </w:rPr>
      </w:pPr>
    </w:p>
    <w:p>
      <w:pPr>
        <w:ind w:left="820" w:right="260" w:hanging="245"/>
        <w:spacing w:after="0" w:line="25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 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5" w:lineRule="exact"/>
        <w:rPr>
          <w:rFonts w:ascii="Times New Roman" w:cs="Times New Roman" w:eastAsia="Times New Roman" w:hAnsi="Times New Roman"/>
          <w:sz w:val="18"/>
          <w:szCs w:val="18"/>
          <w:color w:val="auto"/>
        </w:rPr>
      </w:pPr>
    </w:p>
    <w:p>
      <w:pPr>
        <w:ind w:left="820" w:right="140" w:hanging="245"/>
        <w:spacing w:after="0" w:line="25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01"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317,221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359,050</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121,879</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493,612</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37"/>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314,534</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101,029</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12,224</w:t>
            </w:r>
          </w:p>
        </w:tc>
      </w:tr>
      <w:tr>
        <w:trPr>
          <w:trHeight w:val="24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427,787</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266,497</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94,646</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323,891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379,513</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21" w:lineRule="exact"/>
        <w:rPr>
          <w:sz w:val="20"/>
          <w:szCs w:val="20"/>
          <w:color w:val="auto"/>
        </w:rPr>
      </w:pPr>
    </w:p>
    <w:p>
      <w:pPr>
        <w:ind w:right="480" w:firstLine="551"/>
        <w:spacing w:after="0" w:line="266" w:lineRule="auto"/>
        <w:rPr>
          <w:sz w:val="20"/>
          <w:szCs w:val="20"/>
          <w:color w:val="auto"/>
        </w:rPr>
      </w:pPr>
      <w:r>
        <w:rPr>
          <w:rFonts w:ascii="Times New Roman" w:cs="Times New Roman" w:eastAsia="Times New Roman" w:hAnsi="Times New Roman"/>
          <w:sz w:val="18"/>
          <w:szCs w:val="18"/>
          <w:color w:val="auto"/>
        </w:rPr>
        <w:t>Accounts receivable, net was $50,086 and $43,350 as of December 31, 2023 and 2022, respectively. The Company recorded an allowance for current expected credit losses of $2,486 and $2,898 as of December 31, 2023 and 2022, respectively.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the allowance for current expected credit losses for the periods presented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5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charged to operating results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 write-offs and other deductions, net of recoveries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Impact of ASC 326 adoption</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Provision charged to operating results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Account write-offs and other deductions, net of recoveries</w:t>
            </w:r>
          </w:p>
        </w:tc>
        <w:tc>
          <w:tcPr>
            <w:tcW w:w="90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9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47,397</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78,344</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84,115</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60" w:right="5900" w:hanging="552"/>
        <w:spacing w:after="0" w:line="433" w:lineRule="auto"/>
        <w:tabs>
          <w:tab w:leader="none" w:pos="189"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PREPAID EXPENSES AND OTHER CURRENT ASSETS </w:t>
      </w:r>
      <w:r>
        <w:rPr>
          <w:rFonts w:ascii="Times New Roman" w:cs="Times New Roman" w:eastAsia="Times New Roman" w:hAnsi="Times New Roman"/>
          <w:sz w:val="17"/>
          <w:szCs w:val="17"/>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receivables</w:t>
            </w:r>
          </w:p>
        </w:tc>
        <w:tc>
          <w:tcPr>
            <w:tcW w:w="90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VAT receivables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Prepaid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1"/>
                <w:szCs w:val="21"/>
                <w:color w:val="auto"/>
              </w:rPr>
            </w:pP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22,181</w:t>
            </w:r>
          </w:p>
        </w:tc>
        <w:tc>
          <w:tcPr>
            <w:tcW w:w="0" w:type="dxa"/>
            <w:vAlign w:val="bottom"/>
          </w:tcPr>
          <w:p>
            <w:pPr>
              <w:spacing w:after="0"/>
              <w:rPr>
                <w:sz w:val="1"/>
                <w:szCs w:val="1"/>
                <w:color w:val="auto"/>
              </w:rPr>
            </w:pPr>
          </w:p>
        </w:tc>
      </w:tr>
      <w:tr>
        <w:trPr>
          <w:trHeight w:val="27"/>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8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and computer software and hardware</w:t>
            </w:r>
          </w:p>
        </w:tc>
        <w:tc>
          <w:tcPr>
            <w:tcW w:w="90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80"/>
        </w:trPr>
        <w:tc>
          <w:tcPr>
            <w:tcW w:w="11240" w:type="dxa"/>
            <w:vAlign w:val="bottom"/>
            <w:gridSpan w:val="6"/>
          </w:tcPr>
          <w:p>
            <w:pPr>
              <w:jc w:val="right"/>
              <w:ind w:right="273"/>
              <w:spacing w:after="0"/>
              <w:rPr>
                <w:sz w:val="20"/>
                <w:szCs w:val="20"/>
                <w:color w:val="auto"/>
              </w:rPr>
            </w:pPr>
            <w:r>
              <w:rPr>
                <w:rFonts w:ascii="Times New Roman" w:cs="Times New Roman" w:eastAsia="Times New Roman" w:hAnsi="Times New Roman"/>
                <w:sz w:val="18"/>
                <w:szCs w:val="18"/>
                <w:color w:val="auto"/>
              </w:rPr>
              <w:t>Depreciation expense related to property and equipment, net for the years ended December 31, 2023, 2022 and 2021 was $660, $681 and $849,</w:t>
            </w:r>
          </w:p>
        </w:tc>
        <w:tc>
          <w:tcPr>
            <w:tcW w:w="0" w:type="dxa"/>
            <w:vAlign w:val="bottom"/>
          </w:tcPr>
          <w:p>
            <w:pPr>
              <w:spacing w:after="0"/>
              <w:rPr>
                <w:sz w:val="1"/>
                <w:szCs w:val="1"/>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Goodwill Impairment Testing</w:t>
      </w:r>
    </w:p>
    <w:p>
      <w:pPr>
        <w:spacing w:after="0" w:line="117"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All of the Company’s goodwill is associated with an acquisition in June 2018. The goodwill is allocated to the Americas reporting unit and is tax deductible. In assessing whether goodwill was impaired in connection with its annual impairment testing performed at December 31, 2020, the Company elected to bypass the qualitative assessment and, performed a quantitative assessment in accordance with ASC 350. Refer to Note 2, Summary of Significant Accounting Policies, for further discussion of the quantitative analysis. In December 31, 2023, the Company performed the qualitative assessment only, which did not indicate that it is more likely than not that the carrying value of each of the reporting units exceeds their fair value, resulting in no further quantitative testing. Based on the results of the annual impairment test, the Company concluded that no impairment to goodwill existed as of December 31, 2023,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Intangible Assets, ne</w:t>
      </w:r>
      <w:r>
        <w:rPr>
          <w:rFonts w:ascii="Times New Roman" w:cs="Times New Roman" w:eastAsia="Times New Roman" w:hAnsi="Times New Roman"/>
          <w:sz w:val="18"/>
          <w:szCs w:val="18"/>
          <w:color w:val="auto"/>
        </w:rPr>
        <w:t>t</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intangible assets, net associated with the acquisition of Runa was $0 as of December 31, 2023 and 2022, respectively.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1"/>
                <w:szCs w:val="1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5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140" w:type="dxa"/>
            <w:vAlign w:val="bottom"/>
            <w:tcBorders>
              <w:top w:val="single" w:sz="8" w:color="auto"/>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spacing w:after="0"/>
              <w:rPr>
                <w:sz w:val="15"/>
                <w:szCs w:val="15"/>
                <w:color w:val="auto"/>
              </w:rPr>
            </w:pPr>
          </w:p>
        </w:tc>
        <w:tc>
          <w:tcPr>
            <w:tcW w:w="118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names</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Distributor relationships</w:t>
            </w:r>
          </w:p>
        </w:tc>
        <w:tc>
          <w:tcPr>
            <w:tcW w:w="1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3"/>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80" w:type="dxa"/>
            <w:vAlign w:val="bottom"/>
            <w:shd w:val="clear" w:color="auto" w:fill="CFF0FC"/>
          </w:tcPr>
          <w:p>
            <w:pPr>
              <w:ind w:left="740"/>
              <w:spacing w:after="0" w:line="147" w:lineRule="exact"/>
              <w:rPr>
                <w:sz w:val="20"/>
                <w:szCs w:val="20"/>
                <w:color w:val="auto"/>
              </w:rPr>
            </w:pPr>
            <w:r>
              <w:rPr>
                <w:rFonts w:ascii="Times New Roman" w:cs="Times New Roman" w:eastAsia="Times New Roman" w:hAnsi="Times New Roman"/>
                <w:sz w:val="14"/>
                <w:szCs w:val="14"/>
                <w:color w:val="auto"/>
              </w:rPr>
              <w:t>Total intangible assets subject</w:t>
            </w: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to amortization</w:t>
            </w:r>
          </w:p>
        </w:tc>
        <w:tc>
          <w:tcPr>
            <w:tcW w:w="114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5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551"/>
        <w:spacing w:after="0" w:line="245" w:lineRule="auto"/>
        <w:rPr>
          <w:sz w:val="20"/>
          <w:szCs w:val="20"/>
          <w:color w:val="auto"/>
        </w:rPr>
      </w:pPr>
      <w:r>
        <w:rPr>
          <w:rFonts w:ascii="Times New Roman" w:cs="Times New Roman" w:eastAsia="Times New Roman" w:hAnsi="Times New Roman"/>
          <w:sz w:val="18"/>
          <w:szCs w:val="18"/>
          <w:color w:val="auto"/>
        </w:rPr>
        <w:t>All the intangible assets are amortized over their useful life. Since the intangibles are subject to amortization, they are reviewed for impairment in accordance with ASC 360, Property, Plant, and Equipment. Under ASC 360, long-lived assets are tested for recoverability at the asset group level whenever events or changes in circumstances indicate that their carrying amounts may not be recoverable. In step 1, the entity determines recoverability of the asset group by comparing its carrying value with the sum of its undiscounted cash flows expected to result from the use and eventual disposition of the asset group. If the sum of the undiscounted cash flows is less than the carrying value of the asset group, then step 2 must be performed, in which the entity compares the fair value of the asset group to its carrying amount. The excess of the carrying value of the asset group over its fair value, if any, would be recognized as an impairment loss.</w:t>
      </w:r>
    </w:p>
    <w:p>
      <w:pPr>
        <w:spacing w:after="0" w:line="87" w:lineRule="exact"/>
        <w:rPr>
          <w:sz w:val="20"/>
          <w:szCs w:val="20"/>
          <w:color w:val="auto"/>
        </w:rPr>
      </w:pPr>
    </w:p>
    <w:p>
      <w:pPr>
        <w:ind w:right="80" w:firstLine="551"/>
        <w:spacing w:after="0" w:line="245" w:lineRule="auto"/>
        <w:rPr>
          <w:sz w:val="20"/>
          <w:szCs w:val="20"/>
          <w:color w:val="auto"/>
        </w:rPr>
      </w:pPr>
      <w:r>
        <w:rPr>
          <w:rFonts w:ascii="Times New Roman" w:cs="Times New Roman" w:eastAsia="Times New Roman" w:hAnsi="Times New Roman"/>
          <w:sz w:val="18"/>
          <w:szCs w:val="18"/>
          <w:color w:val="auto"/>
        </w:rPr>
        <w:t>During 2022, the Company identified facts and circumstances indicating the carrying value of the intangible assets associated with Runa, including the trade names and distributor relationships, may not be recoverable, resulting in the determination that a triggering event had occurred. Based on step 1, the Company determined that the Runa intangible assets were not recoverable based on a test of recoverability using expected undiscounted future cash flows for the Runa brand in the Americas. For both trade names and distributor relationships, the Company applied step 2, by determining the fair value of these intangible assets, which concluded that the fair value was significantly below the carrying amount. Accordingly, the Company recorded an impairment charge of $(6,714) for the year ended December 31, 2022, which is recorded in selling, general and administrative expenses on the Company’s consolidated statements of operations.</w:t>
      </w:r>
    </w:p>
    <w:p>
      <w:pPr>
        <w:spacing w:after="0" w:line="73" w:lineRule="exact"/>
        <w:rPr>
          <w:sz w:val="20"/>
          <w:szCs w:val="20"/>
          <w:color w:val="auto"/>
        </w:rPr>
      </w:pPr>
    </w:p>
    <w:p>
      <w:pPr>
        <w:ind w:right="480" w:firstLine="551"/>
        <w:spacing w:after="0" w:line="266" w:lineRule="auto"/>
        <w:rPr>
          <w:sz w:val="20"/>
          <w:szCs w:val="20"/>
          <w:color w:val="auto"/>
        </w:rPr>
      </w:pPr>
      <w:r>
        <w:rPr>
          <w:rFonts w:ascii="Times New Roman" w:cs="Times New Roman" w:eastAsia="Times New Roman" w:hAnsi="Times New Roman"/>
          <w:sz w:val="18"/>
          <w:szCs w:val="18"/>
          <w:color w:val="auto"/>
        </w:rPr>
        <w:t>Amortization expense of $0, $1,220, and $1,220 for the years ended December 31, 2023, 2022 and 2021 were included in selling, general and administrative expenses on the consolidated statements of operations.</w:t>
      </w:r>
    </w:p>
    <w:p>
      <w:pPr>
        <w:spacing w:after="0" w:line="68" w:lineRule="exact"/>
        <w:rPr>
          <w:sz w:val="20"/>
          <w:szCs w:val="20"/>
          <w:color w:val="auto"/>
        </w:rPr>
      </w:pPr>
    </w:p>
    <w:p>
      <w:pPr>
        <w:ind w:right="10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2022, all amortizable intangible assets were impaired and no future amortization expense will be recognized in the Company's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promotions and marketing</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 related expenses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trade payable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VAT payable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50"/>
        </w:trPr>
        <w:tc>
          <w:tcPr>
            <w:tcW w:w="8160" w:type="dxa"/>
            <w:vAlign w:val="bottom"/>
          </w:tcPr>
          <w:p>
            <w:pPr>
              <w:spacing w:after="0"/>
              <w:rPr>
                <w:sz w:val="21"/>
                <w:szCs w:val="21"/>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w:t>
            </w:r>
          </w:p>
        </w:tc>
      </w:tr>
      <w:tr>
        <w:trPr>
          <w:trHeight w:val="27"/>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credit facility and notes payable as of December 31, 2023 and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0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r>
      <w:tr>
        <w:trPr>
          <w:trHeight w:val="250"/>
        </w:trPr>
        <w:tc>
          <w:tcPr>
            <w:tcW w:w="8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Vehicle loans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5"/>
        </w:trPr>
        <w:tc>
          <w:tcPr>
            <w:tcW w:w="81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r>
        <w:trPr>
          <w:trHeight w:val="223"/>
        </w:trPr>
        <w:tc>
          <w:tcPr>
            <w:tcW w:w="8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10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Credit Facility</w:t>
      </w:r>
    </w:p>
    <w:p>
      <w:pPr>
        <w:spacing w:after="0" w:line="108" w:lineRule="exact"/>
        <w:rPr>
          <w:sz w:val="20"/>
          <w:szCs w:val="20"/>
          <w:color w:val="auto"/>
        </w:rPr>
      </w:pPr>
    </w:p>
    <w:p>
      <w:pPr>
        <w:ind w:right="60" w:firstLine="551"/>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the five-year credit facility (the "2020 Credit Facility") with Wells Fargo Bank, National Association consisting of a revolving line of credit, which currently provides for committed borrowings of $60 million. The maturity date on the 2020 Credit Facility is May 12, 2026.</w:t>
      </w:r>
    </w:p>
    <w:p>
      <w:pPr>
        <w:spacing w:after="0" w:line="61"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72" w:lineRule="exact"/>
        <w:rPr>
          <w:sz w:val="20"/>
          <w:szCs w:val="20"/>
          <w:color w:val="auto"/>
        </w:rPr>
      </w:pPr>
    </w:p>
    <w:p>
      <w:pPr>
        <w:ind w:right="100" w:firstLine="551"/>
        <w:spacing w:after="0" w:line="261" w:lineRule="auto"/>
        <w:rPr>
          <w:sz w:val="20"/>
          <w:szCs w:val="20"/>
          <w:color w:val="auto"/>
        </w:rPr>
      </w:pPr>
      <w:r>
        <w:rPr>
          <w:rFonts w:ascii="Times New Roman" w:cs="Times New Roman" w:eastAsia="Times New Roman" w:hAnsi="Times New Roman"/>
          <w:sz w:val="18"/>
          <w:szCs w:val="18"/>
          <w:color w:val="auto"/>
        </w:rPr>
        <w:t>The borrowings made before December 2022 bore interest at rates based on either: 1) London Interbank Offered Rate ("LIBOR"); or 2) a specified base rate (determined by reference to the greatest of the prime rate published by Wells Fargo, the federal funds effective rate plus 1.5% and one-month LIBOR plus 1.50%), as selected periodically by the Company. The LIBOR-based loans bore interest at LIBOR plus the Spread. The unused commitment fee prior to the December 2022 amendment was the same.</w:t>
      </w:r>
    </w:p>
    <w:p>
      <w:pPr>
        <w:spacing w:after="0" w:line="180"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December 31, 2022, the Company had no outstanding balance and $60,000 undrawn and available under its amended 2020 Credit Facility. Interest expense and unused commitment fee for the 2020 Credit Facility amounted to $14 and $46 for the year ended December 31, 2023. Interest expense and unused commitment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fee for the 2020 Credit Facility amounted to $255 and $51, respectively, for the year ended December 31, 2022. Interest expense and unused commitment fee for the 2020 Credit Facility amounted to $176 and $39, respectively, for the year ended December 31, 2021. The effective interest rate was 0.1%, 2.53%, and 0.97%, respectively, as of December 31, 2023, 2022, and 2021.</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12" w:lineRule="exact"/>
        <w:rPr>
          <w:sz w:val="20"/>
          <w:szCs w:val="20"/>
          <w:color w:val="auto"/>
        </w:rPr>
      </w:pPr>
    </w:p>
    <w:p>
      <w:pPr>
        <w:ind w:right="160" w:firstLine="551"/>
        <w:spacing w:after="0" w:line="247"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December 31, 2023, the Company was compliant with all financial covenants.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w:t>
      </w:r>
    </w:p>
    <w:p>
      <w:pPr>
        <w:spacing w:after="0" w:line="121" w:lineRule="exact"/>
        <w:rPr>
          <w:sz w:val="20"/>
          <w:szCs w:val="20"/>
          <w:color w:val="auto"/>
        </w:rPr>
      </w:pPr>
    </w:p>
    <w:p>
      <w:pPr>
        <w:jc w:val="both"/>
        <w:ind w:right="80" w:firstLine="551"/>
        <w:spacing w:after="0" w:line="261" w:lineRule="auto"/>
        <w:rPr>
          <w:sz w:val="20"/>
          <w:szCs w:val="20"/>
          <w:color w:val="auto"/>
        </w:rPr>
      </w:pPr>
      <w:r>
        <w:rPr>
          <w:rFonts w:ascii="Times New Roman" w:cs="Times New Roman" w:eastAsia="Times New Roman" w:hAnsi="Times New Roman"/>
          <w:sz w:val="17"/>
          <w:szCs w:val="17"/>
          <w:color w:val="auto"/>
        </w:rPr>
        <w:t>In May 2021, the Company entered into the 2021 Term Loan pursuant to the terms of the credit agreement entered into in connection with the 2020 Credit Facility. The 2021 Term Loan provided the Company with borrowings up to $30,000. The Company incurred interest on the 2021 Term Loan at the same rate as the 2020 Credit Facility. The Company was required to repay the principal on the 2021 Term Loan in quarterly installments commencing on</w:t>
      </w:r>
    </w:p>
    <w:p>
      <w:pPr>
        <w:spacing w:after="0" w:line="222" w:lineRule="auto"/>
        <w:rPr>
          <w:sz w:val="20"/>
          <w:szCs w:val="20"/>
          <w:color w:val="auto"/>
        </w:rPr>
      </w:pPr>
      <w:r>
        <w:rPr>
          <w:rFonts w:ascii="Times New Roman" w:cs="Times New Roman" w:eastAsia="Times New Roman" w:hAnsi="Times New Roman"/>
          <w:sz w:val="18"/>
          <w:szCs w:val="18"/>
          <w:color w:val="auto"/>
        </w:rPr>
        <w:t>October 1, 2021 through the maturity date of May 21, 2026.</w:t>
      </w:r>
    </w:p>
    <w:p>
      <w:pPr>
        <w:spacing w:after="0" w:line="1" w:lineRule="exact"/>
        <w:rPr>
          <w:sz w:val="20"/>
          <w:szCs w:val="20"/>
          <w:color w:val="auto"/>
        </w:rPr>
      </w:pPr>
    </w:p>
    <w:p>
      <w:pPr>
        <w:ind w:right="20" w:firstLine="567"/>
        <w:spacing w:after="0" w:line="228" w:lineRule="auto"/>
        <w:rPr>
          <w:sz w:val="20"/>
          <w:szCs w:val="20"/>
          <w:color w:val="auto"/>
        </w:rPr>
      </w:pPr>
      <w:r>
        <w:rPr>
          <w:rFonts w:ascii="Times New Roman" w:cs="Times New Roman" w:eastAsia="Times New Roman" w:hAnsi="Times New Roman"/>
          <w:sz w:val="18"/>
          <w:szCs w:val="18"/>
          <w:color w:val="auto"/>
        </w:rPr>
        <w:t>The 2021 Term Loan was subject to the same affirmative, negative and financial covenants as the 2020 Credit Facility. On October 27, 2021, the Company repaid the outstanding balance on the 2021 Term Loan using the net proceeds from the IPO as discussed in Note 1. In accordance with ASC 470, the Company recognized a loss of $132 in the year ended December 31, 2021 related primarily to the write-off of deferred financing costs, which was recorded in the "Loss on extinguishment of debt" line in the accompanying consolidated statements of operations. Interest expense related to the 2021 Term Loan amounted to $141 for the year ended December 31,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40" w:firstLine="551"/>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vehicle loans. Interest rate on these vehicle loans range from 4.56% to 5.68%. The Company is required to make principal payments of $2 on a monthly basis.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principal payments on the notes payable for the next five years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notes payable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04" w:lineRule="exact"/>
        <w:rPr>
          <w:sz w:val="20"/>
          <w:szCs w:val="20"/>
          <w:color w:val="auto"/>
        </w:rPr>
      </w:pPr>
    </w:p>
    <w:p>
      <w:pPr>
        <w:ind w:right="120" w:firstLine="55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in the ordinary course of business. The Company intends to vigorously defend itself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matters and management, based upon the advice of legal counsel, is of the opinion that the resolution of these matters will not have a material effect on the consolidated financial statements. The Company records a liability when it is probable that a loss has been incurred and the amount is reasonably estimable.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Company also discloses when it is reasonably possible that a material loss may be incurred. As of December 31, 2023 and 2022, the Company has not recorded any liabilities relating to such legal matters.</w:t>
      </w:r>
    </w:p>
    <w:p>
      <w:pPr>
        <w:spacing w:after="0" w:line="172" w:lineRule="exact"/>
        <w:rPr>
          <w:sz w:val="20"/>
          <w:szCs w:val="20"/>
          <w:color w:val="auto"/>
        </w:rPr>
      </w:pPr>
    </w:p>
    <w:p>
      <w:pPr>
        <w:ind w:right="700" w:firstLine="55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countries. The Company may be subject to certain business risks due to potential instability in these regions.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94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4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6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16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92"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18"/>
          <w:szCs w:val="18"/>
          <w:color w:val="auto"/>
        </w:rPr>
        <w:t>One of the customers acquired less than 5% ownership in the Company upon consummation of the IPO. The same customer also vested in 100,000 restricted stock awards during the period ended March 31, 2023 as discussed in Note 10, Stockholders' Equity. The customer continues to hold less than 5% ownership in the Company as of December 31, 2023.</w:t>
      </w:r>
    </w:p>
    <w:p>
      <w:pPr>
        <w:spacing w:after="0" w:line="156"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In 2023, we agreed to start to discontinue the private label coconut water and coconut oil supply relationship with one of our significant customers as the terms required to retain the business were contrary to our long term margin targets. However, at the request of this customer, we expect to continue the supply relationship through 2024 for a significant portion of their private label coconut water needs.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4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33655</wp:posOffset>
            </wp:positionV>
            <wp:extent cx="2100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5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63"/>
        </w:trPr>
        <w:tc>
          <w:tcPr>
            <w:tcW w:w="9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Company accounts for derivative instruments in accordance with the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These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that all derivative instruments be recognized at fair value on each balance sheet date unless they qualify for a scope exclusion as a normal purchase</w:t>
      </w:r>
    </w:p>
    <w:p>
      <w:pPr>
        <w:spacing w:after="0" w:line="234" w:lineRule="auto"/>
        <w:rPr>
          <w:sz w:val="20"/>
          <w:szCs w:val="20"/>
          <w:color w:val="auto"/>
        </w:rPr>
      </w:pPr>
      <w:r>
        <w:rPr>
          <w:rFonts w:ascii="Times New Roman" w:cs="Times New Roman" w:eastAsia="Times New Roman" w:hAnsi="Times New Roman"/>
          <w:sz w:val="18"/>
          <w:szCs w:val="18"/>
          <w:color w:val="auto"/>
        </w:rPr>
        <w:t>or sale transaction, which is accounted for under the accrual method of accounting. In addition, these principles permit derivative instruments that qualify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hedge accounting to reflect the changes in the fair value of the derivative instruments through earnings or stockholders’ equity as other comprehensive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on a net basis until the hedged item is settled and recognized in earnings, depending on whether the derivative is being used to hedge changes in</w:t>
      </w:r>
    </w:p>
    <w:p>
      <w:pPr>
        <w:spacing w:after="0" w:line="234" w:lineRule="auto"/>
        <w:rPr>
          <w:sz w:val="20"/>
          <w:szCs w:val="20"/>
          <w:color w:val="auto"/>
        </w:rPr>
      </w:pPr>
      <w:r>
        <w:rPr>
          <w:rFonts w:ascii="Times New Roman" w:cs="Times New Roman" w:eastAsia="Times New Roman" w:hAnsi="Times New Roman"/>
          <w:sz w:val="18"/>
          <w:szCs w:val="18"/>
          <w:color w:val="auto"/>
        </w:rPr>
        <w:t>fair value or cash flows. The ineffective portion of a derivative instrument’s change in fair value is immediately recognized in earnings.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December 31, 2022, the Company did not have any derivative instruments that it had designated as fair value or cash flow hedges,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therefore all changes in fair value were immediately recognized in earnings.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10" w:lineRule="exact"/>
        <w:rPr>
          <w:sz w:val="20"/>
          <w:szCs w:val="20"/>
          <w:color w:val="auto"/>
        </w:rPr>
      </w:pPr>
    </w:p>
    <w:p>
      <w:pPr>
        <w:ind w:right="38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Inventory purchases from Brazilian, Thai and Malaysian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Malaysian ringgit ("MYR") and Thai baht ("THB"), the Company's subsidiary, All Market Singapore Pte. Ltd. ("AMS"), enters a series of forward currency swaps to buy BRL, MYR and THB.</w:t>
      </w:r>
    </w:p>
    <w:p>
      <w:pPr>
        <w:spacing w:after="0" w:line="174" w:lineRule="exact"/>
        <w:rPr>
          <w:sz w:val="20"/>
          <w:szCs w:val="20"/>
          <w:color w:val="auto"/>
        </w:rPr>
      </w:pPr>
    </w:p>
    <w:p>
      <w:pPr>
        <w:ind w:right="14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 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AMS enters into foreign currency swaps to sell British pound ("GBP").</w:t>
      </w:r>
    </w:p>
    <w:p>
      <w:pPr>
        <w:spacing w:after="0" w:line="159" w:lineRule="exact"/>
        <w:rPr>
          <w:sz w:val="20"/>
          <w:szCs w:val="20"/>
          <w:color w:val="auto"/>
        </w:rPr>
      </w:pPr>
    </w:p>
    <w:p>
      <w:pPr>
        <w:ind w:right="18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consolidated balance sheets consist of the following at: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hedging instruments under</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420" w:type="dxa"/>
            <w:vAlign w:val="bottom"/>
            <w:vMerge w:val="restart"/>
          </w:tcPr>
          <w:p>
            <w:pPr>
              <w:jc w:val="center"/>
              <w:ind w:left="1275"/>
              <w:spacing w:after="0"/>
              <w:rPr>
                <w:sz w:val="20"/>
                <w:szCs w:val="20"/>
                <w:color w:val="auto"/>
              </w:rPr>
            </w:pPr>
            <w:r>
              <w:rPr>
                <w:rFonts w:ascii="Times New Roman" w:cs="Times New Roman" w:eastAsia="Times New Roman" w:hAnsi="Times New Roman"/>
                <w:sz w:val="14"/>
                <w:szCs w:val="14"/>
                <w:color w:val="auto"/>
              </w:rPr>
              <w:t>ASC 815-20</w:t>
            </w: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line="20" w:lineRule="exact"/>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2180" w:type="dxa"/>
            <w:vAlign w:val="bottom"/>
            <w:tcBorders>
              <w:top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BRL/sell USD</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Receive THB/sell USD</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EUR</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50"/>
        </w:trPr>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Receive USD/pay GBP</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CAD</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463"/>
        </w:trPr>
        <w:tc>
          <w:tcPr>
            <w:tcW w:w="4420" w:type="dxa"/>
            <w:vAlign w:val="bottom"/>
          </w:tcPr>
          <w:p>
            <w:pPr>
              <w:spacing w:after="0"/>
              <w:rPr>
                <w:sz w:val="24"/>
                <w:szCs w:val="24"/>
                <w:color w:val="auto"/>
              </w:rPr>
            </w:pP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color w:val="auto"/>
              </w:rPr>
              <w:t>hedging instruments under</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20" w:type="dxa"/>
            <w:vAlign w:val="bottom"/>
            <w:vMerge w:val="restart"/>
          </w:tcPr>
          <w:p>
            <w:pPr>
              <w:jc w:val="center"/>
              <w:ind w:left="1275"/>
              <w:spacing w:after="0"/>
              <w:rPr>
                <w:sz w:val="20"/>
                <w:szCs w:val="20"/>
                <w:color w:val="auto"/>
              </w:rPr>
            </w:pPr>
            <w:r>
              <w:rPr>
                <w:rFonts w:ascii="Times New Roman" w:cs="Times New Roman" w:eastAsia="Times New Roman" w:hAnsi="Times New Roman"/>
                <w:sz w:val="14"/>
                <w:szCs w:val="14"/>
                <w:color w:val="auto"/>
              </w:rPr>
              <w:t>ASC 815-20</w:t>
            </w: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line="20" w:lineRule="exact"/>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2180" w:type="dxa"/>
            <w:vAlign w:val="bottom"/>
            <w:tcBorders>
              <w:top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GBP</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7"/>
        </w:trPr>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Receive BRL/sell USD</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46,301</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CAD</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Receive USD/pay EUR</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THB/sell USD</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21,990</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60" w:firstLine="551"/>
        <w:spacing w:after="0" w:line="266" w:lineRule="auto"/>
        <w:rPr>
          <w:sz w:val="20"/>
          <w:szCs w:val="20"/>
          <w:color w:val="auto"/>
        </w:rPr>
      </w:pPr>
      <w:r>
        <w:rPr>
          <w:rFonts w:ascii="Times New Roman" w:cs="Times New Roman" w:eastAsia="Times New Roman" w:hAnsi="Times New Roman"/>
          <w:sz w:val="18"/>
          <w:szCs w:val="18"/>
          <w:color w:val="auto"/>
        </w:rPr>
        <w:t>The amount of realized and unrealized gains and losses and consolidated statements of operations and comprehensive income location of the derivative instruments as of December 31, 2023 and 2022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 instruments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Location</w:t>
            </w:r>
          </w:p>
        </w:tc>
        <w:tc>
          <w:tcPr>
            <w:tcW w:w="2420" w:type="dxa"/>
            <w:vAlign w:val="bottom"/>
            <w:tcBorders>
              <w:top w:val="single" w:sz="8" w:color="CFF0FC"/>
            </w:tcBorders>
            <w:gridSpan w:val="3"/>
          </w:tcPr>
          <w:p>
            <w:pPr>
              <w:spacing w:after="0" w:line="20" w:lineRule="exact"/>
              <w:rPr>
                <w:sz w:val="1"/>
                <w:szCs w:val="1"/>
                <w:color w:val="auto"/>
              </w:rPr>
            </w:pPr>
          </w:p>
        </w:tc>
        <w:tc>
          <w:tcPr>
            <w:tcW w:w="2420" w:type="dxa"/>
            <w:vAlign w:val="bottom"/>
            <w:tcBorders>
              <w:top w:val="single" w:sz="8" w:color="CFF0FC"/>
            </w:tcBorders>
            <w:gridSpan w:val="3"/>
          </w:tcPr>
          <w:p>
            <w:pPr>
              <w:spacing w:after="0" w:line="20" w:lineRule="exact"/>
              <w:rPr>
                <w:sz w:val="1"/>
                <w:szCs w:val="1"/>
                <w:color w:val="auto"/>
              </w:rPr>
            </w:pPr>
          </w:p>
        </w:tc>
        <w:tc>
          <w:tcPr>
            <w:tcW w:w="2340" w:type="dxa"/>
            <w:vAlign w:val="bottom"/>
            <w:tcBorders>
              <w:top w:val="single" w:sz="8" w:color="CFF0FC"/>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60" w:type="dxa"/>
            <w:vAlign w:val="bottom"/>
            <w:tcBorders>
              <w:top w:val="single" w:sz="8" w:color="CFF0FC"/>
            </w:tcBorders>
            <w:vMerge w:val="continue"/>
          </w:tcPr>
          <w:p>
            <w:pPr>
              <w:spacing w:after="0"/>
              <w:rPr>
                <w:sz w:val="13"/>
                <w:szCs w:val="13"/>
                <w:color w:val="auto"/>
              </w:rPr>
            </w:pPr>
          </w:p>
        </w:tc>
        <w:tc>
          <w:tcPr>
            <w:tcW w:w="232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Unrealized gain on derivative</w:t>
            </w:r>
          </w:p>
        </w:tc>
        <w:tc>
          <w:tcPr>
            <w:tcW w:w="100" w:type="dxa"/>
            <w:vAlign w:val="bottom"/>
          </w:tcPr>
          <w:p>
            <w:pPr>
              <w:spacing w:after="0"/>
              <w:rPr>
                <w:sz w:val="13"/>
                <w:szCs w:val="13"/>
                <w:color w:val="auto"/>
              </w:rPr>
            </w:pPr>
          </w:p>
        </w:tc>
        <w:tc>
          <w:tcPr>
            <w:tcW w:w="232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8"/>
                <w:szCs w:val="18"/>
                <w:color w:val="auto"/>
              </w:rPr>
              <w:t>Unrealized gain on derivative</w:t>
            </w:r>
          </w:p>
        </w:tc>
        <w:tc>
          <w:tcPr>
            <w:tcW w:w="100" w:type="dxa"/>
            <w:vAlign w:val="bottom"/>
          </w:tcPr>
          <w:p>
            <w:pPr>
              <w:spacing w:after="0"/>
              <w:rPr>
                <w:sz w:val="13"/>
                <w:szCs w:val="13"/>
                <w:color w:val="auto"/>
              </w:rPr>
            </w:pPr>
          </w:p>
        </w:tc>
        <w:tc>
          <w:tcPr>
            <w:tcW w:w="234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Unrealized (loss) on derivative</w:t>
            </w: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instruments</w:t>
            </w:r>
          </w:p>
        </w:tc>
        <w:tc>
          <w:tcPr>
            <w:tcW w:w="220" w:type="dxa"/>
            <w:vAlign w:val="bottom"/>
          </w:tcPr>
          <w:p>
            <w:pPr>
              <w:spacing w:after="0"/>
              <w:rPr>
                <w:sz w:val="20"/>
                <w:szCs w:val="20"/>
                <w:color w:val="auto"/>
              </w:rPr>
            </w:pP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instruments</w:t>
            </w:r>
          </w:p>
        </w:tc>
        <w:tc>
          <w:tcPr>
            <w:tcW w:w="240" w:type="dxa"/>
            <w:vAlign w:val="bottom"/>
          </w:tcPr>
          <w:p>
            <w:pPr>
              <w:spacing w:after="0"/>
              <w:rPr>
                <w:sz w:val="20"/>
                <w:szCs w:val="20"/>
                <w:color w:val="auto"/>
              </w:rPr>
            </w:pPr>
          </w:p>
        </w:tc>
        <w:tc>
          <w:tcPr>
            <w:tcW w:w="210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w w:val="99"/>
              </w:rPr>
              <w:t>instruments</w:t>
            </w:r>
          </w:p>
        </w:tc>
        <w:tc>
          <w:tcPr>
            <w:tcW w:w="0" w:type="dxa"/>
            <w:vAlign w:val="bottom"/>
          </w:tcPr>
          <w:p>
            <w:pPr>
              <w:spacing w:after="0"/>
              <w:rPr>
                <w:sz w:val="1"/>
                <w:szCs w:val="1"/>
                <w:color w:val="auto"/>
              </w:rPr>
            </w:pPr>
          </w:p>
        </w:tc>
      </w:tr>
      <w:tr>
        <w:trPr>
          <w:trHeight w:val="259"/>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Location</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2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2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Foreign currency gain</w:t>
            </w:r>
          </w:p>
        </w:tc>
        <w:tc>
          <w:tcPr>
            <w:tcW w:w="220" w:type="dxa"/>
            <w:vAlign w:val="bottom"/>
          </w:tcPr>
          <w:p>
            <w:pPr>
              <w:spacing w:after="0"/>
              <w:rPr>
                <w:sz w:val="18"/>
                <w:szCs w:val="18"/>
                <w:color w:val="auto"/>
              </w:rPr>
            </w:pP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Foreign currency (loss)</w:t>
            </w:r>
          </w:p>
        </w:tc>
        <w:tc>
          <w:tcPr>
            <w:tcW w:w="240" w:type="dxa"/>
            <w:vAlign w:val="bottom"/>
          </w:tcPr>
          <w:p>
            <w:pPr>
              <w:spacing w:after="0"/>
              <w:rPr>
                <w:sz w:val="18"/>
                <w:szCs w:val="18"/>
                <w:color w:val="auto"/>
              </w:rPr>
            </w:pPr>
          </w:p>
        </w:tc>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9"/>
              </w:rPr>
              <w:t>Foreign currency gain</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The Company applies recurring fair value measurements to its derivative instruments in accordance with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8" w:lineRule="exact"/>
        <w:rPr>
          <w:sz w:val="20"/>
          <w:szCs w:val="20"/>
          <w:color w:val="auto"/>
        </w:rPr>
      </w:pPr>
    </w:p>
    <w:p>
      <w:pPr>
        <w:ind w:right="80" w:firstLine="551"/>
        <w:spacing w:after="0" w:line="250"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5" w:lineRule="exact"/>
        <w:rPr>
          <w:sz w:val="20"/>
          <w:szCs w:val="20"/>
          <w:color w:val="auto"/>
        </w:rPr>
      </w:pPr>
    </w:p>
    <w:p>
      <w:pPr>
        <w:ind w:left="1300" w:hanging="417"/>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540" w:firstLine="223"/>
        <w:spacing w:after="0" w:line="268" w:lineRule="auto"/>
        <w:tabs>
          <w:tab w:leader="none" w:pos="13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w:t>
      </w:r>
    </w:p>
    <w:p>
      <w:pPr>
        <w:spacing w:after="0" w:line="158" w:lineRule="exact"/>
        <w:rPr>
          <w:rFonts w:ascii="Times New Roman" w:cs="Times New Roman" w:eastAsia="Times New Roman" w:hAnsi="Times New Roman"/>
          <w:sz w:val="18"/>
          <w:szCs w:val="18"/>
          <w:color w:val="auto"/>
        </w:rPr>
      </w:pPr>
    </w:p>
    <w:p>
      <w:pPr>
        <w:ind w:left="660" w:right="300" w:firstLine="223"/>
        <w:spacing w:after="0" w:line="284" w:lineRule="auto"/>
        <w:tabs>
          <w:tab w:leader="none" w:pos="13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This includes internally developed models and methodologies utilizing significant unobservable inputs.</w:t>
      </w:r>
    </w:p>
    <w:p>
      <w:pPr>
        <w:spacing w:after="0" w:line="145" w:lineRule="exact"/>
        <w:rPr>
          <w:sz w:val="20"/>
          <w:szCs w:val="20"/>
          <w:color w:val="auto"/>
        </w:rPr>
      </w:pPr>
    </w:p>
    <w:p>
      <w:pPr>
        <w:ind w:right="94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Forward currency swap contracts—</w:t>
      </w:r>
      <w:r>
        <w:rPr>
          <w:rFonts w:ascii="Times New Roman" w:cs="Times New Roman" w:eastAsia="Times New Roman" w:hAnsi="Times New Roman"/>
          <w:sz w:val="18"/>
          <w:szCs w:val="18"/>
          <w:color w:val="auto"/>
        </w:rPr>
        <w:t>See Note 12, Derivative Instruments, for a description of these contracts. The Company’s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72" w:lineRule="exact"/>
        <w:rPr>
          <w:sz w:val="20"/>
          <w:szCs w:val="20"/>
          <w:color w:val="auto"/>
        </w:rPr>
      </w:pPr>
    </w:p>
    <w:p>
      <w:pPr>
        <w:ind w:right="40" w:firstLine="551"/>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liability— </w:t>
      </w:r>
      <w:r>
        <w:rPr>
          <w:rFonts w:ascii="Times New Roman" w:cs="Times New Roman" w:eastAsia="Times New Roman" w:hAnsi="Times New Roman"/>
          <w:sz w:val="18"/>
          <w:szCs w:val="18"/>
          <w:color w:val="auto"/>
        </w:rPr>
        <w:t>In connection with the Company’s acquisition of the entity currently known as AMI Runa USA LLC ("Runa"),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was obligated to pay contingent payments to Runa’s former shareholders only if a certain growth rate is achieved. Assuming the revenue growth was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was not achieved during the remeasurement period, the Company is not required to pay any contingent payment. The term of the remeasurement period under the agreement ended in December 2022. Based on the revenue performance expectation during the earn-out period for Runa, the contingent consideration was zero as of December 31, 2022. The Company utilized a probability weighted scenario-based model to determine the fair value of the contingent consideration. The contingent consideration liability was considered a Level 3 liability, as the fair value was determined based on significant inputs not observable in the market.</w:t>
      </w:r>
    </w:p>
    <w:p>
      <w:pPr>
        <w:spacing w:after="0" w:line="188" w:lineRule="exact"/>
        <w:rPr>
          <w:sz w:val="20"/>
          <w:szCs w:val="20"/>
          <w:color w:val="auto"/>
        </w:rPr>
      </w:pPr>
    </w:p>
    <w:p>
      <w:pPr>
        <w:ind w:right="260" w:firstLine="551"/>
        <w:spacing w:after="0" w:line="266"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December 31, 2023 and 2022,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3"/>
                <w:szCs w:val="13"/>
                <w:color w:val="auto"/>
              </w:rPr>
            </w:pPr>
          </w:p>
        </w:tc>
        <w:tc>
          <w:tcPr>
            <w:tcW w:w="152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60" w:type="dxa"/>
            <w:vAlign w:val="bottom"/>
          </w:tcPr>
          <w:p>
            <w:pPr>
              <w:spacing w:after="0"/>
              <w:rPr>
                <w:sz w:val="10"/>
                <w:szCs w:val="10"/>
                <w:color w:val="auto"/>
              </w:rPr>
            </w:pPr>
          </w:p>
        </w:tc>
        <w:tc>
          <w:tcPr>
            <w:tcW w:w="194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160" w:type="dxa"/>
            <w:vAlign w:val="bottom"/>
          </w:tcPr>
          <w:p>
            <w:pPr>
              <w:spacing w:after="0"/>
              <w:rPr>
                <w:sz w:val="16"/>
                <w:szCs w:val="16"/>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60" w:type="dxa"/>
            <w:vAlign w:val="bottom"/>
            <w:tcBorders>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vMerge w:val="continue"/>
          </w:tcPr>
          <w:p>
            <w:pPr>
              <w:spacing w:after="0"/>
              <w:rPr>
                <w:sz w:val="20"/>
                <w:szCs w:val="20"/>
                <w:color w:val="auto"/>
              </w:rPr>
            </w:pP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04" w:lineRule="exact"/>
        <w:rPr>
          <w:sz w:val="20"/>
          <w:szCs w:val="20"/>
          <w:color w:val="auto"/>
        </w:rPr>
      </w:pPr>
    </w:p>
    <w:p>
      <w:pPr>
        <w:ind w:right="20" w:firstLine="551"/>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Each share of common stock entitles its holder to one vote on matters required to be voted on by the stockholders of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to receive dividends, when and if declared by the Company’s board of directors. As of December 31, 2023 and 2022, the Company had 3,124,326 and 2,898,930 shares, respectively, of common stock reserved for future issuance upon the conversion of outstanding warrants and stock options.</w:t>
      </w:r>
    </w:p>
    <w:p>
      <w:pPr>
        <w:spacing w:after="0" w:line="14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May 23, 2023, the Company entered into an underwriting agreement (the "May Underwriting Agreement") with BofA Securities, Inc., Evercore Group L.L.C. and Goldman Sachs &amp; Co. LLC, as the representative of the underwriters named in Schedule I thereto (collectively, the "Underwriters"), and a stockholder of the Company, Verlinvest Beverages SA (the "Selling Stockholder"), relating to an underwritten public offering of 5,000,000 shares (the "Offering") of Common Stock at a price to the public of $23.00 per share, before deducting underwriting discounts. Pursuant to the May Underwriting Agreement, all 5,000,000 shares of Common Stock were sold by the Selling Stockholder. Under the terms of the May Underwriting Agreement, the Selling Stockholder granted the Underwriters an option exercisable for 30 days to purchase up to an additional 750,000 shares of Common Stock from the Selling Stockholder at the public offering price, less underwriting discounts and commissions, which option was exercised in full prior to the closing of the Offering. The closing of the Offering occurred on May 26, 2023. On November 6, 2023, the Company entered into another underwriting agreement (the “November Underwriting Agreement”) with BofA Securities, Inc. and Verlinvest Beverages SA, relating to an offering of 4,000,000 shares of the Company’s common stock, par value $0.01 per share. Pursuant to the November Underwriting Agreement, all 4,000,000 shares of Common Stock were sold by the Selling Stockholder. The closing of the offering occurred on November 9, 2023. The Company did not receive any of the proceeds from the sale of the shares. Additionally, the Company incurred $1,525 of administrative expenses related to these offerings, which were expensed in SG&amp;A for the year ended December 31, 2023.</w:t>
      </w:r>
    </w:p>
    <w:p>
      <w:pPr>
        <w:spacing w:after="0" w:line="183" w:lineRule="exact"/>
        <w:rPr>
          <w:sz w:val="20"/>
          <w:szCs w:val="20"/>
          <w:color w:val="auto"/>
        </w:rPr>
      </w:pPr>
    </w:p>
    <w:p>
      <w:pPr>
        <w:ind w:right="20" w:firstLine="55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 As of December 31, 2023 and 2022, the Company held 6,236,200 and 6,206,200 shares in treasury stock. In January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w:t>
      </w:r>
    </w:p>
    <w:p>
      <w:pPr>
        <w:spacing w:after="0" w:line="181"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$40,000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The Company repurchased 30,000 shares under this program at a cost of $773 during the year ended December 31, 2023.</w:t>
      </w:r>
    </w:p>
    <w:p>
      <w:pPr>
        <w:spacing w:after="0" w:line="200" w:lineRule="exact"/>
        <w:rPr>
          <w:sz w:val="20"/>
          <w:szCs w:val="20"/>
          <w:color w:val="auto"/>
        </w:rPr>
      </w:pPr>
    </w:p>
    <w:p>
      <w:pPr>
        <w:spacing w:after="0" w:line="242"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w:t>
      </w:r>
      <w:r>
        <w:rPr>
          <w:rFonts w:ascii="Times New Roman" w:cs="Times New Roman" w:eastAsia="Times New Roman" w:hAnsi="Times New Roman"/>
          <w:sz w:val="18"/>
          <w:szCs w:val="18"/>
          <w:color w:val="auto"/>
        </w:rPr>
        <w:t>—On August 17, 2021, the Company’s ownership interest in AME increased as a result of the subsidiary 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repurchasing AME shares from certain minority stockholders. As a result, the noncontrolling interest in AME representing minority stockholders’ proportionate share of the equity in AME was reduced from 1.3% to 0.71%. On December 31, 2021, the Company purchased the remaining outstanding AME shares directly from minority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stockholders by exchanging shares in the Company on the basis of 5.485 Vita Coco shares being allotted for every 1 AME share. The share ratio exchange reflects a mutually agreed valuation of AME shares relative to Vita Coco shares. Since the Company continued to retain a controlling financial interest in AME, the change in ownership interest was accounted for as an equity transaction.</w:t>
      </w:r>
    </w:p>
    <w:p>
      <w:pPr>
        <w:spacing w:after="0" w:line="186" w:lineRule="exact"/>
        <w:rPr>
          <w:sz w:val="20"/>
          <w:szCs w:val="20"/>
          <w:color w:val="auto"/>
        </w:rPr>
      </w:pPr>
    </w:p>
    <w:p>
      <w:pPr>
        <w:ind w:right="60" w:firstLine="55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All service warrants were exercised and exit warrants were expired as of December 31, 2021. As such, there was no warrant activity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w:t>
      </w:r>
    </w:p>
    <w:p>
      <w:pPr>
        <w:spacing w:after="0" w:line="154" w:lineRule="exact"/>
        <w:rPr>
          <w:sz w:val="20"/>
          <w:szCs w:val="20"/>
          <w:color w:val="auto"/>
        </w:rPr>
      </w:pPr>
    </w:p>
    <w:p>
      <w:pPr>
        <w:ind w:right="20" w:firstLine="55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stockholders of the Company approved the adoption of the Company’s 2014 Stock Option and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“2014 Plan”). The 2014 Plan allowed for a maximum of 8% of the sum of the Available Equity defined as the sum of (i) the total then outstanding shares of common shares and (ii) all available stock option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must contain exercise prices no less than the fair value of the Company’s common stock on the date of grant and have a ten-year contractual term.</w:t>
      </w:r>
    </w:p>
    <w:p>
      <w:pPr>
        <w:spacing w:after="0" w:line="193"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Incentive Award Plan ("2021 Plan"), which became effective after the closing of the IPO discussed in Note 1. On and after closing of the offering and the effectiveness of the 2021 Incentive Award Plan, no further grants will be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of directors; provided, however, no more than 3,431,312 shares may be issued upon the exercise of incentive stock options, or ISOs. The 2021 Plan provides for the grant of stock options, including ISOs and nonqualified stock options, or NSOs, restricted stock, dividend equivalents, stock payments, restricted stock units, or RSUs, other incentive awards, SARs, and cash awards. Currently, stock options, restricted stock, and RSU's were granted under 2021 Plan. As of December 31, 2023, there were 3,124,326 shares of common stock reserved for future issuance pursuant to the 2021 Plan.</w:t>
      </w:r>
    </w:p>
    <w:p>
      <w:pPr>
        <w:spacing w:after="0" w:line="186"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$7,805, $6,134 and $3,103 for the years ended December 31, 2023, 2022 and 2021, respectively in selling, general, and administrative expenses. The Company also recognized a reduction of revenue of $1,323, $1,250 and $277 for the years ended December 31, 2023, 2022 and 2021 related to stock-based compensation awards granted to entities affiliated with a major customer that was accounted for as a stock-based sales incentive. The total impact to additional paid-in capital related to stock-based compensation arrangements in 2023 and 2022 were $9,128 and $7,384,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with Service-based Vesting Conditions</w:t>
      </w:r>
    </w:p>
    <w:p>
      <w:pPr>
        <w:spacing w:after="0" w:line="108"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Most stock option awards granted under the 2014 and 2021 Plans vest based on the continuous service. The stock options awarded to the employees have different vesting schedules as specified in each grant agreement. The following table summarizes the service-based stock option activity during the year ended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3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ind w:left="3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Borders>
              <w:bottom w:val="single" w:sz="8" w:color="CFF0FC"/>
            </w:tcBorders>
          </w:tcPr>
          <w:p>
            <w:pPr>
              <w:spacing w:after="0"/>
              <w:rPr>
                <w:sz w:val="2"/>
                <w:szCs w:val="2"/>
                <w:color w:val="auto"/>
              </w:rPr>
            </w:pPr>
          </w:p>
        </w:tc>
        <w:tc>
          <w:tcPr>
            <w:tcW w:w="16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2022</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3,713,974</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296,693</w:t>
            </w:r>
          </w:p>
        </w:tc>
        <w:tc>
          <w:tcPr>
            <w:tcW w:w="100" w:type="dxa"/>
            <w:vAlign w:val="bottom"/>
          </w:tcPr>
          <w:p>
            <w:pPr>
              <w:spacing w:after="0"/>
              <w:rPr>
                <w:sz w:val="22"/>
                <w:szCs w:val="22"/>
                <w:color w:val="auto"/>
              </w:rPr>
            </w:pPr>
          </w:p>
        </w:tc>
        <w:tc>
          <w:tcPr>
            <w:tcW w:w="114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17.66</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698,264</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12.51</w:t>
            </w:r>
          </w:p>
        </w:tc>
        <w:tc>
          <w:tcPr>
            <w:tcW w:w="100" w:type="dxa"/>
            <w:vAlign w:val="bottom"/>
            <w:tcBorders>
              <w:bottom w:val="single" w:sz="8" w:color="CFF0FC"/>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640" w:type="dxa"/>
            <w:vAlign w:val="bottom"/>
            <w:tcBorders>
              <w:bottom w:val="single" w:sz="8" w:color="auto"/>
            </w:tcBorders>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w w:val="99"/>
              </w:rPr>
              <w:t>3,298,006</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12.23</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44,282</w:t>
            </w:r>
          </w:p>
        </w:tc>
        <w:tc>
          <w:tcPr>
            <w:tcW w:w="0" w:type="dxa"/>
            <w:vAlign w:val="bottom"/>
          </w:tcPr>
          <w:p>
            <w:pPr>
              <w:spacing w:after="0"/>
              <w:rPr>
                <w:sz w:val="1"/>
                <w:szCs w:val="1"/>
                <w:color w:val="auto"/>
              </w:rPr>
            </w:pPr>
          </w:p>
        </w:tc>
      </w:tr>
      <w:tr>
        <w:trPr>
          <w:trHeight w:val="22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2023</w:t>
            </w:r>
          </w:p>
        </w:tc>
        <w:tc>
          <w:tcPr>
            <w:tcW w:w="164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9"/>
              </w:rPr>
              <w:t>1,607,477</w:t>
            </w:r>
          </w:p>
        </w:tc>
        <w:tc>
          <w:tcPr>
            <w:tcW w:w="100" w:type="dxa"/>
            <w:vAlign w:val="bottom"/>
          </w:tcPr>
          <w:p>
            <w:pPr>
              <w:spacing w:after="0"/>
              <w:rPr>
                <w:sz w:val="19"/>
                <w:szCs w:val="19"/>
                <w:color w:val="auto"/>
              </w:rPr>
            </w:pPr>
          </w:p>
        </w:tc>
        <w:tc>
          <w:tcPr>
            <w:tcW w:w="114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24,613</w:t>
            </w:r>
          </w:p>
        </w:tc>
        <w:tc>
          <w:tcPr>
            <w:tcW w:w="0" w:type="dxa"/>
            <w:vAlign w:val="bottom"/>
          </w:tcPr>
          <w:p>
            <w:pPr>
              <w:spacing w:after="0"/>
              <w:rPr>
                <w:sz w:val="1"/>
                <w:szCs w:val="1"/>
                <w:color w:val="auto"/>
              </w:rPr>
            </w:pPr>
          </w:p>
        </w:tc>
      </w:tr>
      <w:tr>
        <w:trPr>
          <w:trHeight w:val="913"/>
        </w:trPr>
        <w:tc>
          <w:tcPr>
            <w:tcW w:w="4380" w:type="dxa"/>
            <w:vAlign w:val="bottom"/>
          </w:tcPr>
          <w:p>
            <w:pPr>
              <w:spacing w:after="0"/>
              <w:rPr>
                <w:sz w:val="24"/>
                <w:szCs w:val="24"/>
                <w:color w:val="auto"/>
              </w:rPr>
            </w:pPr>
          </w:p>
        </w:tc>
        <w:tc>
          <w:tcPr>
            <w:tcW w:w="164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firstLine="551"/>
        <w:spacing w:after="0" w:line="246" w:lineRule="auto"/>
        <w:rPr>
          <w:sz w:val="20"/>
          <w:szCs w:val="20"/>
          <w:color w:val="auto"/>
        </w:rPr>
      </w:pPr>
      <w:r>
        <w:rPr>
          <w:rFonts w:ascii="Times New Roman" w:cs="Times New Roman" w:eastAsia="Times New Roman" w:hAnsi="Times New Roman"/>
          <w:sz w:val="18"/>
          <w:szCs w:val="18"/>
          <w:color w:val="auto"/>
        </w:rPr>
        <w:t>The weighted average grant-date fair value of the service-based stock option awards granted during the years ended December 31, 2023 and 2022 was $7.29 per option and $6.98 per option, respectively. The aggregate intrinsic value of service-based stock options exercised was $10,826 and $2,026 for the years ended December 31, 2023 and 2022, respectively. The aggregate intrinsic value of stock options is calculated as the difference between the exercise price of the stock options and the fair value of the Company’s common stock for all stock options that had exercise prices lower than the fair value of the Company’s common stock.</w:t>
      </w:r>
    </w:p>
    <w:p>
      <w:pPr>
        <w:spacing w:after="0" w:line="195" w:lineRule="exact"/>
        <w:rPr>
          <w:sz w:val="20"/>
          <w:szCs w:val="20"/>
          <w:color w:val="auto"/>
        </w:rPr>
      </w:pPr>
    </w:p>
    <w:p>
      <w:pPr>
        <w:ind w:right="120" w:firstLine="551"/>
        <w:spacing w:after="0" w:line="250" w:lineRule="auto"/>
        <w:rPr>
          <w:sz w:val="20"/>
          <w:szCs w:val="20"/>
          <w:color w:val="auto"/>
        </w:rPr>
      </w:pPr>
      <w:r>
        <w:rPr>
          <w:rFonts w:ascii="Times New Roman" w:cs="Times New Roman" w:eastAsia="Times New Roman" w:hAnsi="Times New Roman"/>
          <w:sz w:val="18"/>
          <w:szCs w:val="18"/>
          <w:color w:val="auto"/>
        </w:rPr>
        <w:t>The fair value of the service-based stock options granted in 2023 and 2022 pursuant to the Stock Option Plan was estimated on a grant or on a modification date using the Black-Scholes option-pricing model. The weighted average assumptions used in the Black-Scholes option-pricing model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7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6.22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years</w:t>
            </w: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6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7" w:lineRule="exact"/>
        <w:rPr>
          <w:sz w:val="20"/>
          <w:szCs w:val="20"/>
          <w:color w:val="auto"/>
        </w:rPr>
      </w:pPr>
    </w:p>
    <w:p>
      <w:pPr>
        <w:ind w:right="2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Represents the period that the stock-based awards are expected to be outstanding based on a contractual term and service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for the awards. The Company estimated the expected term of the options with service conditions in accordance with the “simplified” method as defined in ASC 718, which enables the use of a practical expedient for “plain vanilla” share options.</w:t>
      </w:r>
    </w:p>
    <w:p>
      <w:pPr>
        <w:spacing w:after="0" w:line="167" w:lineRule="exact"/>
        <w:rPr>
          <w:sz w:val="20"/>
          <w:szCs w:val="20"/>
          <w:color w:val="auto"/>
        </w:rPr>
      </w:pPr>
    </w:p>
    <w:p>
      <w:pPr>
        <w:ind w:right="6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has historically been a private company and lacks company-specific historical and implied volatility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stock. Therefore, the Company 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67" w:lineRule="exact"/>
        <w:rPr>
          <w:sz w:val="20"/>
          <w:szCs w:val="20"/>
          <w:color w:val="auto"/>
        </w:rPr>
      </w:pPr>
    </w:p>
    <w:p>
      <w:pPr>
        <w:ind w:right="32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 as of the option valuation date, by reference to the U.S. Treasury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curve in effect at the time of the grant or the modification of the award for time periods equal to the expected term of the award.</w:t>
      </w:r>
    </w:p>
    <w:p>
      <w:pPr>
        <w:spacing w:after="0" w:line="145" w:lineRule="exact"/>
        <w:rPr>
          <w:sz w:val="20"/>
          <w:szCs w:val="20"/>
          <w:color w:val="auto"/>
        </w:rPr>
      </w:pPr>
    </w:p>
    <w:p>
      <w:pPr>
        <w:ind w:right="18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does not anticipate declaring a dividend over the expected term. As such, the dividend yield has been estimated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zero.</w:t>
      </w:r>
    </w:p>
    <w:p>
      <w:pPr>
        <w:spacing w:after="0" w:line="172" w:lineRule="exact"/>
        <w:rPr>
          <w:sz w:val="20"/>
          <w:szCs w:val="20"/>
          <w:color w:val="auto"/>
        </w:rPr>
      </w:pPr>
    </w:p>
    <w:p>
      <w:pPr>
        <w:ind w:right="40" w:firstLine="551"/>
        <w:spacing w:after="0" w:line="242"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For stock awards granted subsequent to the IPO, the fair value of the common stock assumed for the grant date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of the awards will be based on the closing price of our common stock as reported on the day of grant. Prior to the IPO in October 2021, because there has been no public market for the Company’s common stock, the board of directors has determined the estimated fair value of the common stock at the time of grant of options by considering valuations performed by an independent third-party valuation specialist, which considers a number of objective and subjective factors including valuations of comparable companies, operating and financial performance, the lack of liquidity of capital stock, the likelihood of achieving an initial public offering and general and industry specific economic outlook.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Issued as Compensation</w:t>
      </w:r>
      <w:r>
        <w:rPr>
          <w:rFonts w:ascii="Times New Roman" w:cs="Times New Roman" w:eastAsia="Times New Roman" w:hAnsi="Times New Roman"/>
          <w:sz w:val="18"/>
          <w:szCs w:val="18"/>
          <w:color w:val="auto"/>
        </w:rPr>
        <w:t>. The third-party common stock valuations were prepared using a combination of the income approach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approach.</w:t>
      </w:r>
    </w:p>
    <w:p>
      <w:pPr>
        <w:spacing w:after="0" w:line="203"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$3,567 of total unrecognized compensation cost related to unvested service-based stock options, which is expected to be recognized over a weighted-average service period of 1.7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with Performance and Market-based Vesting Conditions</w:t>
      </w:r>
    </w:p>
    <w:p>
      <w:pPr>
        <w:spacing w:after="0" w:line="121" w:lineRule="exact"/>
        <w:rPr>
          <w:sz w:val="20"/>
          <w:szCs w:val="20"/>
          <w:color w:val="auto"/>
        </w:rPr>
      </w:pPr>
    </w:p>
    <w:p>
      <w:pPr>
        <w:ind w:right="360" w:firstLine="551"/>
        <w:spacing w:after="0" w:line="282" w:lineRule="auto"/>
        <w:rPr>
          <w:sz w:val="20"/>
          <w:szCs w:val="20"/>
          <w:color w:val="auto"/>
        </w:rPr>
      </w:pPr>
      <w:r>
        <w:rPr>
          <w:rFonts w:ascii="Times New Roman" w:cs="Times New Roman" w:eastAsia="Times New Roman" w:hAnsi="Times New Roman"/>
          <w:sz w:val="18"/>
          <w:szCs w:val="18"/>
          <w:color w:val="auto"/>
        </w:rPr>
        <w:t>There are also stock option awards containing performance-based vesting conditions, subject to achievement of various performance goals by a future period, such as revenue and adjusted EBITDA targets. There are also stock option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awards containing performance and market vesting conditions, such as options vesting upon occurrence of an IPO or other qualifying liquidity event and upon achieving a predetermined equity value of the Company. This award was granted to the current CEO in 2019 that vest upon occurrence of an IPO or other qualifying liquidity event and upon achieving a predetermined equity value of the Company. As of July 31, 2023, the performance and market vesting conditions were achieved and the remaining stock compensation expense of $762 for this award was accelerated and recognized in the year ended December 31, 2023.</w:t>
      </w:r>
    </w:p>
    <w:p>
      <w:pPr>
        <w:spacing w:after="0" w:line="7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there were no modifications to these awards. During the year ended December 31, 2022, certain awards that contained a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7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ind w:left="381"/>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3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2022</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808,535</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412,341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10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11.69</w:t>
            </w:r>
          </w:p>
        </w:tc>
        <w:tc>
          <w:tcPr>
            <w:tcW w:w="10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1,144,436</w:t>
            </w:r>
          </w:p>
        </w:tc>
        <w:tc>
          <w:tcPr>
            <w:tcW w:w="1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12.60</w:t>
            </w:r>
          </w:p>
        </w:tc>
        <w:tc>
          <w:tcPr>
            <w:tcW w:w="10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7.1</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14,931</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635,408</w:t>
            </w:r>
          </w:p>
        </w:tc>
        <w:tc>
          <w:tcPr>
            <w:tcW w:w="10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3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The fair value of the awards with performance-based vesting conditions was estimated using the Black-Scholes option-pricing model used for the Company’s service-based stock options and assumed that performance goals will be achieved. If such performance conditions are not met, no compensation cost is recognized and any recognized compensation cost is reversed. The Company did not grant any performance based options for the year ended December 31, 2022 other than the modified awards noted above.</w:t>
      </w:r>
    </w:p>
    <w:p>
      <w:pPr>
        <w:spacing w:after="0" w:line="191"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The fair value of the awards with performance-based vesting conditions granted in 2023 pursuant to the 2021 Plan was estimated on the grant date using the Black-Scholes option-pricing model. The weighted average assumptions used in the Black-Scholes option-pricing model were as follows:</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4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62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8"/>
                <w:szCs w:val="18"/>
                <w:color w:val="auto"/>
              </w:rPr>
              <w:t>6.40 years</w:t>
            </w: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6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06"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the unvested stock option awards containing performance conditions was $2,606, which is expected to be recognized over the period of approximately 2.06 years. The awards containing performance and market conditions to the CEO were all vested during the year ended December 31, 2023. As of December 31, 2022, total unrecognized compensation cost related to the unvested stock option awards containing performance and market vesting conditions was $1,606, which was expected to be recognized over the period of approximately 4.22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&amp; Performance based Restricted Stock and RSUs</w:t>
      </w:r>
    </w:p>
    <w:p>
      <w:pPr>
        <w:spacing w:after="0" w:line="11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Restricted stock and 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twelve months ended December 31, 2023, the Company also granted RSUs that contained performance-based vesting conditions, subject to achievement of various performance goals by the end of 2025 or 2026, specifically net sales growth and Adjusted EBITDA targets.The following table summarizes the restricted stock and RSU activity for the year ended December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service based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performance</w:t>
            </w: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46"/>
        </w:trPr>
        <w:tc>
          <w:tcPr>
            <w:tcW w:w="3760" w:type="dxa"/>
            <w:vAlign w:val="bottom"/>
          </w:tcPr>
          <w:p>
            <w:pPr>
              <w:spacing w:after="0"/>
              <w:rPr>
                <w:sz w:val="12"/>
                <w:szCs w:val="12"/>
                <w:color w:val="auto"/>
              </w:rPr>
            </w:pPr>
          </w:p>
        </w:tc>
        <w:tc>
          <w:tcPr>
            <w:tcW w:w="1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or RSU</w:t>
            </w:r>
          </w:p>
        </w:tc>
        <w:tc>
          <w:tcPr>
            <w:tcW w:w="15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based Restricted Stock or</w:t>
            </w:r>
          </w:p>
        </w:tc>
        <w:tc>
          <w:tcPr>
            <w:tcW w:w="140" w:type="dxa"/>
            <w:vAlign w:val="bottom"/>
          </w:tcPr>
          <w:p>
            <w:pPr>
              <w:spacing w:after="0"/>
              <w:rPr>
                <w:sz w:val="12"/>
                <w:szCs w:val="12"/>
                <w:color w:val="auto"/>
              </w:rPr>
            </w:pPr>
          </w:p>
        </w:tc>
        <w:tc>
          <w:tcPr>
            <w:tcW w:w="17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96"/>
        </w:trPr>
        <w:tc>
          <w:tcPr>
            <w:tcW w:w="376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 based)</w:t>
            </w: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(performance based)</w:t>
            </w:r>
          </w:p>
        </w:tc>
      </w:tr>
      <w:tr>
        <w:trPr>
          <w:trHeight w:val="25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666,177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203,226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6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21"/>
                <w:szCs w:val="21"/>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2023</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628,129</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8"/>
          <w:szCs w:val="18"/>
          <w:color w:val="auto"/>
        </w:rPr>
        <w:t>Also included in these awards are $3 million of shares of restricted common stock granted to entities affiliated with a significant customer, granted at the IPO price per share of $15.00, or 200,000 restricted shares, in exchange for an amendment to extend the distributor agreement term to June 10, 2026. Since the distribution agreement has not been terminated by either party for cause as of March 31, 2023, 50% of the shares were released on March 31, 2023. Assuming the distribution agreement is not terminated by either party for cause, the remaining 50% will be released on March 31,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200" w:lineRule="exact"/>
        <w:rPr>
          <w:sz w:val="20"/>
          <w:szCs w:val="20"/>
          <w:color w:val="auto"/>
        </w:rPr>
      </w:pPr>
    </w:p>
    <w:p>
      <w:pPr>
        <w:ind w:right="100" w:firstLine="648"/>
        <w:spacing w:after="0" w:line="232" w:lineRule="auto"/>
        <w:rPr>
          <w:sz w:val="20"/>
          <w:szCs w:val="20"/>
          <w:color w:val="auto"/>
        </w:rPr>
      </w:pPr>
      <w:r>
        <w:rPr>
          <w:rFonts w:ascii="Times New Roman" w:cs="Times New Roman" w:eastAsia="Times New Roman" w:hAnsi="Times New Roman"/>
          <w:sz w:val="18"/>
          <w:szCs w:val="18"/>
          <w:color w:val="auto"/>
        </w:rPr>
        <w:t>The aggregate grant date fair value of all RSUs granted during 2023 and 2022 was $4,169 and $4,445, respectively. At December 31, 2023, there was $5,259 of unrecognized stock compensation expense related to non-vested service-based RSUs, which is expected to be recognized over a weighted average period of 2.0 years. At December 31, 2023, there was $219 of unrecognized stock compensation expense related to non-vested performance based RSUs, which is expected to be recognized over a weighted average period of 2.2 years. At December 31, 2022, there was $5,035 of unrecognized stock compensation expense related to non-vested service-based RSUs, which is expected to be recognized over a weighted average period of 2.7 years.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domestic and foreign components of the Company’s income before income taxes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31,614</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15,085</w:t>
            </w:r>
          </w:p>
        </w:tc>
      </w:tr>
      <w:tr>
        <w:trPr>
          <w:trHeight w:val="250"/>
        </w:trPr>
        <w:tc>
          <w:tcPr>
            <w:tcW w:w="6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7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income tax expense for the years ended December 31, 2023, 2022, and 2021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63"/>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50"/>
        </w:trPr>
        <w:tc>
          <w:tcPr>
            <w:tcW w:w="658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57"/>
        </w:trPr>
        <w:tc>
          <w:tcPr>
            <w:tcW w:w="65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5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50"/>
        </w:trPr>
        <w:tc>
          <w:tcPr>
            <w:tcW w:w="65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7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 of the U.S. federal statutory rate to the Company’s effective rate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1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using U.S. federal statutory rate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U.S. federal income tax benefit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Officer's compensation limitation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costs</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6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7"/>
        </w:trPr>
        <w:tc>
          <w:tcPr>
            <w:tcW w:w="7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at December 31, 2023 and 2022,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and accruals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Charitable contributions carryforward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w:t>
            </w:r>
          </w:p>
        </w:tc>
      </w:tr>
      <w:tr>
        <w:trPr>
          <w:trHeight w:val="243"/>
        </w:trPr>
        <w:tc>
          <w:tcPr>
            <w:tcW w:w="8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Other—Net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7"/>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00" w:firstLine="551"/>
        <w:spacing w:after="0" w:line="250" w:lineRule="auto"/>
        <w:rPr>
          <w:sz w:val="20"/>
          <w:szCs w:val="20"/>
          <w:color w:val="auto"/>
        </w:rPr>
      </w:pPr>
      <w:r>
        <w:rPr>
          <w:rFonts w:ascii="Times New Roman" w:cs="Times New Roman" w:eastAsia="Times New Roman" w:hAnsi="Times New Roman"/>
          <w:sz w:val="18"/>
          <w:szCs w:val="18"/>
          <w:color w:val="auto"/>
        </w:rPr>
        <w:t>A valuation allowance of $4,374 and $4,586 was recorded against the non-US deferred tax asset balance as of December 31, 2023 and 2022, respectively. As of each reporting date, management considers new evidence, both positive and negative, that could affect its view of the future realization of deferred tax assets. As of December 31, 2023 and 2022, management determined that there is sufficient positive evidence to conclude that it is more likely than not that the US deferred taxes are realizable. A valuation allowance has been established against the net operating loss carryforwards which has been generated by our foreign jurisdictions.</w:t>
      </w:r>
    </w:p>
    <w:p>
      <w:pPr>
        <w:spacing w:after="0" w:line="177" w:lineRule="exact"/>
        <w:rPr>
          <w:sz w:val="20"/>
          <w:szCs w:val="20"/>
          <w:color w:val="auto"/>
        </w:rPr>
      </w:pPr>
    </w:p>
    <w:p>
      <w:pPr>
        <w:ind w:right="42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had no US state and federal net operating loss carryforwards. As of December 31, 2023 and 2022, the Company had net operating loss carryforwards related to foreign operations of $21,548 and $22,987, respectively. These net operating loss carryforwards have various lives ranging from 10 years to indefinite carryforward periods.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income tax uncertainties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 2023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2"/>
        </w:trPr>
        <w:tc>
          <w:tcPr>
            <w:tcW w:w="9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2023</w:t>
            </w: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8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80" w:firstLine="551"/>
        <w:spacing w:after="0" w:line="250" w:lineRule="auto"/>
        <w:rPr>
          <w:sz w:val="20"/>
          <w:szCs w:val="20"/>
          <w:color w:val="auto"/>
        </w:rPr>
      </w:pPr>
      <w:r>
        <w:rPr>
          <w:rFonts w:ascii="Times New Roman" w:cs="Times New Roman" w:eastAsia="Times New Roman" w:hAnsi="Times New Roman"/>
          <w:sz w:val="18"/>
          <w:szCs w:val="18"/>
          <w:color w:val="auto"/>
        </w:rPr>
        <w:t>As of December 31, 2023 and 2022, there were $106 and $144 liabilities for income tax uncertainties recorded in the Company’s consolidated balance sheets. The Company recognized interest and penalties related to income tax uncertainties of $37 and $50 in its consolidated balance sheets or consolidated statements of operations for years ended December 31, 2023 and 2022, respectively. The Company is subject to income tax examinations by the IRS and various state and local jurisdictions for the open tax years between December 31, 2020 and December 31, 2023.</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2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2023 and 2022, income taxes on undistributed earnings of the Company’s foreign subsidiaries have not been provided for as the Company plans to indefinitely reinvest these amounts. The cumulative undistributed foreign earnings were not material as of December 31, 2023 and 2022.</w:t>
      </w:r>
    </w:p>
    <w:p>
      <w:pPr>
        <w:spacing w:after="0" w:line="169" w:lineRule="exact"/>
        <w:rPr>
          <w:sz w:val="20"/>
          <w:szCs w:val="20"/>
          <w:color w:val="auto"/>
        </w:rPr>
      </w:pPr>
    </w:p>
    <w:p>
      <w:pPr>
        <w:jc w:val="both"/>
        <w:ind w:right="240" w:firstLine="551"/>
        <w:spacing w:after="0" w:line="258" w:lineRule="auto"/>
        <w:rPr>
          <w:sz w:val="20"/>
          <w:szCs w:val="20"/>
          <w:color w:val="auto"/>
        </w:rPr>
      </w:pPr>
      <w:r>
        <w:rPr>
          <w:rFonts w:ascii="Times New Roman" w:cs="Times New Roman" w:eastAsia="Times New Roman" w:hAnsi="Times New Roman"/>
          <w:sz w:val="18"/>
          <w:szCs w:val="18"/>
          <w:color w:val="auto"/>
        </w:rPr>
        <w:t>During the second quarter of 2021, the Finance Act 2021 (the "Finance Act") was enacted in the United Kingdom. The Finance Act increases the corporate income tax rate from 19% to 25% effective April 1, 2023 and enhances the first-year capital allowance on qualifying new plant and machinery assets effective April 1, 2021. The effects on the Company’s existing deferred tax balances have been recorded.</w:t>
      </w:r>
    </w:p>
    <w:p>
      <w:pPr>
        <w:spacing w:after="0" w:line="169"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18"/>
          <w:szCs w:val="18"/>
          <w:color w:val="auto"/>
        </w:rPr>
        <w:t>Over the past few years, there has been significant discussion with regard to tax legislation by both the Biden Administration and the Organization for Economic Cooperation and Development (“OECD”). On August 16, 2022, the Inflation Reduction Act of 2022 was signed into law by the Biden Administration, with tax provisions primarily focused on implementing a 15% corporate alternative minimum tax on global adjusted financial statement income ("CAMT"). On December 12, 2022, the European Union member states also reached agreement to implement the OECD’s reform of international taxation known as Pillar Two Global Anti-Base Erosion ("GloBE") Rules, which broadly mirror the Inflation Reduction Act by imposing a 15% global minimum tax on multinational companies. The CAMT and GloBE are anticipated to be effective beginning in fiscal 2024 and fiscal 2025, respectively. The US Treasury and the OECD continue to seek input and release guidance on the CAMT and GloBE legislation and how the two will interact, so it is unclear at this time what, if any, impact either will have on the Company’s tax rate and financial results. We will continue to evaluate their impact as further information becomes available.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earnings per share is calculated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57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Numerator:</w:t>
            </w:r>
          </w:p>
        </w:tc>
        <w:tc>
          <w:tcPr>
            <w:tcW w:w="57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The Vita Coco Company, Inc.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56,427,890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55,732,619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53,689,910</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5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Effect of conversion of stock options and RSU's</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2,319,448</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391,042</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58,747,338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56,123,661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54,186,121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57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6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60" w:type="dxa"/>
            <w:vAlign w:val="bottom"/>
            <w:gridSpan w:val="2"/>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vested service warrants are exercisable for little consideration and all necessary conditions have been satisfied as of December 31, 2021. Accordingly, the calculation of weighted average common shares outstanding includes vested service warrants, exercisable for a value of $0.000022.</w:t>
      </w:r>
    </w:p>
    <w:p>
      <w:pPr>
        <w:spacing w:after="0" w:line="14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All exit warrants expired as of December 31, 2021. Before expiration, for the year ended December 31, 2021, the exit warrants, which expired upon a liquidity event and only vest when proceeds from a liquidity event provide an annual internal rate of return of less than 30%, were not considered in the basic and diluted earnings per share, as the contingency of a liquidity event had not occurred.</w:t>
      </w:r>
    </w:p>
    <w:p>
      <w:pPr>
        <w:spacing w:after="0" w:line="176" w:lineRule="exact"/>
        <w:rPr>
          <w:sz w:val="20"/>
          <w:szCs w:val="20"/>
          <w:color w:val="auto"/>
        </w:rPr>
      </w:pPr>
    </w:p>
    <w:p>
      <w:pPr>
        <w:ind w:right="400" w:firstLine="551"/>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310,953</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1,880,904</w:t>
            </w: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1,288,350</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right="80" w:firstLine="551"/>
        <w:spacing w:after="0" w:line="250" w:lineRule="auto"/>
        <w:rPr>
          <w:sz w:val="20"/>
          <w:szCs w:val="20"/>
          <w:color w:val="auto"/>
        </w:rPr>
      </w:pPr>
      <w:r>
        <w:rPr>
          <w:rFonts w:ascii="Times New Roman" w:cs="Times New Roman" w:eastAsia="Times New Roman" w:hAnsi="Times New Roman"/>
          <w:sz w:val="18"/>
          <w:szCs w:val="18"/>
          <w:color w:val="auto"/>
        </w:rPr>
        <w:t>Employees of the Company may participate in a defined contribution plan which qualifies under Section 401(k) of the Internal Revenue Code. Participating employees may contribute into a traditional plan with pretax salary or into a Roth plan with after tax salary up to statutory limits. The Company matches contributions up to 3% of each employee’s earnings, which vest over 2 years. Matching contributions were $616, $592 and $475 for the years ended December 31, 2023, 2022 and 2021,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right="20" w:hanging="245"/>
        <w:spacing w:after="0" w:line="250"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Guayusa leaf 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aluminum bottle canned water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are marketed only in the Americas segment. As of December 2023, we ceased offering the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brand.</w:t>
      </w:r>
    </w:p>
    <w:p>
      <w:pPr>
        <w:spacing w:after="0" w:line="69" w:lineRule="exact"/>
        <w:rPr>
          <w:rFonts w:ascii="Times New Roman" w:cs="Times New Roman" w:eastAsia="Times New Roman" w:hAnsi="Times New Roman"/>
          <w:sz w:val="18"/>
          <w:szCs w:val="18"/>
          <w:color w:val="auto"/>
        </w:rPr>
      </w:pPr>
    </w:p>
    <w:p>
      <w:pPr>
        <w:ind w:left="820" w:right="460" w:hanging="245"/>
        <w:spacing w:after="0" w:line="296" w:lineRule="auto"/>
        <w:tabs>
          <w:tab w:leader="none" w:pos="8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152" w:lineRule="exact"/>
        <w:rPr>
          <w:sz w:val="20"/>
          <w:szCs w:val="20"/>
          <w:color w:val="auto"/>
        </w:rPr>
      </w:pPr>
    </w:p>
    <w:p>
      <w:pPr>
        <w:ind w:right="260" w:firstLine="551"/>
        <w:spacing w:after="0" w:line="266" w:lineRule="auto"/>
        <w:rPr>
          <w:sz w:val="20"/>
          <w:szCs w:val="20"/>
          <w:color w:val="auto"/>
        </w:rPr>
      </w:pPr>
      <w:r>
        <w:rPr>
          <w:rFonts w:ascii="Times New Roman" w:cs="Times New Roman" w:eastAsia="Times New Roman" w:hAnsi="Times New Roman"/>
          <w:sz w:val="18"/>
          <w:szCs w:val="18"/>
          <w:color w:val="auto"/>
        </w:rPr>
        <w:t>The Company’s CEO is the chief operating decision maker and evaluates segment performance primarily based on net sales and gross profit. All intercompany transactions between the segments have been eliminated.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and for the years ended December 31, 2023, 2022 and 2021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493,612</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180,729</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209,984</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75,698</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285,682</w:t>
            </w:r>
          </w:p>
        </w:tc>
      </w:tr>
      <w:tr>
        <w:trPr>
          <w:trHeight w:val="544"/>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373,622</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54,165</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427,787</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103,361</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156,588</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197,757</w:t>
            </w:r>
          </w:p>
        </w:tc>
      </w:tr>
      <w:tr>
        <w:trPr>
          <w:trHeight w:val="530"/>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379,513</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113,148</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55,511</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880" w:type="dxa"/>
            <w:vAlign w:val="bottom"/>
            <w:tcBorders>
              <w:top w:val="single" w:sz="8" w:color="auto"/>
              <w:bottom w:val="single" w:sz="8" w:color="CFF0FC"/>
            </w:tcBorders>
          </w:tcPr>
          <w:p>
            <w:pPr>
              <w:spacing w:after="0"/>
              <w:rPr>
                <w:sz w:val="2"/>
                <w:szCs w:val="2"/>
                <w:color w:val="auto"/>
              </w:rPr>
            </w:pPr>
          </w:p>
        </w:tc>
        <w:tc>
          <w:tcPr>
            <w:tcW w:w="56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1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tcPr>
          <w:p>
            <w:pPr>
              <w:spacing w:after="0"/>
              <w:rPr>
                <w:sz w:val="21"/>
                <w:szCs w:val="21"/>
                <w:color w:val="auto"/>
              </w:rPr>
            </w:pPr>
          </w:p>
        </w:tc>
        <w:tc>
          <w:tcPr>
            <w:tcW w:w="6480" w:type="dxa"/>
            <w:vAlign w:val="bottom"/>
            <w:tcBorders>
              <w:bottom w:val="single" w:sz="8" w:color="CFF0FC"/>
            </w:tcBorders>
            <w:gridSpan w:val="2"/>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6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8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5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121" w:lineRule="exact"/>
        <w:rPr>
          <w:sz w:val="20"/>
          <w:szCs w:val="20"/>
          <w:color w:val="auto"/>
        </w:rPr>
      </w:pPr>
    </w:p>
    <w:p>
      <w:pPr>
        <w:ind w:right="380" w:firstLine="551"/>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revenues by country, which is presented on the basis of the location that revenue from customers is recorded: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360" w:type="dxa"/>
            <w:vAlign w:val="bottom"/>
          </w:tcPr>
          <w:p>
            <w:pPr>
              <w:spacing w:after="0"/>
              <w:rPr>
                <w:sz w:val="13"/>
                <w:szCs w:val="13"/>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FF0FC"/>
            </w:tcBorders>
          </w:tcPr>
          <w:p>
            <w:pPr>
              <w:spacing w:after="0"/>
              <w:rPr>
                <w:sz w:val="2"/>
                <w:szCs w:val="2"/>
                <w:color w:val="auto"/>
              </w:rPr>
            </w:pPr>
          </w:p>
        </w:tc>
        <w:tc>
          <w:tcPr>
            <w:tcW w:w="1200" w:type="dxa"/>
            <w:vAlign w:val="bottom"/>
            <w:tcBorders>
              <w:top w:val="single" w:sz="8" w:color="auto"/>
              <w:bottom w:val="single" w:sz="8" w:color="CFF0FC"/>
            </w:tcBorders>
          </w:tcPr>
          <w:p>
            <w:pPr>
              <w:spacing w:after="0"/>
              <w:rPr>
                <w:sz w:val="2"/>
                <w:szCs w:val="2"/>
                <w:color w:val="auto"/>
              </w:rPr>
            </w:pPr>
          </w:p>
        </w:tc>
        <w:tc>
          <w:tcPr>
            <w:tcW w:w="1060" w:type="dxa"/>
            <w:vAlign w:val="bottom"/>
            <w:tcBorders>
              <w:top w:val="single" w:sz="8" w:color="auto"/>
              <w:bottom w:val="single" w:sz="8" w:color="CFF0FC"/>
            </w:tcBorders>
          </w:tcPr>
          <w:p>
            <w:pPr>
              <w:spacing w:after="0"/>
              <w:rPr>
                <w:sz w:val="2"/>
                <w:szCs w:val="2"/>
                <w:color w:val="auto"/>
              </w:rPr>
            </w:pPr>
          </w:p>
        </w:tc>
        <w:tc>
          <w:tcPr>
            <w:tcW w:w="4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6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352,731</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323,891</w:t>
            </w:r>
          </w:p>
        </w:tc>
      </w:tr>
      <w:tr>
        <w:trPr>
          <w:trHeight w:val="250"/>
        </w:trPr>
        <w:tc>
          <w:tcPr>
            <w:tcW w:w="20" w:type="dxa"/>
            <w:vAlign w:val="bottom"/>
            <w:tcBorders>
              <w:bottom w:val="single" w:sz="8" w:color="CFF0FC"/>
            </w:tcBorders>
          </w:tcPr>
          <w:p>
            <w:pPr>
              <w:spacing w:after="0"/>
              <w:rPr>
                <w:sz w:val="21"/>
                <w:szCs w:val="21"/>
                <w:color w:val="auto"/>
              </w:rPr>
            </w:pPr>
          </w:p>
        </w:tc>
        <w:tc>
          <w:tcPr>
            <w:tcW w:w="64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All other countries(1)</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91,638</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1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55,622</w:t>
            </w:r>
          </w:p>
        </w:tc>
      </w:tr>
      <w:tr>
        <w:trPr>
          <w:trHeight w:val="270"/>
        </w:trPr>
        <w:tc>
          <w:tcPr>
            <w:tcW w:w="20" w:type="dxa"/>
            <w:vAlign w:val="bottom"/>
            <w:shd w:val="clear" w:color="auto" w:fill="CFF0FC"/>
          </w:tcPr>
          <w:p>
            <w:pPr>
              <w:spacing w:after="0"/>
              <w:rPr>
                <w:sz w:val="23"/>
                <w:szCs w:val="23"/>
                <w:color w:val="auto"/>
              </w:rPr>
            </w:pPr>
          </w:p>
        </w:tc>
        <w:tc>
          <w:tcPr>
            <w:tcW w:w="6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427,787</w:t>
            </w:r>
          </w:p>
        </w:tc>
        <w:tc>
          <w:tcPr>
            <w:tcW w:w="16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379,513</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76" w:lineRule="exact"/>
        <w:rPr>
          <w:sz w:val="20"/>
          <w:szCs w:val="20"/>
          <w:color w:val="auto"/>
        </w:rPr>
      </w:pPr>
    </w:p>
    <w:p>
      <w:pPr>
        <w:ind w:left="560" w:right="2340" w:hanging="552"/>
        <w:spacing w:after="0" w:line="527" w:lineRule="auto"/>
        <w:tabs>
          <w:tab w:leader="none" w:pos="568" w:val="left"/>
        </w:tabs>
        <w:numPr>
          <w:ilvl w:val="0"/>
          <w:numId w:val="28"/>
        </w:numPr>
        <w:rPr>
          <w:rFonts w:ascii="Calibri" w:cs="Calibri" w:eastAsia="Calibri" w:hAnsi="Calibri"/>
          <w:sz w:val="16"/>
          <w:szCs w:val="16"/>
          <w:color w:val="auto"/>
        </w:rPr>
      </w:pPr>
      <w:r>
        <w:rPr>
          <w:rFonts w:ascii="Times New Roman" w:cs="Times New Roman" w:eastAsia="Times New Roman" w:hAnsi="Times New Roman"/>
          <w:sz w:val="18"/>
          <w:szCs w:val="18"/>
          <w:color w:val="auto"/>
        </w:rPr>
        <w:t>No individual country is greater than 10% of total net sales for the years ended December 31, 2023, 2022 and 2021. The following table provides information related to the Company’s property and equipment, net by country: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1220" w:type="dxa"/>
            <w:vAlign w:val="bottom"/>
            <w:tcBorders>
              <w:bottom w:val="single" w:sz="8" w:color="CFF0FC"/>
            </w:tcBorders>
          </w:tcPr>
          <w:p>
            <w:pPr>
              <w:spacing w:after="0"/>
              <w:rPr>
                <w:sz w:val="2"/>
                <w:szCs w:val="2"/>
                <w:color w:val="auto"/>
              </w:rPr>
            </w:pPr>
          </w:p>
        </w:tc>
        <w:tc>
          <w:tcPr>
            <w:tcW w:w="694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Ecuador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50"/>
        </w:trPr>
        <w:tc>
          <w:tcPr>
            <w:tcW w:w="81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5"/>
        </w:trPr>
        <w:tc>
          <w:tcPr>
            <w:tcW w:w="8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r>
      <w:tr>
        <w:trPr>
          <w:trHeight w:val="156"/>
        </w:trPr>
        <w:tc>
          <w:tcPr>
            <w:tcW w:w="1220" w:type="dxa"/>
            <w:vAlign w:val="bottom"/>
            <w:tcBorders>
              <w:bottom w:val="single" w:sz="8" w:color="auto"/>
            </w:tcBorders>
          </w:tcPr>
          <w:p>
            <w:pPr>
              <w:spacing w:after="0"/>
              <w:rPr>
                <w:sz w:val="13"/>
                <w:szCs w:val="13"/>
                <w:color w:val="auto"/>
              </w:rPr>
            </w:pPr>
          </w:p>
        </w:tc>
        <w:tc>
          <w:tcPr>
            <w:tcW w:w="6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76" w:lineRule="exact"/>
        <w:rPr>
          <w:sz w:val="20"/>
          <w:szCs w:val="20"/>
          <w:color w:val="auto"/>
        </w:rPr>
      </w:pPr>
    </w:p>
    <w:p>
      <w:pPr>
        <w:ind w:left="560" w:hanging="552"/>
        <w:spacing w:after="0"/>
        <w:tabs>
          <w:tab w:leader="none" w:pos="560" w:val="left"/>
        </w:tabs>
        <w:numPr>
          <w:ilvl w:val="0"/>
          <w:numId w:val="29"/>
        </w:numPr>
        <w:rPr>
          <w:rFonts w:ascii="Calibri" w:cs="Calibri" w:eastAsia="Calibri" w:hAnsi="Calibri"/>
          <w:sz w:val="16"/>
          <w:szCs w:val="16"/>
          <w:color w:val="auto"/>
        </w:rPr>
      </w:pPr>
      <w:r>
        <w:rPr>
          <w:rFonts w:ascii="Times New Roman" w:cs="Times New Roman" w:eastAsia="Times New Roman" w:hAnsi="Times New Roman"/>
          <w:sz w:val="18"/>
          <w:szCs w:val="18"/>
          <w:color w:val="auto"/>
        </w:rPr>
        <w:t>No individual country is greater than 10% of total property and equipment, net as of December 31, 2023 and 2022.</w:t>
      </w:r>
    </w:p>
    <w:p>
      <w:pPr>
        <w:spacing w:after="0" w:line="200" w:lineRule="exact"/>
        <w:rPr>
          <w:rFonts w:ascii="Calibri" w:cs="Calibri" w:eastAsia="Calibri" w:hAnsi="Calibri"/>
          <w:sz w:val="16"/>
          <w:szCs w:val="16"/>
          <w:color w:val="auto"/>
        </w:rPr>
      </w:pPr>
    </w:p>
    <w:p>
      <w:pPr>
        <w:spacing w:after="0" w:line="200" w:lineRule="exact"/>
        <w:rPr>
          <w:rFonts w:ascii="Calibri" w:cs="Calibri" w:eastAsia="Calibri" w:hAnsi="Calibri"/>
          <w:sz w:val="16"/>
          <w:szCs w:val="16"/>
          <w:color w:val="auto"/>
        </w:rPr>
      </w:pPr>
    </w:p>
    <w:p>
      <w:pPr>
        <w:spacing w:after="0" w:line="239" w:lineRule="exact"/>
        <w:rPr>
          <w:rFonts w:ascii="Calibri" w:cs="Calibri" w:eastAsia="Calibri" w:hAnsi="Calibri"/>
          <w:sz w:val="16"/>
          <w:szCs w:val="16"/>
          <w:color w:val="auto"/>
        </w:rPr>
      </w:pPr>
    </w:p>
    <w:p>
      <w:pPr>
        <w:ind w:left="5540"/>
        <w:spacing w:after="0"/>
        <w:rPr>
          <w:rFonts w:ascii="Calibri" w:cs="Calibri" w:eastAsia="Calibri" w:hAnsi="Calibri"/>
          <w:sz w:val="16"/>
          <w:szCs w:val="16"/>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Related-Party Transactions</w:t>
      </w:r>
    </w:p>
    <w:p>
      <w:pPr>
        <w:spacing w:after="0" w:line="106" w:lineRule="exact"/>
        <w:rPr>
          <w:sz w:val="20"/>
          <w:szCs w:val="20"/>
          <w:color w:val="auto"/>
        </w:rPr>
      </w:pPr>
    </w:p>
    <w:p>
      <w:pPr>
        <w:ind w:firstLine="551"/>
        <w:spacing w:after="0" w:line="251"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—The Company is subject to an arrangement with one of its stockholders for as long as such stockholder holds at least 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capital stock. Pursuant to the terms of the amended arrangement, the Company was required to make fixed annual management fee payments of $281. On October 20, 2021, in connection with the IPO discussed in Note 1, the Stockholder’s Agreement was revised and the new Investor Rights Agreement does not include a management fee to this stockholder. For the year ended December 31, 2021, the Company had amounts due in accounts payable of $227 for the portion of the year prior to the execution of the new Investor Rights Agreement.</w:t>
      </w:r>
    </w:p>
    <w:p>
      <w:pPr>
        <w:spacing w:after="0" w:line="6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Agreements </w:t>
      </w:r>
      <w:r>
        <w:rPr>
          <w:rFonts w:ascii="Times New Roman" w:cs="Times New Roman" w:eastAsia="Times New Roman" w:hAnsi="Times New Roman"/>
          <w:sz w:val="18"/>
          <w:szCs w:val="18"/>
          <w:color w:val="auto"/>
        </w:rPr>
        <w:t>- On May 24, 2022, two members of the board of directors appointed as nominees under the Investor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Verlinvest Beverages SA, a stockholder of the Company, entered into nominee agreements instructing the Company to pay all cash and equity compensation earned in connection with their board of director services to Verlinvest Beverages SA. Based on the aforementioned nominee agreements, RSUs granted to these two directors will be held by them as nominees for Verlinvest Beverages SA and, upon vesting of the RSUs, the shares will be transferred to Verlinvest Beverages SA. The nominee agreements are primarily between the directors and Verlinvest Beverages SA. The Company is a party to this arrangement solely to agree to the manner in which it would satisfy the compensation obligations to these directors. As of December 31, 2023, there is only one active member of the board of directors that is subject to this nominee agreement.</w:t>
      </w:r>
    </w:p>
    <w:p>
      <w:pPr>
        <w:spacing w:after="0" w:line="61"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Beverages 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("Verlinvest") and certain 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May 2023, Verlinvest agreed to waive its right to reimbursement of legal fees for its counsel, and those expenses, in the amount of $140, were not reimbursed by the Company.</w:t>
      </w:r>
    </w:p>
    <w:p>
      <w:pPr>
        <w:spacing w:after="0" w:line="89" w:lineRule="exact"/>
        <w:rPr>
          <w:sz w:val="20"/>
          <w:szCs w:val="20"/>
          <w:color w:val="auto"/>
        </w:rPr>
      </w:pPr>
    </w:p>
    <w:p>
      <w:pPr>
        <w:ind w:right="60" w:firstLine="551"/>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Distribution Agreement with Shareholder </w:t>
      </w:r>
      <w:r>
        <w:rPr>
          <w:rFonts w:ascii="Times New Roman" w:cs="Times New Roman" w:eastAsia="Times New Roman" w:hAnsi="Times New Roman"/>
          <w:sz w:val="18"/>
          <w:szCs w:val="18"/>
          <w:color w:val="auto"/>
        </w:rPr>
        <w:t>– On October 1, 2019 the Company entered into a distribution agreement with one of its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extended through December 31, 2022 and has been continued upon the mutual agreement of each party. The distribution agreement grants the stockholder the right to sell, resell and distribute designated products supplied by the Company within a specified territory. During the year ended December 31, 2023, the stockholder's ownership in the Company became less than 5%. The amount of revenue recognized related to this distribution agreement was $4,048, $6,375, and $6,247 for the years ended December 31, 2023, 2022 and 2021, respectively. The amounts due from the stockholder in Accounts Receivable, net were $244 and $753 as of December 31, 2023 and 2022 respectively. Amounts payable to the stockholder in Accounts payable were $0 and $38 as of December 31, 2023 and 2022 respectively. Related to this distribution arrangement, the Company and the stockholder have a service agreement where the Company shares in the compensation costs of the stockholder’s employee managing the China market. The Company recorded $151, $234 and $215 for the years ended December 31, 2023, 2022 and 2021, respectively, in selling, general, and administrative expenses for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Asset held for sale</w:t>
      </w:r>
    </w:p>
    <w:p>
      <w:pPr>
        <w:spacing w:after="0" w:line="30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asset group held for sale consists of a farm in Ecuador which was the source of Guayusa leaves for our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products. Since the Company is able to source Guayusa through alternative means to produce the Runa products,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SG&amp;A during the third quarter of 2022. The remaining carrying amount as of December 31, 2023 and December 31, 2022 is listed below. These assets held for sale did not qualify for discontinued operations reporting. As of September 30, 2023, since the asset has been held for sale beyond one year, the Company has reclassified it as held and used within property, plant and equipment and remeasured it at its fair value of $140, which resulted in an additional $363 impairment loss.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762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held for sale - land</w:t>
            </w:r>
          </w:p>
        </w:tc>
        <w:tc>
          <w:tcPr>
            <w:tcW w:w="1420" w:type="dxa"/>
            <w:vAlign w:val="bottom"/>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503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0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space and machinery and equipment. Leases with an initial term of 12 months or less are not recognized on the Consolidated Balance Sheets.</w:t>
      </w:r>
    </w:p>
    <w:p>
      <w:pPr>
        <w:spacing w:after="0" w:line="5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In January 2016, the Company entered into an operating lease for office space in New York, New York, which was set to expire in January 2023. In June 2022, the Company extended its lease agreement for the New York office to April 30, 2025 and remeasured the lease liability and right-of-use asset as of June 30, 2022. The Company pays for its proportionate share of building operating costs such as maintenance, utilities, and insurance that are treated as variable costs and excluded from the measurement of the lease.</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maintains additional leases for office space and equipment in London and Singapore, which are operating leases. On March 31, 2022, the Company renewed the lease for the Singapore office, extending it through June 30, 2025, which is reflected in the lease term.</w:t>
      </w:r>
    </w:p>
    <w:p>
      <w:pPr>
        <w:spacing w:after="0" w:line="16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did not have any additional operating leases that have not yet commenced with future undiscounted lease payments.</w:t>
      </w:r>
    </w:p>
    <w:p>
      <w:pPr>
        <w:spacing w:after="0" w:line="16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cost, which are included within operating expenses in the accompanying consolidated statements of operations, are summarized in the following table (in thousands). Any variable lease costs are immaterial.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
        </w:trPr>
        <w:tc>
          <w:tcPr>
            <w:tcW w:w="5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60" w:type="dxa"/>
            <w:vAlign w:val="bottom"/>
            <w:vMerge w:val="continue"/>
          </w:tcPr>
          <w:p>
            <w:pPr>
              <w:spacing w:after="0"/>
              <w:rPr>
                <w:sz w:val="22"/>
                <w:szCs w:val="22"/>
                <w:color w:val="auto"/>
              </w:rPr>
            </w:pP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Right-of-use assets</w:t>
            </w:r>
          </w:p>
        </w:tc>
        <w:tc>
          <w:tcPr>
            <w:tcW w:w="9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9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8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9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60" w:firstLine="486"/>
        <w:spacing w:after="0" w:line="250" w:lineRule="auto"/>
        <w:rPr>
          <w:sz w:val="20"/>
          <w:szCs w:val="20"/>
          <w:color w:val="auto"/>
        </w:rPr>
      </w:pPr>
      <w:r>
        <w:rPr>
          <w:rFonts w:ascii="Times New Roman" w:cs="Times New Roman" w:eastAsia="Times New Roman" w:hAnsi="Times New Roman"/>
          <w:sz w:val="18"/>
          <w:szCs w:val="18"/>
          <w:color w:val="auto"/>
        </w:rPr>
        <w:t>The following summarizes the weighted average remaining lease term and weighted average discount rate related to the Company’s right-of-use assets and lease liabilities recorded on the balance sheet as of December 31, 2023 :</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805"/>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for the Company’s operating leases: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maturity of the Company’s operating lease liabilities as of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Maturity of Lease Payments</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5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34"/>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50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5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8"/>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5020" w:type="dxa"/>
            <w:vAlign w:val="bottom"/>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50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378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5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30, 2023, the Company's Board of Directors approved a share repurchase program authorizing the Company to repurchase up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 of Common Stock. As of December 31, 2023, the Company repurchased 30,000 shares at a cost of $773 under this program as discussed in Note</w:t>
      </w:r>
    </w:p>
    <w:p>
      <w:pPr>
        <w:spacing w:after="0" w:line="23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During January 2024, the Company acquired an additional 391,544 shares at a aggregate cost of $9,235, with an average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$23.59.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procedures must reflect the fact that there are resource constraints and that management is required to apply judgment in evaluating the benefits of possible controls and procedures relative to their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concluded that, as of December 31, 2023,</w:t>
      </w:r>
    </w:p>
    <w:p>
      <w:pPr>
        <w:spacing w:after="0"/>
        <w:rPr>
          <w:sz w:val="20"/>
          <w:szCs w:val="20"/>
          <w:color w:val="auto"/>
        </w:rPr>
      </w:pPr>
      <w:r>
        <w:rPr>
          <w:rFonts w:ascii="Times New Roman" w:cs="Times New Roman" w:eastAsia="Times New Roman" w:hAnsi="Times New Roman"/>
          <w:sz w:val="18"/>
          <w:szCs w:val="18"/>
          <w:color w:val="auto"/>
        </w:rPr>
        <w:t>our disclosure controls and procedures were effective at the reasonable assurance level.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218"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2023. The Company's internal control over financial reporting as of December 31, 2023 has been audited by Deloitte &amp; Touche LLP as stated in their report which appears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during the quarter ended December 31, 2023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Exchange Act) adopted or terminated a “Rule 10b5-1 trading arrangement” or a “non-Rule 10b5-1 trading arrangement,” as each term is defined in Item 408 of Regulation S-K, during the fiscal quarter ended December 31, 2023.</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such required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such information is incorporated herein by reference.</w:t>
      </w:r>
    </w:p>
    <w:p>
      <w:pPr>
        <w:spacing w:after="0" w:line="200" w:lineRule="exact"/>
        <w:rPr>
          <w:sz w:val="20"/>
          <w:szCs w:val="20"/>
          <w:color w:val="auto"/>
        </w:rPr>
      </w:pPr>
    </w:p>
    <w:p>
      <w:pPr>
        <w:spacing w:after="0" w:line="3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listing of the consolidated financial statements included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Separate financial schedules have been omitted because such information is inapplicable or is included in the financial statements or notes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23"/>
        </w:trPr>
        <w:tc>
          <w:tcPr>
            <w:tcW w:w="102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8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 Herewith</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Second Amended and Restated Certificate of</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001-40950</w:t>
            </w:r>
          </w:p>
        </w:tc>
        <w:tc>
          <w:tcPr>
            <w:tcW w:w="100" w:type="dxa"/>
            <w:vAlign w:val="bottom"/>
          </w:tcPr>
          <w:p>
            <w:pPr>
              <w:spacing w:after="0"/>
              <w:rPr>
                <w:sz w:val="24"/>
                <w:szCs w:val="24"/>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99"/>
              </w:rPr>
              <w:t>10/25/21</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gridSpan w:val="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Incorporation of The Vita Coco Company, Inc.</w:t>
              </w:r>
            </w:hyperlink>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100" w:type="dxa"/>
            <w:vAlign w:val="bottom"/>
            <w:gridSpan w:val="2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Bylaws of The Vita Coco</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10/25/21</w:t>
            </w:r>
          </w:p>
        </w:tc>
      </w:tr>
      <w:tr>
        <w:trPr>
          <w:trHeight w:val="156"/>
        </w:trPr>
        <w:tc>
          <w:tcPr>
            <w:tcW w:w="10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Company, Inc.</w:t>
              </w:r>
            </w:hyperlink>
          </w:p>
        </w:tc>
        <w:tc>
          <w:tcPr>
            <w:tcW w:w="24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3"/>
        </w:trPr>
        <w:tc>
          <w:tcPr>
            <w:tcW w:w="4100" w:type="dxa"/>
            <w:vAlign w:val="bottom"/>
            <w:gridSpan w:val="2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Specimen Common Stock Certificate of The Vita Coco</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r>
      <w:tr>
        <w:trPr>
          <w:trHeight w:val="155"/>
        </w:trPr>
        <w:tc>
          <w:tcPr>
            <w:tcW w:w="1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Company, Inc.</w:t>
              </w:r>
            </w:hyperlink>
          </w:p>
        </w:tc>
        <w:tc>
          <w:tcPr>
            <w:tcW w:w="29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7"/>
        </w:trPr>
        <w:tc>
          <w:tcPr>
            <w:tcW w:w="21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Description of Capital Stock.</w:t>
              </w:r>
            </w:hyperlink>
          </w:p>
        </w:tc>
        <w:tc>
          <w:tcPr>
            <w:tcW w:w="2000" w:type="dxa"/>
            <w:vAlign w:val="bottom"/>
            <w:gridSpan w:val="18"/>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3/14/23</w:t>
            </w:r>
          </w:p>
        </w:tc>
      </w:tr>
      <w:tr>
        <w:trPr>
          <w:trHeight w:val="223"/>
        </w:trPr>
        <w:tc>
          <w:tcPr>
            <w:tcW w:w="4100" w:type="dxa"/>
            <w:vAlign w:val="bottom"/>
            <w:gridSpan w:val="2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Registration Rights Agreement, by and among The Vita</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10/25/21</w:t>
            </w:r>
          </w:p>
        </w:tc>
      </w:tr>
      <w:tr>
        <w:trPr>
          <w:trHeight w:val="155"/>
        </w:trPr>
        <w:tc>
          <w:tcPr>
            <w:tcW w:w="402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Coco Company, Inc. and certain security holders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4040" w:type="dxa"/>
            <w:vAlign w:val="bottom"/>
            <w:tcBorders>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Vita Coco Company, Inc., dated as of October 20, 2021.</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3"/>
        </w:trPr>
        <w:tc>
          <w:tcPr>
            <w:tcW w:w="4100" w:type="dxa"/>
            <w:vAlign w:val="bottom"/>
            <w:gridSpan w:val="2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Investor Rights Agreement, among The Vita Coco</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10/25/21</w:t>
            </w:r>
          </w:p>
        </w:tc>
      </w:tr>
      <w:tr>
        <w:trPr>
          <w:trHeight w:val="156"/>
        </w:trPr>
        <w:tc>
          <w:tcPr>
            <w:tcW w:w="36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Company, Inc., Verlinvest Beverages SA, Michael</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5"/>
        </w:trPr>
        <w:tc>
          <w:tcPr>
            <w:tcW w:w="36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Kirban and Ira Liran, dated as of October 20, 2021.</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3"/>
        </w:trPr>
        <w:tc>
          <w:tcPr>
            <w:tcW w:w="13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 xml:space="preserve">Form </w:t>
            </w:r>
            <w:hyperlink r:id="rId163">
              <w:r>
                <w:rPr>
                  <w:rFonts w:ascii="Times New Roman" w:cs="Times New Roman" w:eastAsia="Times New Roman" w:hAnsi="Times New Roman"/>
                  <w:sz w:val="18"/>
                  <w:szCs w:val="18"/>
                  <w:color w:val="0000FF"/>
                  <w:w w:val="98"/>
                </w:rPr>
                <w:t>of Indenture</w:t>
              </w:r>
            </w:hyperlink>
          </w:p>
        </w:tc>
        <w:tc>
          <w:tcPr>
            <w:tcW w:w="2780" w:type="dxa"/>
            <w:vAlign w:val="bottom"/>
            <w:gridSpan w:val="21"/>
          </w:tcPr>
          <w:p>
            <w:pPr>
              <w:spacing w:after="0"/>
              <w:rPr>
                <w:sz w:val="19"/>
                <w:szCs w:val="19"/>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333-271583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5/2/23</w:t>
            </w:r>
          </w:p>
        </w:tc>
      </w:tr>
      <w:tr>
        <w:trPr>
          <w:trHeight w:val="237"/>
        </w:trPr>
        <w:tc>
          <w:tcPr>
            <w:tcW w:w="4100" w:type="dxa"/>
            <w:vAlign w:val="bottom"/>
            <w:gridSpan w:val="2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to Credit Agreement, by and between All</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r>
      <w:tr>
        <w:trPr>
          <w:trHeight w:val="155"/>
        </w:trPr>
        <w:tc>
          <w:tcPr>
            <w:tcW w:w="39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Market Inc., the Guarantors, and Wells Fargo Bank,</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37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National Association, dated as of January 11, 2021.</w:t>
              </w:r>
            </w:hyperlink>
          </w:p>
        </w:tc>
        <w:tc>
          <w:tcPr>
            <w:tcW w:w="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3"/>
        </w:trPr>
        <w:tc>
          <w:tcPr>
            <w:tcW w:w="4100" w:type="dxa"/>
            <w:vAlign w:val="bottom"/>
            <w:gridSpan w:val="2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Second Amendment to Credit Agreement, by and</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r>
      <w:tr>
        <w:trPr>
          <w:trHeight w:val="20"/>
        </w:trPr>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4100" w:type="dxa"/>
            <w:vAlign w:val="bottom"/>
            <w:gridSpan w:val="26"/>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between All Market Inc., the Guarantors, and Wells</w:t>
              </w:r>
            </w:hyperlink>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5"/>
        </w:trPr>
        <w:tc>
          <w:tcPr>
            <w:tcW w:w="37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Fargo Bank, National Association, dated as of May</w:t>
              </w:r>
            </w:hyperlink>
          </w:p>
        </w:tc>
        <w:tc>
          <w:tcPr>
            <w:tcW w:w="260" w:type="dxa"/>
            <w:vAlign w:val="bottom"/>
            <w:gridSpan w:val="6"/>
          </w:tcPr>
          <w:p>
            <w:pPr>
              <w:jc w:val="right"/>
              <w:ind w:right="20"/>
              <w:spacing w:after="0" w:line="15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21,</w:t>
              </w:r>
            </w:hyperlink>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3"/>
              </w:rPr>
            </w:pPr>
            <w:hyperlink r:id="rId165">
              <w:r>
                <w:rPr>
                  <w:rFonts w:ascii="Times New Roman" w:cs="Times New Roman" w:eastAsia="Times New Roman" w:hAnsi="Times New Roman"/>
                  <w:sz w:val="18"/>
                  <w:szCs w:val="18"/>
                  <w:color w:val="0000FF"/>
                  <w:w w:val="93"/>
                </w:rPr>
                <w:t>2021.</w:t>
              </w:r>
            </w:hyperlink>
          </w:p>
        </w:tc>
        <w:tc>
          <w:tcPr>
            <w:tcW w:w="4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9"/>
        </w:trPr>
        <w:tc>
          <w:tcPr>
            <w:tcW w:w="34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Third Amendment to Credit Agreement, by and</w:t>
              </w:r>
            </w:hyperlink>
          </w:p>
        </w:tc>
        <w:tc>
          <w:tcPr>
            <w:tcW w:w="660" w:type="dxa"/>
            <w:vAlign w:val="bottom"/>
            <w:gridSpan w:val="17"/>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001-10950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r>
      <w:tr>
        <w:trPr>
          <w:trHeight w:val="156"/>
        </w:trPr>
        <w:tc>
          <w:tcPr>
            <w:tcW w:w="4100" w:type="dxa"/>
            <w:vAlign w:val="bottom"/>
            <w:gridSpan w:val="26"/>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between The Vita Coco Company, Inc., the Guarantors,</w:t>
              </w:r>
            </w:hyperlink>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39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and Wells Fargo Bank, National Association, dated as</w:t>
              </w:r>
            </w:hyperlink>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38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of November 2, 2021</w:t>
              </w:r>
              <w:r>
                <w:rPr>
                  <w:rFonts w:ascii="Times New Roman" w:cs="Times New Roman" w:eastAsia="Times New Roman" w:hAnsi="Times New Roman"/>
                  <w:sz w:val="18"/>
                  <w:szCs w:val="18"/>
                  <w:color w:val="000000"/>
                </w:rPr>
                <w:t>.</w:t>
              </w:r>
            </w:hyperlink>
          </w:p>
        </w:tc>
        <w:tc>
          <w:tcPr>
            <w:tcW w:w="220" w:type="dxa"/>
            <w:vAlign w:val="bottom"/>
            <w:gridSpan w:val="7"/>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3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Fourth Amendment to the Credit Agreement, by and</w:t>
              </w:r>
            </w:hyperlink>
          </w:p>
        </w:tc>
        <w:tc>
          <w:tcPr>
            <w:tcW w:w="320" w:type="dxa"/>
            <w:vAlign w:val="bottom"/>
            <w:gridSpan w:val="8"/>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3/14/23</w:t>
            </w:r>
          </w:p>
        </w:tc>
      </w:tr>
      <w:tr>
        <w:trPr>
          <w:trHeight w:val="155"/>
        </w:trPr>
        <w:tc>
          <w:tcPr>
            <w:tcW w:w="4100" w:type="dxa"/>
            <w:vAlign w:val="bottom"/>
            <w:gridSpan w:val="2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between The Vita Coco Company, Inc., the Guarantors,</w:t>
              </w:r>
            </w:hyperlink>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39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and Wells Fargo Bank, National Association, dated as</w:t>
              </w:r>
            </w:hyperlink>
          </w:p>
        </w:tc>
        <w:tc>
          <w:tcPr>
            <w:tcW w:w="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38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of December 5, 2022.</w:t>
              </w:r>
            </w:hyperlink>
          </w:p>
        </w:tc>
        <w:tc>
          <w:tcPr>
            <w:tcW w:w="220" w:type="dxa"/>
            <w:vAlign w:val="bottom"/>
            <w:gridSpan w:val="7"/>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820" w:type="dxa"/>
            <w:vAlign w:val="bottom"/>
            <w:gridSpan w:val="2"/>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4100" w:type="dxa"/>
            <w:vAlign w:val="bottom"/>
            <w:gridSpan w:val="2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All Market Inc. 2014 Stock Option And Restricted</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10/12/21</w:t>
            </w:r>
          </w:p>
        </w:tc>
      </w:tr>
      <w:tr>
        <w:trPr>
          <w:trHeight w:val="155"/>
        </w:trPr>
        <w:tc>
          <w:tcPr>
            <w:tcW w:w="8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Stock Plan.</w:t>
              </w:r>
            </w:hyperlink>
          </w:p>
        </w:tc>
        <w:tc>
          <w:tcPr>
            <w:tcW w:w="2840" w:type="dxa"/>
            <w:vAlign w:val="bottom"/>
            <w:tcBorders>
              <w:top w:val="single" w:sz="8" w:color="0000FF"/>
            </w:tcBorders>
            <w:gridSpan w:val="12"/>
          </w:tcPr>
          <w:p>
            <w:pPr>
              <w:spacing w:after="0"/>
              <w:rPr>
                <w:sz w:val="13"/>
                <w:szCs w:val="13"/>
                <w:color w:val="auto"/>
              </w:rPr>
            </w:pPr>
          </w:p>
        </w:tc>
        <w:tc>
          <w:tcPr>
            <w:tcW w:w="440" w:type="dxa"/>
            <w:vAlign w:val="bottom"/>
            <w:gridSpan w:val="12"/>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23" w:lineRule="exact"/>
        <w:rPr>
          <w:sz w:val="20"/>
          <w:szCs w:val="20"/>
          <w:color w:val="auto"/>
        </w:rPr>
      </w:pPr>
    </w:p>
    <w:p>
      <w:pPr>
        <w:sectPr>
          <w:pgSz w:w="11900" w:h="16838" w:orient="portrait"/>
          <w:cols w:equalWidth="0" w:num="2">
            <w:col w:w="440" w:space="600"/>
            <w:col w:w="10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040" w:type="dxa"/>
            <w:vAlign w:val="bottom"/>
            <w:gridSpan w:val="1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Vita Coco Company, Inc. 2021 Incentive Award</w:t>
              </w:r>
            </w:hyperlink>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r>
      <w:tr>
        <w:trPr>
          <w:trHeight w:val="155"/>
        </w:trPr>
        <w:tc>
          <w:tcPr>
            <w:tcW w:w="1040" w:type="dxa"/>
            <w:vAlign w:val="bottom"/>
          </w:tcPr>
          <w:p>
            <w:pPr>
              <w:spacing w:after="0"/>
              <w:rPr>
                <w:sz w:val="13"/>
                <w:szCs w:val="13"/>
                <w:color w:val="auto"/>
              </w:rPr>
            </w:pPr>
          </w:p>
        </w:tc>
        <w:tc>
          <w:tcPr>
            <w:tcW w:w="38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Plan</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7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The Vita Coco Company, Inc. 2021 Employee Stock</w:t>
              </w:r>
            </w:hyperlink>
          </w:p>
        </w:tc>
        <w:tc>
          <w:tcPr>
            <w:tcW w:w="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10/12/21</w:t>
            </w:r>
          </w:p>
        </w:tc>
      </w:tr>
      <w:tr>
        <w:trPr>
          <w:trHeight w:val="156"/>
        </w:trPr>
        <w:tc>
          <w:tcPr>
            <w:tcW w:w="1040" w:type="dxa"/>
            <w:vAlign w:val="bottom"/>
          </w:tcPr>
          <w:p>
            <w:pPr>
              <w:spacing w:after="0"/>
              <w:rPr>
                <w:sz w:val="13"/>
                <w:szCs w:val="13"/>
                <w:color w:val="auto"/>
              </w:rPr>
            </w:pPr>
          </w:p>
        </w:tc>
        <w:tc>
          <w:tcPr>
            <w:tcW w:w="3780" w:type="dxa"/>
            <w:vAlign w:val="bottom"/>
            <w:gridSpan w:val="9"/>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Purchase Plan</w:t>
              </w:r>
              <w:r>
                <w:rPr>
                  <w:rFonts w:ascii="Times New Roman" w:cs="Times New Roman" w:eastAsia="Times New Roman" w:hAnsi="Times New Roman"/>
                  <w:sz w:val="18"/>
                  <w:szCs w:val="18"/>
                  <w:color w:val="000000"/>
                </w:rPr>
                <w:t>.</w:t>
              </w:r>
            </w:hyperlink>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040" w:type="dxa"/>
            <w:vAlign w:val="bottom"/>
            <w:gridSpan w:val="1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Stock Option Grant Notice</w:t>
              </w:r>
            </w:hyperlink>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r>
      <w:tr>
        <w:trPr>
          <w:trHeight w:val="20"/>
        </w:trPr>
        <w:tc>
          <w:tcPr>
            <w:tcW w:w="104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8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Restricted Stock Grant Notice</w:t>
              </w:r>
            </w:hyperlink>
          </w:p>
        </w:tc>
        <w:tc>
          <w:tcPr>
            <w:tcW w:w="1240" w:type="dxa"/>
            <w:vAlign w:val="bottom"/>
            <w:gridSpan w:val="6"/>
          </w:tcPr>
          <w:p>
            <w:pPr>
              <w:spacing w:after="0"/>
              <w:rPr>
                <w:sz w:val="18"/>
                <w:szCs w:val="18"/>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7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Amended and Restated Employment Agreement, by</w:t>
              </w:r>
            </w:hyperlink>
          </w:p>
        </w:tc>
        <w:tc>
          <w:tcPr>
            <w:tcW w:w="280" w:type="dxa"/>
            <w:vAlign w:val="bottom"/>
            <w:gridSpan w:val="4"/>
          </w:tcPr>
          <w:p>
            <w:pPr>
              <w:spacing w:after="0"/>
              <w:rPr>
                <w:sz w:val="18"/>
                <w:szCs w:val="18"/>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11/17/21</w:t>
            </w:r>
          </w:p>
        </w:tc>
      </w:tr>
      <w:tr>
        <w:trPr>
          <w:trHeight w:val="155"/>
        </w:trPr>
        <w:tc>
          <w:tcPr>
            <w:tcW w:w="1040" w:type="dxa"/>
            <w:vAlign w:val="bottom"/>
          </w:tcPr>
          <w:p>
            <w:pPr>
              <w:spacing w:after="0"/>
              <w:rPr>
                <w:sz w:val="13"/>
                <w:szCs w:val="13"/>
                <w:color w:val="auto"/>
              </w:rPr>
            </w:pPr>
          </w:p>
        </w:tc>
        <w:tc>
          <w:tcPr>
            <w:tcW w:w="404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and between The Vita Coco Company, Inc. and Michael</w:t>
              </w:r>
            </w:hyperlink>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4040" w:type="dxa"/>
            <w:vAlign w:val="bottom"/>
            <w:gridSpan w:val="12"/>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Kirban, dated October 20, 2021.</w:t>
              </w:r>
            </w:hyperlink>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040" w:type="dxa"/>
            <w:vAlign w:val="bottom"/>
            <w:gridSpan w:val="12"/>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First Amendment to Employment Agreement, by and</w:t>
              </w:r>
            </w:hyperlink>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11/10/22</w:t>
            </w:r>
          </w:p>
        </w:tc>
      </w:tr>
      <w:tr>
        <w:trPr>
          <w:trHeight w:val="155"/>
        </w:trPr>
        <w:tc>
          <w:tcPr>
            <w:tcW w:w="1040" w:type="dxa"/>
            <w:vAlign w:val="bottom"/>
          </w:tcPr>
          <w:p>
            <w:pPr>
              <w:spacing w:after="0"/>
              <w:rPr>
                <w:sz w:val="13"/>
                <w:szCs w:val="13"/>
                <w:color w:val="auto"/>
              </w:rPr>
            </w:pPr>
          </w:p>
        </w:tc>
        <w:tc>
          <w:tcPr>
            <w:tcW w:w="38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between The Vita Coco Company, Inc. and Michael</w:t>
              </w:r>
            </w:hyperlink>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7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Kirban, effective as of May 2, 2022.</w:t>
              </w:r>
            </w:hyperlink>
          </w:p>
        </w:tc>
        <w:tc>
          <w:tcPr>
            <w:tcW w:w="32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952"/>
        </w:trPr>
        <w:tc>
          <w:tcPr>
            <w:tcW w:w="10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8"/>
        </w:trPr>
        <w:tc>
          <w:tcPr>
            <w:tcW w:w="1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Table of Contents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r>
        <w:rPr>
          <w:rFonts w:ascii="Times New Roman" w:cs="Times New Roman" w:eastAsia="Times New Roman" w:hAnsi="Times New Roman"/>
          <w:sz w:val="21"/>
          <w:szCs w:val="21"/>
          <w:color w:val="auto"/>
        </w:rPr>
        <w:t>+†</w:t>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24"/>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Employment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11/17/21</w:t>
            </w:r>
          </w:p>
        </w:tc>
        <w:tc>
          <w:tcPr>
            <w:tcW w:w="0" w:type="dxa"/>
            <w:vAlign w:val="bottom"/>
          </w:tcPr>
          <w:p>
            <w:pPr>
              <w:spacing w:after="0"/>
              <w:rPr>
                <w:sz w:val="1"/>
                <w:szCs w:val="1"/>
                <w:color w:val="auto"/>
              </w:rPr>
            </w:pPr>
          </w:p>
        </w:tc>
      </w:tr>
      <w:tr>
        <w:trPr>
          <w:trHeight w:val="156"/>
        </w:trPr>
        <w:tc>
          <w:tcPr>
            <w:tcW w:w="4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between The Vita Coco Company, Inc. and Martin</w:t>
              </w:r>
            </w:hyperlink>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Roper, dated October 20, 2021.</w:t>
              </w:r>
            </w:hyperlink>
          </w:p>
        </w:tc>
        <w:tc>
          <w:tcPr>
            <w:tcW w:w="13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gridSpan w:val="2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 Vita Coco Company, Inc. Non-Employee Director</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10/12/21</w:t>
            </w:r>
          </w:p>
        </w:tc>
        <w:tc>
          <w:tcPr>
            <w:tcW w:w="0" w:type="dxa"/>
            <w:vAlign w:val="bottom"/>
          </w:tcPr>
          <w:p>
            <w:pPr>
              <w:spacing w:after="0"/>
              <w:rPr>
                <w:sz w:val="1"/>
                <w:szCs w:val="1"/>
                <w:color w:val="auto"/>
              </w:rPr>
            </w:pPr>
          </w:p>
        </w:tc>
      </w:tr>
      <w:tr>
        <w:trPr>
          <w:trHeight w:val="156"/>
        </w:trPr>
        <w:tc>
          <w:tcPr>
            <w:tcW w:w="15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Compensation Policy.</w:t>
              </w:r>
            </w:hyperlink>
          </w:p>
        </w:tc>
        <w:tc>
          <w:tcPr>
            <w:tcW w:w="23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gridSpan w:val="24"/>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Indemnification Agreement.</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10/12/21</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Employment Agreement, by and between All Market</w:t>
              </w:r>
            </w:hyperlink>
          </w:p>
        </w:tc>
        <w:tc>
          <w:tcPr>
            <w:tcW w:w="260" w:type="dxa"/>
            <w:vAlign w:val="bottom"/>
            <w:gridSpan w:val="6"/>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4120" w:type="dxa"/>
            <w:vAlign w:val="bottom"/>
            <w:gridSpan w:val="24"/>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 and Jonathan Burth, dated as of February 10, 2020.</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Employment Agreement, by and between All Market</w:t>
              </w:r>
            </w:hyperlink>
          </w:p>
        </w:tc>
        <w:tc>
          <w:tcPr>
            <w:tcW w:w="120" w:type="dxa"/>
            <w:vAlign w:val="bottom"/>
            <w:gridSpan w:val="3"/>
          </w:tcPr>
          <w:p>
            <w:pPr>
              <w:spacing w:after="0"/>
              <w:rPr>
                <w:sz w:val="19"/>
                <w:szCs w:val="19"/>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3/14/23</w:t>
            </w:r>
          </w:p>
        </w:tc>
        <w:tc>
          <w:tcPr>
            <w:tcW w:w="0" w:type="dxa"/>
            <w:vAlign w:val="bottom"/>
          </w:tcPr>
          <w:p>
            <w:pPr>
              <w:spacing w:after="0"/>
              <w:rPr>
                <w:sz w:val="1"/>
                <w:szCs w:val="1"/>
                <w:color w:val="auto"/>
              </w:rPr>
            </w:pPr>
          </w:p>
        </w:tc>
      </w:tr>
      <w:tr>
        <w:trPr>
          <w:trHeight w:val="155"/>
        </w:trPr>
        <w:tc>
          <w:tcPr>
            <w:tcW w:w="37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Inc. and Rowena Ricalde, dated as of June 1, 2021.</w:t>
              </w:r>
            </w:hyperlink>
          </w:p>
        </w:tc>
        <w:tc>
          <w:tcPr>
            <w:tcW w:w="140" w:type="dxa"/>
            <w:vAlign w:val="bottom"/>
            <w:tcBorders>
              <w:top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gridSpan w:val="2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Amendment to the Employment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3/14/23</w:t>
            </w:r>
          </w:p>
        </w:tc>
        <w:tc>
          <w:tcPr>
            <w:tcW w:w="0" w:type="dxa"/>
            <w:vAlign w:val="bottom"/>
          </w:tcPr>
          <w:p>
            <w:pPr>
              <w:spacing w:after="0"/>
              <w:rPr>
                <w:sz w:val="1"/>
                <w:szCs w:val="1"/>
                <w:color w:val="auto"/>
              </w:rPr>
            </w:pPr>
          </w:p>
        </w:tc>
      </w:tr>
      <w:tr>
        <w:trPr>
          <w:trHeight w:val="156"/>
        </w:trPr>
        <w:tc>
          <w:tcPr>
            <w:tcW w:w="3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between All Market Inc. and Rowena Ricalde,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8"/>
          </w:tcPr>
          <w:p>
            <w:pPr>
              <w:ind w:left="20"/>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as</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of January 12, 2022.</w:t>
              </w:r>
            </w:hyperlink>
          </w:p>
        </w:tc>
        <w:tc>
          <w:tcPr>
            <w:tcW w:w="2480" w:type="dxa"/>
            <w:vAlign w:val="bottom"/>
            <w:tcBorders>
              <w:top w:val="single" w:sz="8" w:color="0000FF"/>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Employment Agreement, by and between All Market</w:t>
              </w:r>
            </w:hyperlink>
          </w:p>
        </w:tc>
        <w:tc>
          <w:tcPr>
            <w:tcW w:w="260" w:type="dxa"/>
            <w:vAlign w:val="bottom"/>
            <w:gridSpan w:val="6"/>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4120" w:type="dxa"/>
            <w:vAlign w:val="bottom"/>
            <w:gridSpan w:val="24"/>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 and Charles Van Es, dated as of February 10, 2020.</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Employment Agreement, by and between All Market</w:t>
              </w:r>
            </w:hyperlink>
          </w:p>
        </w:tc>
        <w:tc>
          <w:tcPr>
            <w:tcW w:w="120" w:type="dxa"/>
            <w:vAlign w:val="bottom"/>
            <w:gridSpan w:val="3"/>
          </w:tcPr>
          <w:p>
            <w:pPr>
              <w:spacing w:after="0"/>
              <w:rPr>
                <w:sz w:val="19"/>
                <w:szCs w:val="19"/>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3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 and Jane Prior, dated as of February 10, 2020.</w:t>
              </w:r>
            </w:hyperlink>
          </w:p>
        </w:tc>
        <w:tc>
          <w:tcPr>
            <w:tcW w:w="20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gridSpan w:val="24"/>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Employment Agreement, by and between The Vita</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155"/>
        </w:trPr>
        <w:tc>
          <w:tcPr>
            <w:tcW w:w="36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Coco Company, Inc., and Corey Baker, dated as of</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March 7, 2023</w:t>
              </w:r>
            </w:hyperlink>
          </w:p>
        </w:tc>
        <w:tc>
          <w:tcPr>
            <w:tcW w:w="2600" w:type="dxa"/>
            <w:vAlign w:val="bottom"/>
            <w:tcBorders>
              <w:top w:val="single" w:sz="8" w:color="0000FF"/>
            </w:tcBorders>
            <w:gridSpan w:val="9"/>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gridSpan w:val="2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Manufacturing and Purchasing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36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among Century Agriculture Corporation and All</w:t>
              </w:r>
            </w:hyperlink>
          </w:p>
        </w:tc>
        <w:tc>
          <w:tcPr>
            <w:tcW w:w="480" w:type="dxa"/>
            <w:vAlign w:val="bottom"/>
            <w:gridSpan w:val="15"/>
          </w:tcPr>
          <w:p>
            <w:pPr>
              <w:spacing w:after="0" w:line="156" w:lineRule="exact"/>
              <w:rPr>
                <w:rFonts w:ascii="Times New Roman" w:cs="Times New Roman" w:eastAsia="Times New Roman" w:hAnsi="Times New Roman"/>
                <w:sz w:val="18"/>
                <w:szCs w:val="18"/>
                <w:color w:val="0000FF"/>
                <w:w w:val="88"/>
              </w:rPr>
            </w:pPr>
            <w:hyperlink r:id="rId186">
              <w:r>
                <w:rPr>
                  <w:rFonts w:ascii="Times New Roman" w:cs="Times New Roman" w:eastAsia="Times New Roman" w:hAnsi="Times New Roman"/>
                  <w:sz w:val="18"/>
                  <w:szCs w:val="18"/>
                  <w:color w:val="0000FF"/>
                  <w:w w:val="88"/>
                </w:rPr>
                <w:t>Market</w:t>
              </w:r>
            </w:hyperlink>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Singapore Pte. Ltd., dated as of September 17, 2012.</w:t>
              </w:r>
            </w:hyperlink>
          </w:p>
        </w:tc>
        <w:tc>
          <w:tcPr>
            <w:tcW w:w="240" w:type="dxa"/>
            <w:vAlign w:val="bottom"/>
            <w:tcBorders>
              <w:top w:val="single" w:sz="8" w:color="0000FF"/>
            </w:tcBorders>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4"/>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Manufacturing and Purchasing Agreement, by and</w:t>
              </w:r>
            </w:hyperlink>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3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6"/>
              </w:rPr>
            </w:pPr>
            <w:hyperlink r:id="rId187">
              <w:r>
                <w:rPr>
                  <w:rFonts w:ascii="Times New Roman" w:cs="Times New Roman" w:eastAsia="Times New Roman" w:hAnsi="Times New Roman"/>
                  <w:sz w:val="18"/>
                  <w:szCs w:val="18"/>
                  <w:color w:val="0000FF"/>
                  <w:w w:val="96"/>
                </w:rPr>
                <w:t>among Fresh Fruit Ingredients, Inc. and All Market,</w:t>
              </w:r>
            </w:hyperlink>
          </w:p>
        </w:tc>
        <w:tc>
          <w:tcPr>
            <w:tcW w:w="12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Inc., dated as of April 8, 2010.</w:t>
              </w:r>
            </w:hyperlink>
          </w:p>
        </w:tc>
        <w:tc>
          <w:tcPr>
            <w:tcW w:w="156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9"/>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List of Subsidiaries of The Vita Coco Company,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340" w:type="dxa"/>
            <w:vAlign w:val="bottom"/>
            <w:gridSpan w:val="9"/>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26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800" w:type="dxa"/>
            <w:vAlign w:val="bottom"/>
            <w:tcBorders>
              <w:top w:val="single" w:sz="8" w:color="0000FF"/>
            </w:tcBorders>
          </w:tcPr>
          <w:p>
            <w:pPr>
              <w:spacing w:after="0"/>
              <w:rPr>
                <w:sz w:val="13"/>
                <w:szCs w:val="13"/>
                <w:color w:val="auto"/>
              </w:rPr>
            </w:pPr>
          </w:p>
        </w:tc>
        <w:tc>
          <w:tcPr>
            <w:tcW w:w="660" w:type="dxa"/>
            <w:vAlign w:val="bottom"/>
            <w:gridSpan w:val="17"/>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80" w:space="360"/>
            <w:col w:w="10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w:t>
            </w:r>
          </w:p>
        </w:tc>
        <w:tc>
          <w:tcPr>
            <w:tcW w:w="59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10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Executive Officer.</w:t>
            </w:r>
          </w:p>
        </w:tc>
        <w:tc>
          <w:tcPr>
            <w:tcW w:w="2120" w:type="dxa"/>
            <w:vAlign w:val="bottom"/>
            <w:tcBorders>
              <w:top w:val="single" w:sz="8" w:color="0000FF"/>
            </w:tcBorders>
            <w:gridSpan w:val="2"/>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w:t>
            </w:r>
          </w:p>
        </w:tc>
        <w:tc>
          <w:tcPr>
            <w:tcW w:w="59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104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360" w:type="dxa"/>
            <w:vAlign w:val="bottom"/>
          </w:tcPr>
          <w:p>
            <w:pPr>
              <w:spacing w:after="0"/>
              <w:rPr>
                <w:sz w:val="19"/>
                <w:szCs w:val="19"/>
                <w:color w:val="auto"/>
              </w:rPr>
            </w:pPr>
          </w:p>
        </w:tc>
        <w:tc>
          <w:tcPr>
            <w:tcW w:w="59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59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The Vita Coco Company, Inc. Clawback Policy</w:t>
            </w:r>
          </w:p>
        </w:tc>
        <w:tc>
          <w:tcPr>
            <w:tcW w:w="420" w:type="dxa"/>
            <w:vAlign w:val="bottom"/>
            <w:tcBorders>
              <w:top w:val="single" w:sz="8" w:color="0000FF"/>
            </w:tcBorders>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59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4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5940" w:type="dxa"/>
            <w:vAlign w:val="bottom"/>
          </w:tcPr>
          <w:p>
            <w:pPr>
              <w:jc w:val="center"/>
              <w:ind w:left="383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1040" w:type="dxa"/>
            <w:vAlign w:val="bottom"/>
          </w:tcPr>
          <w:p>
            <w:pPr>
              <w:spacing w:after="0"/>
              <w:rPr>
                <w:sz w:val="16"/>
                <w:szCs w:val="16"/>
                <w:color w:val="auto"/>
              </w:rPr>
            </w:pP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5940" w:type="dxa"/>
            <w:vAlign w:val="bottom"/>
          </w:tcPr>
          <w:p>
            <w:pPr>
              <w:spacing w:after="0"/>
              <w:rPr>
                <w:sz w:val="16"/>
                <w:szCs w:val="16"/>
                <w:color w:val="auto"/>
              </w:rPr>
            </w:pPr>
          </w:p>
        </w:tc>
      </w:tr>
      <w:tr>
        <w:trPr>
          <w:trHeight w:val="180"/>
        </w:trPr>
        <w:tc>
          <w:tcPr>
            <w:tcW w:w="1040" w:type="dxa"/>
            <w:vAlign w:val="bottom"/>
          </w:tcPr>
          <w:p>
            <w:pPr>
              <w:spacing w:after="0"/>
              <w:rPr>
                <w:sz w:val="15"/>
                <w:szCs w:val="15"/>
                <w:color w:val="auto"/>
              </w:rPr>
            </w:pPr>
          </w:p>
        </w:tc>
        <w:tc>
          <w:tcPr>
            <w:tcW w:w="426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5940" w:type="dxa"/>
            <w:vAlign w:val="bottom"/>
          </w:tcPr>
          <w:p>
            <w:pPr>
              <w:spacing w:after="0"/>
              <w:rPr>
                <w:sz w:val="15"/>
                <w:szCs w:val="15"/>
                <w:color w:val="auto"/>
              </w:rPr>
            </w:pPr>
          </w:p>
        </w:tc>
      </w:tr>
      <w:tr>
        <w:trPr>
          <w:trHeight w:val="225"/>
        </w:trPr>
        <w:tc>
          <w:tcPr>
            <w:tcW w:w="1040" w:type="dxa"/>
            <w:vAlign w:val="bottom"/>
          </w:tcPr>
          <w:p>
            <w:pPr>
              <w:spacing w:after="0"/>
              <w:rPr>
                <w:sz w:val="19"/>
                <w:szCs w:val="19"/>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5940" w:type="dxa"/>
            <w:vAlign w:val="bottom"/>
          </w:tcPr>
          <w:p>
            <w:pPr>
              <w:spacing w:after="0"/>
              <w:rPr>
                <w:sz w:val="19"/>
                <w:szCs w:val="19"/>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9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6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940" w:type="dxa"/>
            <w:vAlign w:val="bottom"/>
          </w:tcPr>
          <w:p>
            <w:pPr>
              <w:jc w:val="center"/>
              <w:ind w:left="383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4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940" w:type="dxa"/>
            <w:vAlign w:val="bottom"/>
          </w:tcPr>
          <w:p>
            <w:pPr>
              <w:spacing w:after="0"/>
              <w:rPr>
                <w:sz w:val="20"/>
                <w:szCs w:val="20"/>
                <w:color w:val="auto"/>
              </w:rPr>
            </w:pP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5940" w:type="dxa"/>
            <w:vAlign w:val="bottom"/>
          </w:tcPr>
          <w:p>
            <w:pPr>
              <w:spacing w:after="0"/>
              <w:rPr>
                <w:sz w:val="16"/>
                <w:szCs w:val="16"/>
                <w:color w:val="auto"/>
              </w:rPr>
            </w:pPr>
          </w:p>
        </w:tc>
      </w:tr>
      <w:tr>
        <w:trPr>
          <w:trHeight w:val="234"/>
        </w:trPr>
        <w:tc>
          <w:tcPr>
            <w:tcW w:w="104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5940" w:type="dxa"/>
            <w:vAlign w:val="bottom"/>
          </w:tcPr>
          <w:p>
            <w:pPr>
              <w:spacing w:after="0"/>
              <w:rPr>
                <w:sz w:val="20"/>
                <w:szCs w:val="20"/>
                <w:color w:val="auto"/>
              </w:rPr>
            </w:pPr>
          </w:p>
        </w:tc>
      </w:tr>
      <w:tr>
        <w:trPr>
          <w:trHeight w:val="927"/>
        </w:trPr>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98</w:t>
            </w:r>
          </w:p>
        </w:tc>
      </w:tr>
      <w:tr>
        <w:trPr>
          <w:trHeight w:val="101"/>
        </w:trPr>
        <w:tc>
          <w:tcPr>
            <w:tcW w:w="10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760" w:type="dxa"/>
            <w:vAlign w:val="bottom"/>
          </w:tcPr>
          <w:p>
            <w:pPr>
              <w:spacing w:after="0"/>
              <w:rPr>
                <w:sz w:val="20"/>
                <w:szCs w:val="20"/>
                <w:color w:val="auto"/>
              </w:rPr>
            </w:pPr>
          </w:p>
        </w:tc>
      </w:tr>
      <w:tr>
        <w:trPr>
          <w:trHeight w:val="81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Pr>
          <w:p>
            <w:pPr>
              <w:spacing w:after="0"/>
              <w:rPr>
                <w:sz w:val="20"/>
                <w:szCs w:val="20"/>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760" w:type="dxa"/>
            <w:vAlign w:val="bottom"/>
          </w:tcPr>
          <w:p>
            <w:pPr>
              <w:spacing w:after="0"/>
              <w:rPr>
                <w:sz w:val="20"/>
                <w:szCs w:val="20"/>
                <w:color w:val="auto"/>
              </w:rPr>
            </w:pPr>
          </w:p>
        </w:tc>
      </w:tr>
      <w:tr>
        <w:trPr>
          <w:trHeight w:val="184"/>
        </w:trPr>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66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7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Pr>
          <w:p>
            <w:pPr>
              <w:spacing w:after="0"/>
              <w:rPr>
                <w:sz w:val="20"/>
                <w:szCs w:val="20"/>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c>
          <w:tcPr>
            <w:tcW w:w="2760" w:type="dxa"/>
            <w:vAlign w:val="bottom"/>
          </w:tcPr>
          <w:p>
            <w:pPr>
              <w:spacing w:after="0"/>
              <w:rPr>
                <w:sz w:val="20"/>
                <w:szCs w:val="20"/>
                <w:color w:val="auto"/>
              </w:rPr>
            </w:pPr>
          </w:p>
        </w:tc>
      </w:tr>
      <w:tr>
        <w:trPr>
          <w:trHeight w:val="184"/>
        </w:trPr>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66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in Inline</w:t>
            </w:r>
          </w:p>
        </w:tc>
        <w:tc>
          <w:tcPr>
            <w:tcW w:w="27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Pr>
          <w:p>
            <w:pPr>
              <w:spacing w:after="0"/>
              <w:rPr>
                <w:sz w:val="20"/>
                <w:szCs w:val="20"/>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760" w:type="dxa"/>
            <w:vAlign w:val="bottom"/>
          </w:tcPr>
          <w:p>
            <w:pPr>
              <w:spacing w:after="0"/>
              <w:rPr>
                <w:sz w:val="20"/>
                <w:szCs w:val="20"/>
                <w:color w:val="auto"/>
              </w:rPr>
            </w:pPr>
          </w:p>
        </w:tc>
      </w:tr>
    </w:tbl>
    <w:p>
      <w:pPr>
        <w:spacing w:after="0" w:line="341" w:lineRule="exact"/>
        <w:rPr>
          <w:sz w:val="20"/>
          <w:szCs w:val="20"/>
          <w:color w:val="auto"/>
        </w:rPr>
      </w:pPr>
    </w:p>
    <w:p>
      <w:pPr>
        <w:ind w:left="820" w:hanging="79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20" w:hanging="79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820" w:hanging="79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portions of this exhibit (indicated by “####”) have been redacted pursuant to Regulation S-K, Item</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601(a)(6).</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portions of this exhibit (indicated by “[***]”) have been redacted pursuant to Regulation S-K, Item</w:t>
            </w: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601(b)(10)(iv).</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08" w:right="1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VITA COCO COMPANY, INC.</w:t>
      </w:r>
    </w:p>
    <w:p>
      <w:pPr>
        <w:spacing w:after="0" w:line="293" w:lineRule="exact"/>
        <w:rPr>
          <w:sz w:val="20"/>
          <w:szCs w:val="20"/>
          <w:color w:val="auto"/>
        </w:rPr>
      </w:pPr>
    </w:p>
    <w:p>
      <w:pPr>
        <w:ind w:left="20"/>
        <w:spacing w:after="0"/>
        <w:tabs>
          <w:tab w:leader="none" w:pos="5820" w:val="left"/>
          <w:tab w:leader="none" w:pos="81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375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Martin Roper</w:t>
      </w:r>
    </w:p>
    <w:p>
      <w:pPr>
        <w:spacing w:after="0" w:line="3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0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180"/>
          </w:cols>
          <w:pgMar w:left="320" w:top="108" w:right="399" w:bottom="1440" w:gutter="0" w:footer="0" w:header="0"/>
        </w:sectPr>
      </w:pP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2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4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Martin Roper</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Martin Roper</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Corey Baker</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518"/>
        </w:trPr>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 Rowena Ricalde</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Rowena Ricalde</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Michael Kirban</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Michael Kirban</w:t>
            </w:r>
          </w:p>
        </w:tc>
        <w:tc>
          <w:tcPr>
            <w:tcW w:w="32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Aishetu Fatima Dozie</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Aishetu Fatima Dozie</w:t>
            </w:r>
          </w:p>
        </w:tc>
        <w:tc>
          <w:tcPr>
            <w:tcW w:w="32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John Leahy</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John Leahy</w:t>
            </w:r>
          </w:p>
        </w:tc>
        <w:tc>
          <w:tcPr>
            <w:tcW w:w="32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Ira Liran</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Ira Liran</w:t>
            </w:r>
          </w:p>
        </w:tc>
        <w:tc>
          <w:tcPr>
            <w:tcW w:w="32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Eric Melloul</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Eric Melloul</w:t>
            </w:r>
          </w:p>
        </w:tc>
        <w:tc>
          <w:tcPr>
            <w:tcW w:w="3220" w:type="dxa"/>
            <w:vAlign w:val="bottom"/>
          </w:tcPr>
          <w:p>
            <w:pPr>
              <w:spacing w:after="0"/>
              <w:rPr>
                <w:sz w:val="20"/>
                <w:szCs w:val="20"/>
                <w:color w:val="auto"/>
              </w:rPr>
            </w:pPr>
          </w:p>
        </w:tc>
      </w:tr>
      <w:tr>
        <w:trPr>
          <w:trHeight w:val="464"/>
        </w:trPr>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 Jane Morreau</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Jane Morreau</w:t>
            </w:r>
          </w:p>
        </w:tc>
        <w:tc>
          <w:tcPr>
            <w:tcW w:w="3220" w:type="dxa"/>
            <w:vAlign w:val="bottom"/>
          </w:tcPr>
          <w:p>
            <w:pPr>
              <w:spacing w:after="0"/>
              <w:rPr>
                <w:sz w:val="20"/>
                <w:szCs w:val="20"/>
                <w:color w:val="auto"/>
              </w:rPr>
            </w:pPr>
          </w:p>
        </w:tc>
      </w:tr>
      <w:tr>
        <w:trPr>
          <w:trHeight w:val="464"/>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Kenneth Sadowsky</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Kenneth Sadowsky</w:t>
            </w:r>
          </w:p>
        </w:tc>
        <w:tc>
          <w:tcPr>
            <w:tcW w:w="3220" w:type="dxa"/>
            <w:vAlign w:val="bottom"/>
          </w:tcPr>
          <w:p>
            <w:pPr>
              <w:spacing w:after="0"/>
              <w:rPr>
                <w:sz w:val="20"/>
                <w:szCs w:val="20"/>
                <w:color w:val="auto"/>
              </w:rPr>
            </w:pPr>
          </w:p>
        </w:tc>
      </w:tr>
      <w:tr>
        <w:trPr>
          <w:trHeight w:val="464"/>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John Zupo</w:t>
            </w: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John Zupo</w:t>
            </w:r>
          </w:p>
        </w:tc>
        <w:tc>
          <w:tcPr>
            <w:tcW w:w="3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4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481" w:lineRule="exact"/>
        <w:rPr>
          <w:sz w:val="20"/>
          <w:szCs w:val="20"/>
          <w:color w:val="auto"/>
        </w:rPr>
      </w:pPr>
    </w:p>
    <w:p>
      <w:pPr>
        <w:sectPr>
          <w:pgSz w:w="11900" w:h="16838" w:orient="portrait"/>
          <w:cols w:equalWidth="0" w:num="2">
            <w:col w:w="8740" w:space="720"/>
            <w:col w:w="1720"/>
          </w:cols>
          <w:pgMar w:left="320" w:top="10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80"/>
          </w:cols>
          <w:pgMar w:left="320" w:top="108" w:right="39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List of Subsidiaries of The Vita Coco Company,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w w:val="98"/>
              </w:rPr>
              <w:t>Jurisdiction of Incorporation or Organization</w:t>
            </w:r>
          </w:p>
        </w:tc>
      </w:tr>
      <w:tr>
        <w:trPr>
          <w:trHeight w:val="20"/>
        </w:trPr>
        <w:tc>
          <w:tcPr>
            <w:tcW w:w="10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323"/>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Europe Limited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Consumer SL</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Spain</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France SAS</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France</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Coco Cafe, Inc.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Singapore Pte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Singapore</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Coco Community Pte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Singapore</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AMI Runa Ecuador LLC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 LLC, domiciled in Ecuador</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Japan, LLC (GK)</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Japan</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Korea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South Korea</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APAC Limited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Hong Kong</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Mexico, S. DE R.L. DE C.V.</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Mexico</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Canada Inc.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Canada</w:t>
            </w: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AMI Runa U.S. LLC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220"/>
          </w:cols>
          <w:pgMar w:left="340" w:top="1422"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333-260419 on Form S-8 and Registration Statement No. 333-271583 on Form S-3 of our reports dated February 29, 2024, relating to the financial statements of The Vita Coco Company, Inc. and the effectiveness of The Vita Coco Company, Inc.'s internal control over financial reporting appearing in this Annual Report on Form 10-K for the year ended December 31,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29, 2024</w:t>
      </w:r>
    </w:p>
    <w:p>
      <w:pPr>
        <w:sectPr>
          <w:pgSz w:w="11900" w:h="16838" w:orient="portrait"/>
          <w:cols w:equalWidth="0" w:num="1">
            <w:col w:w="11140"/>
          </w:cols>
          <w:pgMar w:left="320" w:top="1394"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 Section 302 of Sarbanes-Oxley Act of 2002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Martin Roper, certify that:</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The Vita Coco Company, Inc. (the "registrant");</w:t>
      </w:r>
    </w:p>
    <w:p>
      <w:pPr>
        <w:spacing w:after="0" w:line="269" w:lineRule="exact"/>
        <w:rPr>
          <w:rFonts w:ascii="Times New Roman" w:cs="Times New Roman" w:eastAsia="Times New Roman" w:hAnsi="Times New Roman"/>
          <w:sz w:val="20"/>
          <w:szCs w:val="20"/>
          <w:color w:val="auto"/>
        </w:rPr>
      </w:pPr>
    </w:p>
    <w:p>
      <w:pPr>
        <w:ind w:left="660" w:right="20" w:hanging="328"/>
        <w:spacing w:after="0" w:line="268"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hanging="328"/>
        <w:spacing w:after="0" w:line="275"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120" w:hanging="328"/>
        <w:spacing w:after="0" w:line="275"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980" w:right="120" w:hanging="324"/>
        <w:spacing w:after="0" w:line="268" w:lineRule="auto"/>
        <w:tabs>
          <w:tab w:leader="none" w:pos="97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Times New Roman" w:cs="Times New Roman" w:eastAsia="Times New Roman" w:hAnsi="Times New Roman"/>
          <w:sz w:val="20"/>
          <w:szCs w:val="20"/>
          <w:color w:val="auto"/>
        </w:rPr>
      </w:pPr>
    </w:p>
    <w:p>
      <w:pPr>
        <w:ind w:left="980" w:right="280" w:hanging="324"/>
        <w:spacing w:after="0" w:line="268" w:lineRule="auto"/>
        <w:tabs>
          <w:tab w:leader="none" w:pos="96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Times New Roman" w:cs="Times New Roman" w:eastAsia="Times New Roman" w:hAnsi="Times New Roman"/>
          <w:sz w:val="20"/>
          <w:szCs w:val="20"/>
          <w:color w:val="auto"/>
        </w:rPr>
      </w:pPr>
    </w:p>
    <w:p>
      <w:pPr>
        <w:ind w:left="980" w:right="20" w:hanging="324"/>
        <w:spacing w:after="0" w:line="268" w:lineRule="auto"/>
        <w:tabs>
          <w:tab w:leader="none" w:pos="97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20"/>
          <w:szCs w:val="20"/>
          <w:color w:val="auto"/>
        </w:rPr>
      </w:pPr>
    </w:p>
    <w:p>
      <w:pPr>
        <w:ind w:left="980" w:hanging="324"/>
        <w:spacing w:after="0" w:line="268" w:lineRule="auto"/>
        <w:tabs>
          <w:tab w:leader="none" w:pos="96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75"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422" w:right="359" w:bottom="1440" w:gutter="0" w:footer="0" w:header="0"/>
        </w:sectPr>
      </w:pPr>
    </w:p>
    <w:bookmarkStart w:id="103" w:name="page104"/>
    <w:bookmarkEnd w:id="103"/>
    <w:p>
      <w:pPr>
        <w:ind w:left="960" w:hanging="324"/>
        <w:spacing w:after="0" w:line="275" w:lineRule="auto"/>
        <w:tabs>
          <w:tab w:leader="none" w:pos="95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20"/>
          <w:szCs w:val="20"/>
          <w:color w:val="auto"/>
        </w:rPr>
      </w:pPr>
    </w:p>
    <w:p>
      <w:pPr>
        <w:ind w:left="960" w:right="20" w:hanging="324"/>
        <w:spacing w:after="0" w:line="297" w:lineRule="auto"/>
        <w:tabs>
          <w:tab w:leader="none" w:pos="9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Date: February 29, 2024</w:t>
      </w:r>
      <w:r>
        <w:rPr>
          <w:sz w:val="20"/>
          <w:szCs w:val="20"/>
          <w:color w:val="auto"/>
        </w:rPr>
        <w:tab/>
      </w:r>
      <w:r>
        <w:rPr>
          <w:rFonts w:ascii="Times New Roman" w:cs="Times New Roman" w:eastAsia="Times New Roman" w:hAnsi="Times New Roman"/>
          <w:sz w:val="19"/>
          <w:szCs w:val="19"/>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Chief Executive Officer</w:t>
      </w:r>
    </w:p>
    <w:p>
      <w:pPr>
        <w:ind w:left="674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080"/>
          </w:cols>
          <w:pgMar w:left="340" w:top="1426"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 Section 302 of Sarbanes-Oxley Act of 2002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Corey Baker, certify that:</w:t>
      </w:r>
    </w:p>
    <w:p>
      <w:pPr>
        <w:spacing w:after="0" w:line="270"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The Vita Coco Company, Inc. (the "registrant");</w:t>
      </w:r>
    </w:p>
    <w:p>
      <w:pPr>
        <w:spacing w:after="0" w:line="256" w:lineRule="exact"/>
        <w:rPr>
          <w:rFonts w:ascii="Times New Roman" w:cs="Times New Roman" w:eastAsia="Times New Roman" w:hAnsi="Times New Roman"/>
          <w:sz w:val="20"/>
          <w:szCs w:val="20"/>
          <w:color w:val="auto"/>
        </w:rPr>
      </w:pPr>
    </w:p>
    <w:p>
      <w:pPr>
        <w:ind w:left="660" w:right="20" w:hanging="328"/>
        <w:spacing w:after="0" w:line="275"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20"/>
          <w:szCs w:val="20"/>
          <w:color w:val="auto"/>
        </w:rPr>
      </w:pPr>
    </w:p>
    <w:p>
      <w:pPr>
        <w:ind w:left="660" w:right="60" w:hanging="328"/>
        <w:spacing w:after="0" w:line="238" w:lineRule="auto"/>
        <w:tabs>
          <w:tab w:leader="none" w:pos="649"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20"/>
          <w:szCs w:val="20"/>
          <w:color w:val="auto"/>
        </w:rPr>
      </w:pPr>
    </w:p>
    <w:p>
      <w:pPr>
        <w:ind w:left="660" w:right="120" w:hanging="328"/>
        <w:spacing w:after="0" w:line="275"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20"/>
          <w:szCs w:val="20"/>
          <w:color w:val="auto"/>
        </w:rPr>
      </w:pPr>
    </w:p>
    <w:p>
      <w:pPr>
        <w:ind w:left="980" w:right="120" w:hanging="324"/>
        <w:spacing w:after="0" w:line="278" w:lineRule="auto"/>
        <w:tabs>
          <w:tab w:leader="none" w:pos="97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0"/>
          <w:szCs w:val="20"/>
          <w:color w:val="auto"/>
        </w:rPr>
      </w:pPr>
    </w:p>
    <w:p>
      <w:pPr>
        <w:ind w:left="980" w:right="280" w:hanging="324"/>
        <w:spacing w:after="0" w:line="275" w:lineRule="auto"/>
        <w:tabs>
          <w:tab w:leader="none" w:pos="96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Times New Roman" w:cs="Times New Roman" w:eastAsia="Times New Roman" w:hAnsi="Times New Roman"/>
          <w:sz w:val="20"/>
          <w:szCs w:val="20"/>
          <w:color w:val="auto"/>
        </w:rPr>
      </w:pPr>
    </w:p>
    <w:p>
      <w:pPr>
        <w:ind w:left="980" w:right="20" w:hanging="324"/>
        <w:spacing w:after="0" w:line="275" w:lineRule="auto"/>
        <w:tabs>
          <w:tab w:leader="none" w:pos="97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ind w:left="980" w:hanging="324"/>
        <w:spacing w:after="0" w:line="275" w:lineRule="auto"/>
        <w:tabs>
          <w:tab w:leader="none" w:pos="96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Times New Roman" w:cs="Times New Roman" w:eastAsia="Times New Roman" w:hAnsi="Times New Roman"/>
          <w:sz w:val="20"/>
          <w:szCs w:val="20"/>
          <w:color w:val="auto"/>
        </w:rPr>
      </w:pPr>
    </w:p>
    <w:p>
      <w:pPr>
        <w:ind w:left="660" w:right="240" w:hanging="328"/>
        <w:spacing w:after="0" w:line="275"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422" w:right="359" w:bottom="1440" w:gutter="0" w:footer="0" w:header="0"/>
        </w:sectPr>
      </w:pPr>
    </w:p>
    <w:bookmarkStart w:id="105" w:name="page106"/>
    <w:bookmarkEnd w:id="105"/>
    <w:p>
      <w:pPr>
        <w:ind w:left="960" w:hanging="324"/>
        <w:spacing w:after="0" w:line="275" w:lineRule="auto"/>
        <w:tabs>
          <w:tab w:leader="none" w:pos="95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20"/>
          <w:szCs w:val="20"/>
          <w:color w:val="auto"/>
        </w:rPr>
      </w:pPr>
    </w:p>
    <w:p>
      <w:pPr>
        <w:ind w:left="960" w:right="20" w:hanging="324"/>
        <w:spacing w:after="0" w:line="297" w:lineRule="auto"/>
        <w:tabs>
          <w:tab w:leader="none" w:pos="9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Date: February 29, 2024</w:t>
      </w:r>
      <w:r>
        <w:rPr>
          <w:sz w:val="20"/>
          <w:szCs w:val="20"/>
          <w:color w:val="auto"/>
        </w:rPr>
        <w:tab/>
      </w:r>
      <w:r>
        <w:rPr>
          <w:rFonts w:ascii="Times New Roman" w:cs="Times New Roman" w:eastAsia="Times New Roman" w:hAnsi="Times New Roman"/>
          <w:sz w:val="19"/>
          <w:szCs w:val="19"/>
          <w:color w:val="auto"/>
        </w:rPr>
        <w:t>By: /s/ 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Corey Baker</w:t>
      </w:r>
    </w:p>
    <w:p>
      <w:pPr>
        <w:spacing w:after="0" w:line="4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080"/>
          </w:cols>
          <w:pgMar w:left="340" w:top="1426"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66" w:lineRule="exact"/>
        <w:rPr>
          <w:sz w:val="20"/>
          <w:szCs w:val="20"/>
          <w:color w:val="auto"/>
        </w:rPr>
      </w:pPr>
    </w:p>
    <w:p>
      <w:pPr>
        <w:jc w:val="both"/>
        <w:ind w:right="420" w:firstLine="648"/>
        <w:spacing w:after="0" w:line="296" w:lineRule="auto"/>
        <w:rPr>
          <w:sz w:val="20"/>
          <w:szCs w:val="20"/>
          <w:color w:val="auto"/>
        </w:rPr>
      </w:pPr>
      <w:r>
        <w:rPr>
          <w:rFonts w:ascii="Times New Roman" w:cs="Times New Roman" w:eastAsia="Times New Roman" w:hAnsi="Times New Roman"/>
          <w:sz w:val="19"/>
          <w:szCs w:val="19"/>
          <w:color w:val="auto"/>
        </w:rPr>
        <w:t>In connection with the Annual Report on Form 10-K of The Vita Coco Company, Inc. (the “Company”) for the period ended December 31, 2023 as filed with the Securities and Exchange Commission on the date hereof (the “Report”), I, Martin Roper, certify, pursuant to 18 U.S.C. § 1350, as adopted pursuant to § 906 of the Sarbanes-Oxley Act of 2002, that, to the best of my knowledge:</w:t>
      </w:r>
    </w:p>
    <w:p>
      <w:pPr>
        <w:spacing w:after="0" w:line="83" w:lineRule="exact"/>
        <w:rPr>
          <w:sz w:val="20"/>
          <w:szCs w:val="20"/>
          <w:color w:val="auto"/>
        </w:rPr>
      </w:pPr>
    </w:p>
    <w:p>
      <w:pPr>
        <w:ind w:left="360" w:hanging="312"/>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6" w:lineRule="exact"/>
        <w:rPr>
          <w:rFonts w:ascii="Times New Roman" w:cs="Times New Roman" w:eastAsia="Times New Roman" w:hAnsi="Times New Roman"/>
          <w:sz w:val="20"/>
          <w:szCs w:val="20"/>
          <w:color w:val="auto"/>
        </w:rPr>
      </w:pPr>
    </w:p>
    <w:p>
      <w:pPr>
        <w:ind w:left="380" w:hanging="332"/>
        <w:spacing w:after="0" w:line="283" w:lineRule="auto"/>
        <w:tabs>
          <w:tab w:leader="none" w:pos="36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20"/>
          <w:szCs w:val="20"/>
          <w:color w:val="auto"/>
        </w:rPr>
        <w:t>Date: February 29, 2024</w:t>
      </w:r>
      <w:r>
        <w:rPr>
          <w:sz w:val="20"/>
          <w:szCs w:val="20"/>
          <w:color w:val="auto"/>
        </w:rPr>
        <w:tab/>
      </w:r>
      <w:r>
        <w:rPr>
          <w:rFonts w:ascii="Times New Roman" w:cs="Times New Roman" w:eastAsia="Times New Roman" w:hAnsi="Times New Roman"/>
          <w:sz w:val="19"/>
          <w:szCs w:val="19"/>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0980"/>
          </w:cols>
          <w:pgMar w:left="320" w:top="1422" w:right="5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66" w:lineRule="exact"/>
        <w:rPr>
          <w:sz w:val="20"/>
          <w:szCs w:val="20"/>
          <w:color w:val="auto"/>
        </w:rPr>
      </w:pPr>
    </w:p>
    <w:p>
      <w:pPr>
        <w:ind w:left="20"/>
        <w:spacing w:after="0" w:line="275" w:lineRule="auto"/>
        <w:rPr>
          <w:sz w:val="20"/>
          <w:szCs w:val="20"/>
          <w:color w:val="auto"/>
        </w:rPr>
      </w:pPr>
      <w:r>
        <w:rPr>
          <w:rFonts w:ascii="Times New Roman" w:cs="Times New Roman" w:eastAsia="Times New Roman" w:hAnsi="Times New Roman"/>
          <w:sz w:val="19"/>
          <w:szCs w:val="19"/>
          <w:color w:val="auto"/>
        </w:rPr>
        <w:t>In connection with the Annual Report on Form 10-K of The Vita Coco Company, Inc. (the “Company”) for the period ended December 31, 2023 as filed with the Securities and Exchange Commission on the date hereof (the “Report”), I, Corey Baker, certify, pursuant to 18 U.S.C.</w:t>
      </w:r>
    </w:p>
    <w:p>
      <w:pPr>
        <w:spacing w:after="0" w:line="1" w:lineRule="exact"/>
        <w:rPr>
          <w:sz w:val="20"/>
          <w:szCs w:val="20"/>
          <w:color w:val="auto"/>
        </w:rPr>
      </w:pPr>
    </w:p>
    <w:p>
      <w:pPr>
        <w:ind w:left="160" w:hanging="146"/>
        <w:spacing w:after="0"/>
        <w:tabs>
          <w:tab w:leader="none" w:pos="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1350, as adopted pursuant to § 906 of the Sarbanes-Oxley Act of 2002, that, to the best of my knowledge;</w:t>
      </w:r>
    </w:p>
    <w:p>
      <w:pPr>
        <w:spacing w:after="0" w:line="254" w:lineRule="exact"/>
        <w:rPr>
          <w:rFonts w:ascii="Times New Roman" w:cs="Times New Roman" w:eastAsia="Times New Roman" w:hAnsi="Times New Roman"/>
          <w:sz w:val="20"/>
          <w:szCs w:val="20"/>
          <w:color w:val="auto"/>
        </w:rPr>
      </w:pPr>
    </w:p>
    <w:p>
      <w:pPr>
        <w:ind w:left="360" w:hanging="312"/>
        <w:spacing w:after="0"/>
        <w:tabs>
          <w:tab w:leader="none" w:pos="3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6" w:lineRule="exact"/>
        <w:rPr>
          <w:rFonts w:ascii="Times New Roman" w:cs="Times New Roman" w:eastAsia="Times New Roman" w:hAnsi="Times New Roman"/>
          <w:sz w:val="20"/>
          <w:szCs w:val="20"/>
          <w:color w:val="auto"/>
        </w:rPr>
      </w:pPr>
    </w:p>
    <w:p>
      <w:pPr>
        <w:ind w:left="380" w:right="120" w:hanging="332"/>
        <w:spacing w:after="0" w:line="297" w:lineRule="auto"/>
        <w:tabs>
          <w:tab w:leader="none" w:pos="36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20"/>
          <w:szCs w:val="20"/>
          <w:color w:val="auto"/>
        </w:rPr>
        <w:t>Date: February 29, 2024</w:t>
      </w:r>
      <w:r>
        <w:rPr>
          <w:sz w:val="20"/>
          <w:szCs w:val="20"/>
          <w:color w:val="auto"/>
        </w:rPr>
        <w:tab/>
      </w:r>
      <w:r>
        <w:rPr>
          <w:rFonts w:ascii="Times New Roman" w:cs="Times New Roman" w:eastAsia="Times New Roman" w:hAnsi="Times New Roman"/>
          <w:sz w:val="19"/>
          <w:szCs w:val="19"/>
          <w:color w:val="auto"/>
        </w:rPr>
        <w:t>By: /s/ 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Corey Baker</w:t>
      </w:r>
    </w:p>
    <w:p>
      <w:pPr>
        <w:spacing w:after="0" w:line="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100"/>
          </w:cols>
          <w:pgMar w:left="320" w:top="1422"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December 1, 2023)</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Vita Coco Company, Inc., a Delaware public benefit corporation (together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required to prepare an Accounting Restatement (as defined below), then the Company will recover reasonably promptly the amount of Erroneously Awarded Compensation (as defined below) Received (as defined below) by any current or former Executive Officer (as defined below) during the Recovery Period (as defined below).</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will not be required to enforce this policy if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determines that (i) recovery would be impracticable, as determined by the Committee, and (ii) one of the conditions of (A), (B), or (C) are satisfied:</w:t>
      </w:r>
    </w:p>
    <w:p>
      <w:pPr>
        <w:spacing w:after="0" w:line="207" w:lineRule="exact"/>
        <w:rPr>
          <w:sz w:val="20"/>
          <w:szCs w:val="20"/>
          <w:color w:val="auto"/>
        </w:rPr>
      </w:pPr>
    </w:p>
    <w:p>
      <w:pPr>
        <w:jc w:val="both"/>
        <w:ind w:left="660" w:hanging="328"/>
        <w:spacing w:after="0" w:line="250" w:lineRule="auto"/>
        <w:tabs>
          <w:tab w:leader="none" w:pos="6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this policy would exceed the amount to be recovered;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before concluding that it would be impracticable to recover any amount of Erroneously Awarded Compensation based expense of enforcement, document such reasonable attempt(s) to recover, and provide that documentation to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Recovery would violate home country law where that law was adopted prior to November 28,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the Company’s employees, to fail to meet the requirements of the Internal Revenue Code of 1986, as amended.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policy is intended to comply with Rule 5608 of the Nasdaq Listing Rules (the “</w:t>
      </w:r>
      <w:r>
        <w:rPr>
          <w:rFonts w:ascii="Times New Roman" w:cs="Times New Roman" w:eastAsia="Times New Roman" w:hAnsi="Times New Roman"/>
          <w:sz w:val="18"/>
          <w:szCs w:val="18"/>
          <w:b w:val="1"/>
          <w:bCs w:val="1"/>
          <w:i w:val="1"/>
          <w:iCs w:val="1"/>
          <w:color w:val="auto"/>
        </w:rPr>
        <w:t>Nasdaq Rules</w:t>
      </w:r>
      <w:r>
        <w:rPr>
          <w:rFonts w:ascii="Times New Roman" w:cs="Times New Roman" w:eastAsia="Times New Roman" w:hAnsi="Times New Roman"/>
          <w:sz w:val="18"/>
          <w:szCs w:val="18"/>
          <w:color w:val="auto"/>
        </w:rPr>
        <w:t>”), as required by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promulgated thereunder. The Committee shall have express discretionary authority to interpret and administer this policy and to make all determinations with respect to this policy in its sole discretion which shall be final and binding on all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w:t>
      </w:r>
    </w:p>
    <w:p>
      <w:pPr>
        <w:spacing w:after="0" w:line="235" w:lineRule="exact"/>
        <w:rPr>
          <w:sz w:val="20"/>
          <w:szCs w:val="20"/>
          <w:color w:val="auto"/>
        </w:rPr>
      </w:pPr>
    </w:p>
    <w:p>
      <w:pPr>
        <w:jc w:val="both"/>
        <w:ind w:left="660" w:hanging="328"/>
        <w:spacing w:after="0" w:line="24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has the meaning of the term “officer” as set forth in Exchange Act Rule 16a-1(f), i.e.,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issuers. Executive officers of the Company parent(s) or subsidiaries are deemed executive officers of the Company if they perform such policy making functions. Identification of an Executive Officer for purposes of this policy and Nasdaq Rule 5608(d) would include at a minimum executive officers identified pursuant to 17 CFR 229.401(b).</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25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190"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any Financial Reporting Measure.</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means the three (3) completed fiscal years immediately preceding the date that the Company is required to prepare an Accounting Restatement, which date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Approved by the Board of Directors on June 15,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Roman"/>
      <w:start w:val="2"/>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6"/>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lvl w:ilvl="1">
      <w:lvlJc w:val="left"/>
      <w:lvlText w:val="(%2)"/>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
    </w:lvl>
    <w:lvl w:ilvl="1">
      <w:lvlJc w:val="left"/>
      <w:lvlText w:val="(%2)"/>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lvl w:ilvl="1">
      <w:lvlJc w:val="left"/>
      <w:lvlText w:val="(%2)"/>
      <w:numFmt w:val="decimal"/>
      <w:start w:val="1"/>
    </w:lvl>
  </w:abstractNum>
  <w:abstractNum w:abstractNumId="38">
    <w:nsid w:val="2D517796"/>
    <w:multiLevelType w:val="hybridMultilevel"/>
    <w:lvl w:ilvl="0">
      <w:lvlJc w:val="left"/>
      <w:lvlText w:val="%1."/>
      <w:numFmt w:val="upp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57" Type="http://schemas.openxmlformats.org/officeDocument/2006/relationships/hyperlink" Target="https://www.sec.gov/Archives/edgar/data/0001482981/000119312521306737/d222890dex31.htm" TargetMode="External"/><Relationship Id="rId158" Type="http://schemas.openxmlformats.org/officeDocument/2006/relationships/hyperlink" Target="https://www.sec.gov/Archives/edgar/data/0001482981/000119312521306737/d222890dex32.htm" TargetMode="External"/><Relationship Id="rId159" Type="http://schemas.openxmlformats.org/officeDocument/2006/relationships/hyperlink" Target="https://www.sec.gov/Archives/edgar/data/0001482981/000119312521284306/d197386dex41.htm" TargetMode="External"/><Relationship Id="rId160" Type="http://schemas.openxmlformats.org/officeDocument/2006/relationships/hyperlink" Target="https://www.sec.gov/Archives/edgar/data/1482981/000148298123000017/exhibit42-descriptionofcap.htm" TargetMode="External"/><Relationship Id="rId161" Type="http://schemas.openxmlformats.org/officeDocument/2006/relationships/hyperlink" Target="https://www.sec.gov/Archives/edgar/data/0001482981/000119312521306737/d222890dex101.htm" TargetMode="External"/><Relationship Id="rId162" Type="http://schemas.openxmlformats.org/officeDocument/2006/relationships/hyperlink" Target="https://www.sec.gov/Archives/edgar/data/0001482981/000119312521306737/d222890dex102.htm" TargetMode="External"/><Relationship Id="rId163" Type="http://schemas.openxmlformats.org/officeDocument/2006/relationships/hyperlink" Target="https://www.sec.gov/Archives/edgar/data/1482981/000119312523132638/d497597dex44.htm" TargetMode="External"/><Relationship Id="rId164" Type="http://schemas.openxmlformats.org/officeDocument/2006/relationships/hyperlink" Target="https://www.sec.gov/Archives/edgar/data/0001482981/000119312521284306/d197386dex101.htm" TargetMode="External"/><Relationship Id="rId165" Type="http://schemas.openxmlformats.org/officeDocument/2006/relationships/hyperlink" Target="https://www.sec.gov/Archives/edgar/data/0001482981/000119312521284306/d197386dex102.htm" TargetMode="External"/><Relationship Id="rId166" Type="http://schemas.openxmlformats.org/officeDocument/2006/relationships/hyperlink" Target="https://www.sec.gov/Archives/edgar/data/1482981/000148298122000014/ex103-thirdamdtocreditag.htm" TargetMode="External"/><Relationship Id="rId167" Type="http://schemas.openxmlformats.org/officeDocument/2006/relationships/hyperlink" Target="https://www.sec.gov/Archives/edgar/data/1482981/000148298123000017/ex104-fourthamd.htm" TargetMode="External"/><Relationship Id="rId168" Type="http://schemas.openxmlformats.org/officeDocument/2006/relationships/hyperlink" Target="https://www.sec.gov/Archives/edgar/data/0001482981/000119312521296568/d197386dex103.htm" TargetMode="External"/><Relationship Id="rId169" Type="http://schemas.openxmlformats.org/officeDocument/2006/relationships/hyperlink" Target="https://www.sec.gov/Archives/edgar/data/1482981/000148298122000014/exhibit-105x2021equityin.htm" TargetMode="External"/><Relationship Id="rId170" Type="http://schemas.openxmlformats.org/officeDocument/2006/relationships/hyperlink" Target="https://www.sec.gov/Archives/edgar/data/0001482981/000119312521296568/d197386dex105.htm" TargetMode="External"/><Relationship Id="rId171" Type="http://schemas.openxmlformats.org/officeDocument/2006/relationships/hyperlink" Target="https://www.sec.gov/Archives/edgar/data/1482981/000148298122000014/exhibit107-vitacocoxformop.htm" TargetMode="External"/><Relationship Id="rId172" Type="http://schemas.openxmlformats.org/officeDocument/2006/relationships/hyperlink" Target="https://www.sec.gov/Archives/edgar/data/1482981/000148298122000014/exhibit108-vitacocoxformrs.htm" TargetMode="External"/><Relationship Id="rId173" Type="http://schemas.openxmlformats.org/officeDocument/2006/relationships/hyperlink" Target="https://www.sec.gov/Archives/edgar/data/0001482981/000119312521332611/d260163dex105.htm" TargetMode="External"/><Relationship Id="rId174" Type="http://schemas.openxmlformats.org/officeDocument/2006/relationships/hyperlink" Target="https://www.sec.gov/Archives/edgar/data/1482981/000148298122000074/coco20220930-10qexx101.htm" TargetMode="External"/><Relationship Id="rId177" Type="http://schemas.openxmlformats.org/officeDocument/2006/relationships/hyperlink" Target="https://www.sec.gov/Archives/edgar/data/0001482981/000119312521332611/d260163dex106.htm" TargetMode="External"/><Relationship Id="rId178" Type="http://schemas.openxmlformats.org/officeDocument/2006/relationships/hyperlink" Target="https://www.sec.gov/Archives/edgar/data/0001482981/000119312521296568/d197386dex106.htm" TargetMode="External"/><Relationship Id="rId179" Type="http://schemas.openxmlformats.org/officeDocument/2006/relationships/hyperlink" Target="https://www.sec.gov/Archives/edgar/data/0001482981/000119312521296568/d197386dex107.htm" TargetMode="External"/><Relationship Id="rId180" Type="http://schemas.openxmlformats.org/officeDocument/2006/relationships/hyperlink" Target="https://www.sec.gov/Archives/edgar/data/0001482981/000119312521284306/d197386dex1010.htm" TargetMode="External"/><Relationship Id="rId181" Type="http://schemas.openxmlformats.org/officeDocument/2006/relationships/hyperlink" Target="https://www.sec.gov/Archives/edgar/data/1482981/000148298123000017/ex1016amiemploymentagreeme.htm" TargetMode="External"/><Relationship Id="rId182" Type="http://schemas.openxmlformats.org/officeDocument/2006/relationships/hyperlink" Target="https://www.sec.gov/Archives/edgar/data/1482981/000148298123000017/ex1017-rowenaricaldexvpglo.htm" TargetMode="External"/><Relationship Id="rId183" Type="http://schemas.openxmlformats.org/officeDocument/2006/relationships/hyperlink" Target="https://www.sec.gov/Archives/edgar/data/0001482981/000119312521284306/d197386dex1012.htm" TargetMode="External"/><Relationship Id="rId184" Type="http://schemas.openxmlformats.org/officeDocument/2006/relationships/hyperlink" Target="https://www.sec.gov/Archives/edgar/data/0001482981/000119312521284306/d197386dex1013.htm" TargetMode="External"/><Relationship Id="rId185" Type="http://schemas.openxmlformats.org/officeDocument/2006/relationships/hyperlink" Target="https://www.sec.gov/Archives/edgar/data/1482981/000148298123000049/exhibits101-bakeremploymen.htm" TargetMode="External"/><Relationship Id="rId186" Type="http://schemas.openxmlformats.org/officeDocument/2006/relationships/hyperlink" Target="https://www.sec.gov/Archives/edgar/data/0001482981/000119312521284306/d197386dex1014.htm" TargetMode="External"/><Relationship Id="rId187" Type="http://schemas.openxmlformats.org/officeDocument/2006/relationships/hyperlink" Target="https://www.sec.gov/Archives/edgar/data/0001482981/000119312521284306/d197386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2024-02-29T07:34:53Z</dcterms:created>
  <dcterms:modified xsi:type="dcterms:W3CDTF">2024-02-29T07:34:53Z</dcterms:modified>
</cp:coreProperties>
</file>