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spacing w:after="0" w:line="22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2"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w:t>
      </w:r>
    </w:p>
    <w:p>
      <w:pPr>
        <w:spacing w:after="0" w:line="5" w:lineRule="exact"/>
        <w:rPr>
          <w:rFonts w:ascii="MS PGothic" w:cs="MS PGothic" w:eastAsia="MS PGothic" w:hAnsi="MS PGothic"/>
          <w:sz w:val="14"/>
          <w:szCs w:val="14"/>
          <w:color w:val="auto"/>
        </w:rPr>
      </w:pPr>
    </w:p>
    <w:p>
      <w:pPr>
        <w:ind w:left="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FROM</w:t>
      </w:r>
      <w:r>
        <w:rPr>
          <w:rFonts w:ascii="Times New Roman" w:cs="Times New Roman" w:eastAsia="Times New Roman" w:hAnsi="Times New Roman"/>
          <w:sz w:val="13"/>
          <w:szCs w:val="13"/>
          <w:b w:val="1"/>
          <w:bCs w:val="1"/>
          <w:color w:val="auto"/>
        </w:rPr>
        <w:t>TO</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jc w:val="center"/>
              <w:ind w:left="3395"/>
              <w:spacing w:after="0"/>
              <w:rPr>
                <w:sz w:val="20"/>
                <w:szCs w:val="20"/>
                <w:color w:val="auto"/>
              </w:rPr>
            </w:pPr>
            <w:r>
              <w:rPr>
                <w:rFonts w:ascii="Times New Roman" w:cs="Times New Roman" w:eastAsia="Times New Roman" w:hAnsi="Times New Roman"/>
                <w:sz w:val="14"/>
                <w:szCs w:val="14"/>
                <w:b w:val="1"/>
                <w:bCs w:val="1"/>
                <w:color w:val="auto"/>
              </w:rPr>
              <w:t>Commission File Number: 001-40950</w:t>
            </w:r>
          </w:p>
        </w:tc>
        <w:tc>
          <w:tcPr>
            <w:tcW w:w="3480" w:type="dxa"/>
            <w:vAlign w:val="bottom"/>
          </w:tcPr>
          <w:p>
            <w:pPr>
              <w:spacing w:after="0"/>
              <w:rPr>
                <w:sz w:val="16"/>
                <w:szCs w:val="16"/>
                <w:color w:val="auto"/>
              </w:rPr>
            </w:pPr>
          </w:p>
        </w:tc>
      </w:tr>
      <w:tr>
        <w:trPr>
          <w:trHeight w:val="350"/>
        </w:trPr>
        <w:tc>
          <w:tcPr>
            <w:tcW w:w="7760" w:type="dxa"/>
            <w:vAlign w:val="bottom"/>
          </w:tcPr>
          <w:p>
            <w:pPr>
              <w:jc w:val="center"/>
              <w:ind w:left="3415"/>
              <w:spacing w:after="0" w:line="350" w:lineRule="exact"/>
              <w:rPr>
                <w:sz w:val="20"/>
                <w:szCs w:val="20"/>
                <w:color w:val="auto"/>
              </w:rPr>
            </w:pPr>
            <w:r>
              <w:rPr>
                <w:rFonts w:ascii="Times New Roman" w:cs="Times New Roman" w:eastAsia="Times New Roman" w:hAnsi="Times New Roman"/>
                <w:sz w:val="32"/>
                <w:szCs w:val="32"/>
                <w:b w:val="1"/>
                <w:bCs w:val="1"/>
                <w:color w:val="auto"/>
              </w:rPr>
              <w:t>The Vita Coco Company, Inc.</w:t>
            </w:r>
          </w:p>
        </w:tc>
        <w:tc>
          <w:tcPr>
            <w:tcW w:w="3480" w:type="dxa"/>
            <w:vAlign w:val="bottom"/>
          </w:tcPr>
          <w:p>
            <w:pPr>
              <w:spacing w:after="0"/>
              <w:rPr>
                <w:sz w:val="24"/>
                <w:szCs w:val="24"/>
                <w:color w:val="auto"/>
              </w:rPr>
            </w:pPr>
          </w:p>
        </w:tc>
      </w:tr>
      <w:tr>
        <w:trPr>
          <w:trHeight w:val="190"/>
        </w:trPr>
        <w:tc>
          <w:tcPr>
            <w:tcW w:w="7760" w:type="dxa"/>
            <w:vAlign w:val="bottom"/>
          </w:tcPr>
          <w:p>
            <w:pPr>
              <w:jc w:val="center"/>
              <w:ind w:left="341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80" w:type="dxa"/>
            <w:vAlign w:val="bottom"/>
          </w:tcPr>
          <w:p>
            <w:pPr>
              <w:spacing w:after="0"/>
              <w:rPr>
                <w:sz w:val="16"/>
                <w:szCs w:val="16"/>
                <w:color w:val="auto"/>
              </w:rPr>
            </w:pPr>
          </w:p>
        </w:tc>
      </w:tr>
      <w:tr>
        <w:trPr>
          <w:trHeight w:val="131"/>
        </w:trPr>
        <w:tc>
          <w:tcPr>
            <w:tcW w:w="776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r>
      <w:tr>
        <w:trPr>
          <w:trHeight w:val="563"/>
        </w:trPr>
        <w:tc>
          <w:tcPr>
            <w:tcW w:w="7760" w:type="dxa"/>
            <w:vAlign w:val="bottom"/>
          </w:tcPr>
          <w:p>
            <w:pPr>
              <w:jc w:val="center"/>
              <w:ind w:right="205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80" w:type="dxa"/>
            <w:vAlign w:val="bottom"/>
          </w:tcPr>
          <w:p>
            <w:pPr>
              <w:jc w:val="right"/>
              <w:ind w:right="2344"/>
              <w:spacing w:after="0"/>
              <w:rPr>
                <w:sz w:val="20"/>
                <w:szCs w:val="20"/>
                <w:color w:val="auto"/>
              </w:rPr>
            </w:pPr>
            <w:r>
              <w:rPr>
                <w:rFonts w:ascii="Times New Roman" w:cs="Times New Roman" w:eastAsia="Times New Roman" w:hAnsi="Times New Roman"/>
                <w:sz w:val="16"/>
                <w:szCs w:val="16"/>
                <w:b w:val="1"/>
                <w:bCs w:val="1"/>
                <w:color w:val="auto"/>
              </w:rPr>
              <w:t>11-3713156</w:t>
            </w:r>
          </w:p>
        </w:tc>
      </w:tr>
      <w:tr>
        <w:trPr>
          <w:trHeight w:val="146"/>
        </w:trPr>
        <w:tc>
          <w:tcPr>
            <w:tcW w:w="7760" w:type="dxa"/>
            <w:vAlign w:val="bottom"/>
          </w:tcPr>
          <w:p>
            <w:pPr>
              <w:jc w:val="center"/>
              <w:ind w:right="2035"/>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right="20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760" w:type="dxa"/>
            <w:vAlign w:val="bottom"/>
          </w:tcPr>
          <w:p>
            <w:pPr>
              <w:jc w:val="center"/>
              <w:ind w:right="203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right="20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6"/>
        </w:trPr>
        <w:tc>
          <w:tcPr>
            <w:tcW w:w="7760" w:type="dxa"/>
            <w:vAlign w:val="bottom"/>
          </w:tcPr>
          <w:p>
            <w:pPr>
              <w:jc w:val="center"/>
              <w:ind w:right="2055"/>
              <w:spacing w:after="0"/>
              <w:rPr>
                <w:sz w:val="20"/>
                <w:szCs w:val="20"/>
                <w:color w:val="auto"/>
              </w:rPr>
            </w:pPr>
            <w:r>
              <w:rPr>
                <w:rFonts w:ascii="Times New Roman" w:cs="Times New Roman" w:eastAsia="Times New Roman" w:hAnsi="Times New Roman"/>
                <w:sz w:val="16"/>
                <w:szCs w:val="16"/>
                <w:b w:val="1"/>
                <w:bCs w:val="1"/>
                <w:color w:val="auto"/>
              </w:rPr>
              <w:t>250 Park Avenue South</w:t>
            </w:r>
          </w:p>
        </w:tc>
        <w:tc>
          <w:tcPr>
            <w:tcW w:w="3480" w:type="dxa"/>
            <w:vAlign w:val="bottom"/>
          </w:tcPr>
          <w:p>
            <w:pPr>
              <w:spacing w:after="0"/>
              <w:rPr>
                <w:sz w:val="20"/>
                <w:szCs w:val="20"/>
                <w:color w:val="auto"/>
              </w:rPr>
            </w:pPr>
          </w:p>
        </w:tc>
      </w:tr>
      <w:tr>
        <w:trPr>
          <w:trHeight w:val="284"/>
        </w:trPr>
        <w:tc>
          <w:tcPr>
            <w:tcW w:w="776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rPr>
              <w:t>Seventh Floor</w:t>
            </w:r>
          </w:p>
        </w:tc>
        <w:tc>
          <w:tcPr>
            <w:tcW w:w="3480" w:type="dxa"/>
            <w:vAlign w:val="bottom"/>
          </w:tcPr>
          <w:p>
            <w:pPr>
              <w:spacing w:after="0"/>
              <w:rPr>
                <w:sz w:val="24"/>
                <w:szCs w:val="24"/>
                <w:color w:val="auto"/>
              </w:rPr>
            </w:pPr>
          </w:p>
        </w:tc>
      </w:tr>
      <w:tr>
        <w:trPr>
          <w:trHeight w:val="251"/>
        </w:trPr>
        <w:tc>
          <w:tcPr>
            <w:tcW w:w="7760" w:type="dxa"/>
            <w:vAlign w:val="bottom"/>
          </w:tcPr>
          <w:p>
            <w:pPr>
              <w:ind w:left="2100"/>
              <w:spacing w:after="0"/>
              <w:rPr>
                <w:sz w:val="20"/>
                <w:szCs w:val="20"/>
                <w:color w:val="auto"/>
              </w:rPr>
            </w:pPr>
            <w:r>
              <w:rPr>
                <w:rFonts w:ascii="Times New Roman" w:cs="Times New Roman" w:eastAsia="Times New Roman" w:hAnsi="Times New Roman"/>
                <w:sz w:val="16"/>
                <w:szCs w:val="16"/>
                <w:b w:val="1"/>
                <w:bCs w:val="1"/>
                <w:color w:val="auto"/>
              </w:rPr>
              <w:t>New York NY</w:t>
            </w:r>
          </w:p>
        </w:tc>
        <w:tc>
          <w:tcPr>
            <w:tcW w:w="3480" w:type="dxa"/>
            <w:vAlign w:val="bottom"/>
          </w:tcPr>
          <w:p>
            <w:pPr>
              <w:jc w:val="right"/>
              <w:ind w:right="2524"/>
              <w:spacing w:after="0"/>
              <w:rPr>
                <w:sz w:val="20"/>
                <w:szCs w:val="20"/>
                <w:color w:val="auto"/>
              </w:rPr>
            </w:pPr>
            <w:r>
              <w:rPr>
                <w:rFonts w:ascii="Times New Roman" w:cs="Times New Roman" w:eastAsia="Times New Roman" w:hAnsi="Times New Roman"/>
                <w:sz w:val="16"/>
                <w:szCs w:val="16"/>
                <w:b w:val="1"/>
                <w:bCs w:val="1"/>
                <w:color w:val="auto"/>
              </w:rPr>
              <w:t>10003</w:t>
            </w:r>
          </w:p>
        </w:tc>
      </w:tr>
      <w:tr>
        <w:trPr>
          <w:trHeight w:val="190"/>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right="206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206-0763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8" w:lineRule="exact"/>
        <w:rPr>
          <w:sz w:val="24"/>
          <w:szCs w:val="24"/>
          <w:color w:val="auto"/>
        </w:rPr>
      </w:pPr>
    </w:p>
    <w:p>
      <w:pPr>
        <w:ind w:left="1700"/>
        <w:spacing w:after="0"/>
        <w:tabs>
          <w:tab w:leader="none" w:pos="4940" w:val="left"/>
          <w:tab w:leader="none" w:pos="738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32" w:lineRule="exact"/>
        <w:rPr>
          <w:sz w:val="24"/>
          <w:szCs w:val="24"/>
          <w:color w:val="auto"/>
        </w:rPr>
      </w:pPr>
    </w:p>
    <w:p>
      <w:pPr>
        <w:ind w:left="820"/>
        <w:spacing w:after="0"/>
        <w:tabs>
          <w:tab w:leader="none" w:pos="5340" w:val="left"/>
          <w:tab w:leader="none" w:pos="7780" w:val="left"/>
        </w:tabs>
        <w:rPr>
          <w:sz w:val="20"/>
          <w:szCs w:val="20"/>
          <w:color w:val="auto"/>
        </w:rPr>
      </w:pPr>
      <w:r>
        <w:rPr>
          <w:rFonts w:ascii="Times New Roman" w:cs="Times New Roman" w:eastAsia="Times New Roman" w:hAnsi="Times New Roman"/>
          <w:sz w:val="16"/>
          <w:szCs w:val="16"/>
          <w:b w:val="1"/>
          <w:bCs w:val="1"/>
          <w:color w:val="auto"/>
        </w:rPr>
        <w:t>Common Stock, Par Value $0.01 Per Share</w:t>
      </w:r>
      <w:r>
        <w:rPr>
          <w:sz w:val="20"/>
          <w:szCs w:val="20"/>
          <w:color w:val="auto"/>
        </w:rPr>
        <w:tab/>
      </w:r>
      <w:r>
        <w:rPr>
          <w:rFonts w:ascii="Times New Roman" w:cs="Times New Roman" w:eastAsia="Times New Roman" w:hAnsi="Times New Roman"/>
          <w:sz w:val="16"/>
          <w:szCs w:val="16"/>
          <w:b w:val="1"/>
          <w:bCs w:val="1"/>
          <w:color w:val="auto"/>
        </w:rPr>
        <w:t>COCO</w:t>
      </w:r>
      <w:r>
        <w:rPr>
          <w:sz w:val="20"/>
          <w:szCs w:val="20"/>
          <w:color w:val="auto"/>
        </w:rPr>
        <w:tab/>
      </w:r>
      <w:r>
        <w:rPr>
          <w:rFonts w:ascii="Times New Roman" w:cs="Times New Roman" w:eastAsia="Times New Roman" w:hAnsi="Times New Roman"/>
          <w:sz w:val="16"/>
          <w:szCs w:val="16"/>
          <w:b w:val="1"/>
          <w:bCs w:val="1"/>
          <w:color w:val="auto"/>
        </w:rPr>
        <w:t>The Nasdaq Stock Market LLC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right="448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100"/>
        <w:spacing w:after="0" w:line="16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87"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w:t>
      </w:r>
      <w:r>
        <w:rPr>
          <w:rFonts w:ascii="Times New Roman" w:cs="Times New Roman" w:eastAsia="Times New Roman" w:hAnsi="Times New Roman"/>
          <w:sz w:val="17"/>
          <w:szCs w:val="17"/>
          <w:color w:val="auto"/>
        </w:rPr>
        <w:t>le</w:t>
      </w:r>
      <w:r>
        <w:rPr>
          <w:rFonts w:ascii="Times New Roman" w:cs="Times New Roman" w:eastAsia="Times New Roman" w:hAnsi="Times New Roman"/>
          <w:sz w:val="13"/>
          <w:szCs w:val="13"/>
          <w:color w:val="auto"/>
        </w:rPr>
        <w:t xml:space="preserv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6" w:lineRule="exact"/>
        <w:rPr>
          <w:sz w:val="24"/>
          <w:szCs w:val="24"/>
          <w:color w:val="auto"/>
        </w:rPr>
      </w:pPr>
    </w:p>
    <w:p>
      <w:pPr>
        <w:ind w:right="320"/>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1" w:lineRule="exact"/>
        <w:rPr>
          <w:sz w:val="24"/>
          <w:szCs w:val="24"/>
          <w:color w:val="auto"/>
        </w:rPr>
      </w:pPr>
    </w:p>
    <w:p>
      <w:pPr>
        <w:ind w:right="220"/>
        <w:spacing w:after="0"/>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150" w:lineRule="exact"/>
        <w:tabs>
          <w:tab w:leader="none" w:pos="1500" w:val="left"/>
        </w:tabs>
        <w:rPr>
          <w:sz w:val="20"/>
          <w:szCs w:val="20"/>
          <w:color w:val="auto"/>
        </w:rPr>
      </w:pPr>
      <w:r>
        <w:rPr>
          <w:rFonts w:ascii="Times New Roman" w:cs="Times New Roman" w:eastAsia="Times New Roman" w:hAnsi="Times New Roman"/>
          <w:sz w:val="13"/>
          <w:szCs w:val="13"/>
          <w:color w:val="auto"/>
        </w:rPr>
        <w:t>statements.</w:t>
      </w:r>
      <w:r>
        <w:rPr>
          <w:sz w:val="20"/>
          <w:szCs w:val="20"/>
          <w:color w:val="auto"/>
        </w:rPr>
        <w:tab/>
      </w:r>
      <w:r>
        <w:rPr>
          <w:rFonts w:ascii="MS PGothic" w:cs="MS PGothic" w:eastAsia="MS PGothic" w:hAnsi="MS PGothic"/>
          <w:sz w:val="13"/>
          <w:szCs w:val="13"/>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any of those error corrections are restatements that required a recovery analysis of incentive-based compensation received by any of the registrant’s executive officers during the relevant</w:t>
      </w:r>
    </w:p>
    <w:p>
      <w:pPr>
        <w:spacing w:after="0" w:line="150" w:lineRule="exact"/>
        <w:tabs>
          <w:tab w:leader="none" w:pos="2980" w:val="left"/>
        </w:tabs>
        <w:rPr>
          <w:sz w:val="20"/>
          <w:szCs w:val="20"/>
          <w:color w:val="auto"/>
        </w:rPr>
      </w:pPr>
      <w:r>
        <w:rPr>
          <w:rFonts w:ascii="Times New Roman" w:cs="Times New Roman" w:eastAsia="Times New Roman" w:hAnsi="Times New Roman"/>
          <w:sz w:val="13"/>
          <w:szCs w:val="13"/>
          <w:color w:val="auto"/>
        </w:rPr>
        <w:t>recovery period pursuant to §240.10D-1(b). .</w:t>
      </w:r>
      <w:r>
        <w:rPr>
          <w:sz w:val="20"/>
          <w:szCs w:val="20"/>
          <w:color w:val="auto"/>
        </w:rPr>
        <w:tab/>
      </w:r>
      <w:r>
        <w:rPr>
          <w:rFonts w:ascii="MS PGothic" w:cs="MS PGothic" w:eastAsia="MS PGothic" w:hAnsi="MS PGothic"/>
          <w:sz w:val="12"/>
          <w:szCs w:val="12"/>
          <w:color w:val="auto"/>
        </w:rPr>
        <w:t>☐</w:t>
      </w:r>
    </w:p>
    <w:p>
      <w:pPr>
        <w:spacing w:after="0" w:line="258" w:lineRule="exact"/>
        <w:rPr>
          <w:sz w:val="24"/>
          <w:szCs w:val="24"/>
          <w:color w:val="auto"/>
        </w:rPr>
      </w:pPr>
    </w:p>
    <w:p>
      <w:pPr>
        <w:spacing w:after="0" w:line="150" w:lineRule="exact"/>
        <w:tabs>
          <w:tab w:leader="none" w:pos="5840" w:val="left"/>
          <w:tab w:leader="none" w:pos="62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aggregate market value of the common equity held by non-affiliates of the registrant (assuming for these purposes, but without conceding, that all executive officers, directors and holders of more than 10% of</w:t>
      </w:r>
    </w:p>
    <w:p>
      <w:pPr>
        <w:ind w:right="140"/>
        <w:spacing w:after="0" w:line="218" w:lineRule="auto"/>
        <w:rPr>
          <w:sz w:val="20"/>
          <w:szCs w:val="20"/>
          <w:color w:val="auto"/>
        </w:rPr>
      </w:pPr>
      <w:r>
        <w:rPr>
          <w:rFonts w:ascii="Times New Roman" w:cs="Times New Roman" w:eastAsia="Times New Roman" w:hAnsi="Times New Roman"/>
          <w:sz w:val="13"/>
          <w:szCs w:val="13"/>
          <w:color w:val="auto"/>
        </w:rPr>
        <w:t>registrant's common stock are affiliates for the purpose of this calculation) as of June 28, 2024, the last business day of the registrant’s most recently completed second fiscal quarter, was approximately $1.1 billion (based on the closing sale price of the registrant’s common stock on that date as reported on the Nasdaq Stock Market).</w:t>
      </w:r>
    </w:p>
    <w:p>
      <w:pPr>
        <w:sectPr>
          <w:pgSz w:w="11900" w:h="16838" w:orient="portrait"/>
          <w:cols w:equalWidth="0" w:num="1">
            <w:col w:w="11240"/>
          </w:cols>
          <w:pgMar w:left="320" w:top="216" w:right="339" w:bottom="821" w:gutter="0" w:footer="0" w:header="0"/>
        </w:sect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82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February 24, 2025, 56,986,193 shares of the registrant's common stock, par value $0.01 per share, were outstanding.</w:t>
      </w:r>
    </w:p>
    <w:p>
      <w:pPr>
        <w:spacing w:after="0" w:line="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2025 Annual Meeting of Stockholders to be filed with the SEC within 120 days after the end of the fiscal year ended December 31, 2024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67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4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06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Selected Financial Data</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7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6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3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20"/>
                <w:szCs w:val="20"/>
                <w:color w:val="auto"/>
              </w:rPr>
            </w:pPr>
          </w:p>
        </w:tc>
        <w:tc>
          <w:tcPr>
            <w:tcW w:w="39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26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1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2"/>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900" w:type="dxa"/>
            <w:vAlign w:val="bottom"/>
            <w:gridSpan w:val="16"/>
          </w:tcPr>
          <w:p>
            <w:pPr>
              <w:ind w:left="440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19685</wp:posOffset>
            </wp:positionV>
            <wp:extent cx="436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38</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38</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56</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2">
            <w:col w:w="9980" w:space="720"/>
            <w:col w:w="5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w:t>
      </w:r>
    </w:p>
    <w:p>
      <w:pPr>
        <w:spacing w:after="0" w:line="2" w:lineRule="exact"/>
        <w:rPr>
          <w:sz w:val="20"/>
          <w:szCs w:val="20"/>
          <w:color w:val="auto"/>
        </w:rPr>
      </w:pPr>
    </w:p>
    <w:p>
      <w:pPr>
        <w:jc w:val="both"/>
        <w:ind w:right="180"/>
        <w:spacing w:after="0" w:line="220" w:lineRule="auto"/>
        <w:rPr>
          <w:sz w:val="20"/>
          <w:szCs w:val="20"/>
          <w:color w:val="auto"/>
        </w:rPr>
      </w:pPr>
      <w:r>
        <w:rPr>
          <w:rFonts w:ascii="Times New Roman" w:cs="Times New Roman" w:eastAsia="Times New Roman" w:hAnsi="Times New Roman"/>
          <w:sz w:val="17"/>
          <w:szCs w:val="17"/>
          <w:color w:val="auto"/>
        </w:rPr>
        <w:t>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w:t>
      </w:r>
    </w:p>
    <w:p>
      <w:pPr>
        <w:spacing w:after="0" w:line="2" w:lineRule="exact"/>
        <w:rPr>
          <w:sz w:val="20"/>
          <w:szCs w:val="20"/>
          <w:color w:val="auto"/>
        </w:rPr>
      </w:pPr>
    </w:p>
    <w:p>
      <w:pPr>
        <w:ind w:right="340"/>
        <w:spacing w:after="0" w:line="208" w:lineRule="auto"/>
        <w:rPr>
          <w:sz w:val="20"/>
          <w:szCs w:val="20"/>
          <w:color w:val="auto"/>
        </w:rPr>
      </w:pPr>
      <w:r>
        <w:rPr>
          <w:rFonts w:ascii="Times New Roman" w:cs="Times New Roman" w:eastAsia="Times New Roman" w:hAnsi="Times New Roman"/>
          <w:sz w:val="18"/>
          <w:szCs w:val="18"/>
          <w:color w:val="auto"/>
        </w:rPr>
        <w:t>“will,”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trends, equity compensation, business strategy, projected costs, plans, prospects, expectations, market growth, new products, supply chain predictions, and our objectives for future operations.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statements, including, but not limited to, the important factors discussed in Part I, Item 1A. “Risk Factors” in this Annual Report on Form 10-K for the fiscal year ended December 31, 2024. The forward-looking statements in this Annual Report on Form 10-K are based upon information available to us as of the date of this Annual Report on Form 10-K, and while we believe such information forms a reasonable basis for such statements, such information</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statements contained in this Annual Report on Form 10-K, whether as a result of any new information, future events or otherwise.</w:t>
      </w:r>
    </w:p>
    <w:p>
      <w:pPr>
        <w:spacing w:after="0" w:line="165" w:lineRule="exact"/>
        <w:rPr>
          <w:sz w:val="20"/>
          <w:szCs w:val="20"/>
          <w:color w:val="auto"/>
        </w:rPr>
      </w:pPr>
    </w:p>
    <w:p>
      <w:pPr>
        <w:ind w:right="360" w:firstLine="486"/>
        <w:spacing w:after="0" w:line="237"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stated or the context requires otherwise, the terms “Vita Coco,” the “Company,” “we,” “us” and “our” refer to The Vita Coco Company, Inc. and its consolidated subsidiaries.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This Annual Report on Form 10-K contains estimates, projections and other information concerning our industry and our business, including data regarding the estimated size of the market, projected growth rates and perceptions and preferences of customers, that we have prepared based on industry publications, reports and other independent sources, each of which is either publicly available without charge or available on a subscription fee basis. None of such information was prepared specifically for us in connection with this filing.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Annual Report on Form 10-K and we believe the industry and market data included in this Annual Report on Form 10-K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Annual Report on Form 10-K involve a number of assumptions and limitations, and you are cautioned not to give undue weight to such information.</w:t>
      </w:r>
    </w:p>
    <w:p>
      <w:pPr>
        <w:spacing w:after="0" w:line="21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Circana, LLC, Custom Research, Total US – Multi Outlet+ with Conv, for the periods ended December 29, 2024 ("Circana US"); and</w:t>
      </w:r>
    </w:p>
    <w:p>
      <w:pPr>
        <w:spacing w:after="0" w:line="240"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Circana, LLC, Total UK Coconut Water Category, Value Sales, 52, Weeks ended December 28, 2024 ("Circana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08" w:right="1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Form 10-K. You should carefully consider these risks and uncertainties when investing in our common stock. The principal risks and uncertainties affecting our business include the following:</w:t>
      </w:r>
    </w:p>
    <w:p>
      <w:pPr>
        <w:spacing w:after="0" w:line="18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reduction in demand for and sales of our coconut water products or a decrease in consumer demand for coconut water generally;</w:t>
      </w:r>
    </w:p>
    <w:p>
      <w:pPr>
        <w:spacing w:after="0" w:line="225" w:lineRule="exact"/>
        <w:rPr>
          <w:rFonts w:ascii="Times New Roman" w:cs="Times New Roman" w:eastAsia="Times New Roman" w:hAnsi="Times New Roman"/>
          <w:sz w:val="18"/>
          <w:szCs w:val="18"/>
          <w:b w:val="1"/>
          <w:bCs w:val="1"/>
          <w:i w:val="1"/>
          <w:iCs w:val="1"/>
          <w:color w:val="auto"/>
        </w:rPr>
      </w:pPr>
    </w:p>
    <w:p>
      <w:pPr>
        <w:ind w:left="660" w:right="3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or interruptions with our supply chain and inflation resulting in an increase in shipping expenses and potential cost increases for our products, adverse impacts on our distributor and retail customers’ ability to deliver our products to market;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forecast and manage our inventory levels;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availability of coconuts or other raw materials that meet our quality standards;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materials used to package our products, and our dependence on our existing suppliers for such materials;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distributors and retail customers for a significant portion of our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in the food and beverage retail industry presents an ongoing threat to the success of our business;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brands and company image;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successfully improve existing products and respond to changes in consumer preferences;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disease outbreaks may disrupt our business, including, among other things, consumption and trade patterns, and our supply chain and production processes;</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make acquisitions and successfully integrate newly acquired businesses or products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or measures taken to address climate change, may negatively affect our business and operations;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ability to retain our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and manufacturing partners compliance with ethical business practices or applicable laws and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international nature of our business;</w:t>
      </w:r>
    </w:p>
    <w:p>
      <w:pPr>
        <w:spacing w:after="0" w:line="238" w:lineRule="exact"/>
        <w:rPr>
          <w:rFonts w:ascii="Times New Roman" w:cs="Times New Roman" w:eastAsia="Times New Roman" w:hAnsi="Times New Roman"/>
          <w:sz w:val="18"/>
          <w:szCs w:val="18"/>
          <w:color w:val="auto"/>
        </w:rPr>
      </w:pPr>
    </w:p>
    <w:p>
      <w:pPr>
        <w:ind w:left="660" w:right="8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sustainability and corporate social responsibility and our status as a public benefit corporation, including any new requirements to public reporting;</w:t>
      </w:r>
    </w:p>
    <w:p>
      <w:pPr>
        <w:spacing w:after="0" w:line="189"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product recalls or regulatory enforcement actions in connection with real or perceived food safety and food-borne illness incidents, other safety concerns or related to advertising inaccuracies, digital marketing practices, or product mislabeling;</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and existing government regulation and legislative changes, both in the United States ("U.S.") and abroad;</w:t>
      </w:r>
    </w:p>
    <w:p>
      <w:pPr>
        <w:spacing w:after="0" w:line="225"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relating to anti-corruption, sanctions, trade, data privacy, data protection, advertising and consumer protection;</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information technology systems, and the risk of failure or inadequacy of such systems and cyberattacks;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financing to achieve our goals;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any indebtedness and comply with the covenants imposed under our existing debt agreements.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0"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2"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previously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pacing w:after="0" w:line="21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source our coconut water from a diversified global network of 17 factories across seven countries supported by thousands of coconut farmers. As we do not own any of these factories, our supply chain is a fixed asset-light model designed to better react to changes in the market or consumer preferences. We also work with co-packers across four countries to support local packaging and repacking of our products and to better service our customers’ needs.</w:t>
      </w:r>
    </w:p>
    <w:p>
      <w:pPr>
        <w:spacing w:after="0" w:line="206" w:lineRule="exact"/>
        <w:rPr>
          <w:sz w:val="20"/>
          <w:szCs w:val="20"/>
          <w:color w:val="auto"/>
        </w:rPr>
      </w:pPr>
    </w:p>
    <w:p>
      <w:pPr>
        <w:jc w:val="both"/>
        <w:ind w:right="22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35 countries, with our primary markets in North America, the United Kingdom (the "U.K."), and Germany.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markets for private label are North America and Europe. Our products are distributed primarily through club, food, drug, mass, convenience, e-commerce and foodservice channels. Our products are also available in a variety of on-premise locations such as corporate offices, fitness clubs, airports and educational institutions.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43"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Inc., formerly known as All Market Inc., was first incorporated as a Delaware corporation in January 2007 and re-incorporated in Delaware as a public benefit corporation in April 2021. We completed an initial public offering (the "IPO") of our common stock in October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4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 xml:space="preserve">We operate in the functional beverages industry. Our primary brand,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competes in the global coconut and plant waters category.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milk product, which includes our recently launched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is a plant-based dairy alternative and our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brand competes in the enhanced isotonic category. We also develop and sell other brands in the beverage category, and occasionally in other categories, as we test our ideas for expanding our product portfolio. The beverage industry, and specifically the functional beverage categories, are significantly larger than the coconut and plant waters category and provide opportunities for potential growth.</w:t>
      </w:r>
    </w:p>
    <w:p>
      <w:pPr>
        <w:spacing w:after="0" w:line="21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believe per capita consumption of natural beverages is growing as a result of increasing consumer interest in plant-based alternatives and preferences for health-conscious products that have fewer added sugars and artificial ingredients, while providing more nutritional benefits. In addition, we believe that consumer awareness of the negative environmental and social impact of packaged goods has resulted in increased consumer demand for brands that are purpose-driven, take responsibility for their impact on the planet and are focused on sustainable packaging and transparent ethical values. We believe our mission is aligned with the growing demands generated by this consumer behavior.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beverage industry is highly competitive and is constantly evolving in response to ever-changing consumer preferences. Competition is generally based on brand recognition, taste, quality, price, availability, selection and convenience, as well as factors related to corporate responsibility and sustainability.</w:t>
      </w:r>
    </w:p>
    <w:p>
      <w:pPr>
        <w:spacing w:after="0" w:line="202"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 xml:space="preserve">Additionally, we compete within the broad non-alcoholic beverage category, and our flagship brand, </w:t>
      </w:r>
      <w:r>
        <w:rPr>
          <w:rFonts w:ascii="Times New Roman" w:cs="Times New Roman" w:eastAsia="Times New Roman" w:hAnsi="Times New Roman"/>
          <w:sz w:val="17"/>
          <w:szCs w:val="17"/>
          <w:i w:val="1"/>
          <w:iCs w:val="1"/>
          <w:color w:val="auto"/>
        </w:rPr>
        <w:t>Vita Coco</w:t>
      </w:r>
      <w:r>
        <w:rPr>
          <w:rFonts w:ascii="Times New Roman" w:cs="Times New Roman" w:eastAsia="Times New Roman" w:hAnsi="Times New Roman"/>
          <w:sz w:val="17"/>
          <w:szCs w:val="17"/>
          <w:color w:val="auto"/>
        </w:rPr>
        <w:t>, is the market leader in the coconut water category in the U.S. Our competitors in the beverage market include large beverage companies such as The Coca-Cola Company, PepsiCo, Inc. and Nestlé S.A. that may have substantially greater financial resources and stronger brand recognition than we have. We also compete with other leading functional beverages including Goya, Harmless Harvest, Foco, BodyArmor, Monster Energy, Red Bull, Bang, Ocean Spray and Bai, as well as a range of</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emerging brands and retailers’ own private label beverage brands. Our competition and competitors vary by market due to regional brands and taste preferences.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a leading supplier of private label coconut water, and we compete with other private label suppliers for that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 xml:space="preserve">As of December 31, 2024, we operated in two business segments: (i) the Americas segment, comprised of our operations primarily in the U.S. and Canada; and (ii) the International segment, comprised of operations primarily in Europe, the Middle East, Africa and the Asia Pacific regions. While 96% of our business is based on sales of coconut water, we have used our access to market to add other beverage brands, and production innovations such as </w:t>
      </w: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Treats, with a long-term view to building a diversified beverage platform of compatible brands.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Vita Coco</w:t>
      </w:r>
    </w:p>
    <w:p>
      <w:pPr>
        <w:spacing w:after="0" w:line="254"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With the launch of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in New York City in 2004, we established coconut water as a premium lifestyle drink in America. </w:t>
      </w:r>
      <w:r>
        <w:rPr>
          <w:rFonts w:ascii="Times New Roman" w:cs="Times New Roman" w:eastAsia="Times New Roman" w:hAnsi="Times New Roman"/>
          <w:sz w:val="18"/>
          <w:szCs w:val="18"/>
          <w:i w:val="1"/>
          <w:iCs w:val="1"/>
          <w:color w:val="auto"/>
        </w:rPr>
        <w:t>Vita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Coco </w:t>
      </w:r>
      <w:r>
        <w:rPr>
          <w:rFonts w:ascii="Times New Roman" w:cs="Times New Roman" w:eastAsia="Times New Roman" w:hAnsi="Times New Roman"/>
          <w:sz w:val="18"/>
          <w:szCs w:val="18"/>
          <w:color w:val="auto"/>
        </w:rPr>
        <w:t>is the coconut water category leader with greater than 40% market share in the U.S. according to Circana US for the 52 weeks ended December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which over indexes to younger households and to more multicultural shoppers.</w:t>
      </w:r>
    </w:p>
    <w:p>
      <w:pPr>
        <w:spacing w:after="0" w:line="180"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offer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as an alternative to sugar-packed sports drinks and other less healthy alternatives.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has evolved from a primarily pure coconut water brand to a full portfolio of coconut-based products. The portfolio now includes multiple offerings in the coconut water category with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Pressed,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Juice, and Farmers Organic, with offerings in adjacent plant-based categories such as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MLK, 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w:t>
      </w:r>
    </w:p>
    <w:p>
      <w:pPr>
        <w:spacing w:after="0" w:line="204"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 xml:space="preserve">Our key strategies for growth for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include: 1) expanding the coconut water category through consumer education of the numerous usage occasions for coconut water, 2) increasing distribution of other product offerings such as Farmers Organic,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Juice, and launching new product innovations, such as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3) expanding the number of households that purchase our products, 4) growing opportunities for new usage generally, and 5) developing and expanding our markets globally.</w:t>
      </w:r>
    </w:p>
    <w:p>
      <w:pPr>
        <w:spacing w:after="0" w:line="204"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 xml:space="preserve">Internationally, our business is anchored by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’s presence in the U.K., where it is the coconut water category leader with 82% market share, according to Circana UK, for the 52 weeks ended December 28, 2024. Our U.K. commercial team and our supply chain based in Asia have allowed us to sell into other European and Asian countries.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has a presence in key markets such as China, France, Germany, the Middle East, the Benelux region, Spain, the Nordic Region and Africa.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Label</w:t>
      </w:r>
    </w:p>
    <w:p>
      <w:pPr>
        <w:spacing w:after="0" w:line="24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We expanded into private label coconut water in 2016 as a way to develop stronger ties with select, strategic retail partners and improve our operating scale. Our coconut water private label offering increases the scale and efficiency of our coconut water supply chain, and also provides us with a share of the value segment, without diluting our own brand. We also supply retailers with private label coconut oil.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PWR LIFT</w:t>
      </w:r>
    </w:p>
    <w:p>
      <w:pPr>
        <w:spacing w:after="0" w:line="24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In 2021, we launched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beverage targeted at post-workout and recovery occasions with added nutritional benefits.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is a protein-infused sports drink with electrolytes, BCAAs, and zero sugar, designed to provide fitness-minded consumers with protein in a hydrating beverage. In 2022 and 2023, we tested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in Arizona and Texas, while also establishing the brand within fast-growing fitness spaces like HYROX and Spartan. In early 2024,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expanded testing to the New York City metro area. While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has proved to be attractive in online sales channels, we are still forming a successful long-term approach to retail channels. As the protein drink category continues to grow,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will focus growing the consumer base and appeal of the brand through communicating lifestyle occasions and by messaging the broad variety of benefits that protein and hydration have to offer health-seeking consumers. In 2025, we will continue online sales as we redesign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's approach to succeeding in the protein drink category.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 &amp; Ever</w:t>
      </w:r>
    </w:p>
    <w:p>
      <w:pPr>
        <w:spacing w:after="0" w:line="241" w:lineRule="exact"/>
        <w:rPr>
          <w:sz w:val="20"/>
          <w:szCs w:val="20"/>
          <w:color w:val="auto"/>
        </w:rPr>
      </w:pPr>
    </w:p>
    <w:p>
      <w:pPr>
        <w:ind w:right="3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Launched in 2019,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is a purified water brand packaged solely in aluminum bottles. Given consumer concerns with the disposal or recyclability of plastic water bottles, we created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to respond to the consumer</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need for a sustainably packaged water product in aluminum bottles with potential infinite recyclability.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was launched with a focus on the food service and office channels. We paused production of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in 2024 and are evaluating whether to discontinue the product, as it does not meaningfully contribute to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Runa</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Runa </w:t>
      </w:r>
      <w:r>
        <w:rPr>
          <w:rFonts w:ascii="Times New Roman" w:cs="Times New Roman" w:eastAsia="Times New Roman" w:hAnsi="Times New Roman"/>
          <w:sz w:val="18"/>
          <w:szCs w:val="18"/>
          <w:color w:val="auto"/>
        </w:rPr>
        <w:t>was a guayusa plant-based, natural offering for consumers in the energy drink market. As of December 2023, we ceased offering this brand.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engage contract manufacturers, co-packers and third-party logistics providers to manufacture and distribute our products. Our fixed asset-light model enhances production flexibility and capacity, and enables us to focus on our core in-house capabilities which include supplier management, logistics, sales and marketing, brand management and customer service. Our well-diversified global manufacturing network spans across 17 coconut water factories in seven countries that are operated by our manufacturing partners and six co-packing facilities in four countries for products not packaged near source. Our network provides us with significant production capacity and capabilities, and an ability to re-allocate coconut water sourcing in the event of supply chain issues, weather, logistics or other macroeconomic impacts.</w:t>
      </w:r>
    </w:p>
    <w:p>
      <w:pPr>
        <w:spacing w:after="0" w:line="21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Coconut water needs to be transferred from the coconut into an aseptic package or converted to concentrate within hours of cutting a coconut from the tree. Our supply chain partners are positioned as close to the coconut growing regions as possible to keep quality at the highest level. Through our access and relationships with coconut processors and manufacturers in many countries, including the Philippines, Indonesia, Malaysia, Thailand, Sri Lanka, Brazil, and Vietnam, we have built a unique body of knowledge and relationships that promote coconut water processing at scale, as well as gained access to farms across diversified geographies. Our co-packing facilities, which primarily use concentrate, are located in Canada, Mexico, the U.S., and the U.K. We also attempt to foster a thriving loyal farming community around our manufacturing partners through our work with charitable organizations to support agricultural education programs and investments in schooling. This community outreach has strengthened our long-term manufacturing relationships and we believe will support our capacity needs for future growth.</w:t>
      </w:r>
    </w:p>
    <w:p>
      <w:pPr>
        <w:spacing w:after="0" w:line="201"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Raw materials used in our business and by our co-packers consist of ingredients and packaging materials purchased from local, regional and international suppliers. The principal ingredients and packaging include coconut water, Tetra Paks and caps, cardboard cartons, PET bottles, and aluminum bottles and cans. We work with our contract manufacturing partners to purchase our raw ingredients from local suppliers in accordance with rigorous standards to assure responsible sourcing, quality and safety. The majority of our products are produced and packaged with materials sourced from a single supplier, Tetra Pak, whether purchased by us or by our contract manufacturers on our behalf, which provides us efficiency in the packaging and exporting of our products, and furthers our commitment to responsible sourcing, packaging near source and sustainability. Our production contracts are mostly denominated in U.S. dollars, with some limited contracts in local currencies such as the Brazilian real.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Sales and Marketing</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beverages and other products are sold in club stores, supermarkets, convenience stores, drug stores, and e-commerce websites, as well as other</w:t>
      </w:r>
    </w:p>
    <w:p>
      <w:pPr>
        <w:spacing w:after="0" w:line="48"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outlets. Our products are typically shipped directly from our contract manufacturing partners to a network of third-party warehouses located in our selling markets. We go to market in North America through various distribution channels, including a Direct Store Delivery distribution network ("DSD"), Direct-to-Warehouse network ("DTW"), broadline distributors, and our own Direct-to-Consumer ("DTC") channel. We match the customers' needs with the right route to market providing us flexibility for our established brands and for our innovations. Outside of North America, we use a combination of DTW, importers and distributors depending on the needs of the market.</w:t>
      </w:r>
    </w:p>
    <w:p>
      <w:pPr>
        <w:spacing w:after="0" w:line="21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 xml:space="preserve">Our European market is primarily retail and e-commerce operator direct sales, with some countries supported by distributor or importer type relationships. In China, we sell through a joint venture with the Jebsen Group, Coco Ventures Limited, which provides for the development, marketing, distribution and branding of coconut water-based products under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in China. Other countries are serviced through importers with limited retail direct relationships or in partnership with one of our manufacturing partners through licensing or other agreements.</w:t>
      </w:r>
    </w:p>
    <w:p>
      <w:pPr>
        <w:spacing w:after="0" w:line="20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employ a dedicated global sales and commercial team. In the Americas, the sales team focuses on three main areas: (i) DSD management, (ii) national account management (including club, mass food and convenience), and (iii) retail execution. Our International sales teams are aligned geographically and by major account or by import partner, and is further supported by small field execution and marketing teams. Private label accounts are handled by each geographic division in close cooperation with supply chain leadership. Our Coco Ventures joint venture supports sales and marketing of our distributor in China.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also employ a brand, marketing, e-commerce and insights team with strong creative, social and digital capabilities with a primary focus on the North American and European markets. Our marketing efforts are centered around educating consumers on the functional benefits of our products while fostering a deep emotional connection with our brands. From the beginning, we have been supported by a diverse group of celebrity and athlete enthusiasts. Today, we continue to collaborate with talent and influencers who we believe share our values and are authentic fans of our brands. We execute across a broad marketing mix to bring our brand to life in creative and engaging ways, ensuring we connect with our audience in genuine and meaningful ways.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3"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As is typical in the beverage industry, sales of our beverages are seasonal, with the highest sales volumes generally occurring in the second and third fiscal quarters during the warmer months of the year in our major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Innovation</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engage in research and development activities and invest in innovation globally with the goal of creating products using natural, functional ingredients. We have years of expertise working with plant-based ingredients to deliver products to meet the needs of our customers. We balance our innovation priorities between adding functionality and taste to existing brands and researching and developing new products and brands for new occasions, need states or specific retailer opportunities.</w:t>
      </w:r>
    </w:p>
    <w:p>
      <w:pPr>
        <w:spacing w:after="0" w:line="208" w:lineRule="exact"/>
        <w:rPr>
          <w:sz w:val="20"/>
          <w:szCs w:val="20"/>
          <w:color w:val="auto"/>
        </w:rPr>
      </w:pPr>
    </w:p>
    <w:p>
      <w:pPr>
        <w:ind w:right="420" w:firstLine="648"/>
        <w:spacing w:after="0" w:line="245" w:lineRule="auto"/>
        <w:rPr>
          <w:sz w:val="20"/>
          <w:szCs w:val="20"/>
          <w:color w:val="auto"/>
        </w:rPr>
      </w:pPr>
      <w:r>
        <w:rPr>
          <w:rFonts w:ascii="Times New Roman" w:cs="Times New Roman" w:eastAsia="Times New Roman" w:hAnsi="Times New Roman"/>
          <w:sz w:val="18"/>
          <w:szCs w:val="18"/>
          <w:color w:val="auto"/>
        </w:rPr>
        <w:t>Our global innovation function sits in the marketing team to ensure alignment with current brand initiatives and sharing of consumer insights across teams and markets. The innovation team works closely with our internal global research and development and technical teams that include employees in the U.S., Europe and Singapore focused on supplier capability, quality improvements and new processes. We also have strong supplier relationships that give us access to a broad scope of ingredients, packaging offerings and technologies.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3" w:lineRule="exact"/>
        <w:rPr>
          <w:sz w:val="20"/>
          <w:szCs w:val="20"/>
          <w:color w:val="auto"/>
        </w:rPr>
      </w:pPr>
    </w:p>
    <w:p>
      <w:pPr>
        <w:jc w:val="both"/>
        <w:ind w:right="80" w:firstLine="648"/>
        <w:spacing w:after="0" w:line="242" w:lineRule="auto"/>
        <w:rPr>
          <w:sz w:val="20"/>
          <w:szCs w:val="20"/>
          <w:color w:val="auto"/>
        </w:rPr>
      </w:pPr>
      <w:r>
        <w:rPr>
          <w:rFonts w:ascii="Times New Roman" w:cs="Times New Roman" w:eastAsia="Times New Roman" w:hAnsi="Times New Roman"/>
          <w:sz w:val="18"/>
          <w:szCs w:val="18"/>
          <w:color w:val="auto"/>
        </w:rPr>
        <w:t>We own domestic and international trademarks and other proprietary rights that are important to our business. We view our primary trademark to be VITA COCO. We have a global approach to protecting our trademarks, designs, patents and other intellectual property rights. We believe the protection of our trademarks, designs, copyrights, patents, domain names, trade dress and trade secrets are important to our success.</w:t>
      </w:r>
    </w:p>
    <w:p>
      <w:pPr>
        <w:spacing w:after="0" w:line="21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2024, we had over 20 registered trademarks and over five pending trademark applications in the U.S., as well as over 230 registered trademarks and over 10 pending trademark applications in other countries. Depending upon the jurisdiction, trademarks are valid as long as they are in use and/or their registrations are properly maintained.</w:t>
      </w:r>
    </w:p>
    <w:p>
      <w:pPr>
        <w:spacing w:after="0" w:line="204"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We consider information related to formulas, processes, know-how and methods used in our production and manufacturing as proprietary and endeavor to maintain them as trade secrets. We have reasonable measures in place to keep the above-mentioned items, as well as our business and marketing plans, customer lists and contracts reasonably protected.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Our products are regulated in the U.S. as conventional foods. We, along with our distributors and manufacturing and co-packing partners, are subject to extensive laws and regulations in the U.S. by federal, state and local government authorities including, among others, the U.S. Federal Trade Commission ("FTC"), the U.S. Food and Drug Administration ("FDA"), the U.S. Department of Agriculture, the U.S. Environmental Protection Agency ("EPA") and the U.S. Occupational Safety and Health Administration and similar state and local agencies. Among other things, the facilities in which our products and ingredients are manufactured must register with the FDA, comply with current good manufacturing practices and other standard requirements applicable to the production and distribution of conventional food products. We and our manufacturing and co-packing partners are also subject to similar requirements in foreign jurisdictions in which we operate. These types of requirements include: product standards; product safety and reporting; marketing, sales, and distribution; packaging and labeling requirements; nutritional and health claims; advertising and promotion; import and export restrictions; and tariff regulations, duties, and tax requirements.</w:t>
      </w:r>
    </w:p>
    <w:p>
      <w:pPr>
        <w:spacing w:after="0" w:line="21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Products that do not comply with applicable governmental or third-party regulations and standards may be considered adulterated or misbranded and subject, but not limited to, warning or untitled letters, product withdrawals or</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recalls, product seizures, relabeling or repackaging, total or partial suspensions of manufacturing or distribution, import holds, injunctions, fines, civil penalties or criminal prosecution. In addition, some of our products are produced and marketed under contract as part of special certification programs such as organic, kosher or non-GMO, and must comply with the strict standards of federal, state and third-party certifying organizations.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Benefit Corporation Status and Corporate Social Responsibility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operate as a Delaware public benefit corporation, and, therefore, our operational decision-making goes beyond solely maximizing shareholder</w:t>
      </w:r>
    </w:p>
    <w:p>
      <w:pPr>
        <w:spacing w:after="0" w:line="36" w:lineRule="exact"/>
        <w:rPr>
          <w:sz w:val="20"/>
          <w:szCs w:val="20"/>
          <w:color w:val="auto"/>
        </w:rPr>
      </w:pPr>
    </w:p>
    <w:p>
      <w:pPr>
        <w:jc w:val="both"/>
        <w:ind w:right="200"/>
        <w:spacing w:after="0"/>
        <w:rPr>
          <w:sz w:val="20"/>
          <w:szCs w:val="20"/>
          <w:color w:val="auto"/>
        </w:rPr>
      </w:pPr>
      <w:r>
        <w:rPr>
          <w:rFonts w:ascii="Times New Roman" w:cs="Times New Roman" w:eastAsia="Times New Roman" w:hAnsi="Times New Roman"/>
          <w:sz w:val="18"/>
          <w:szCs w:val="18"/>
          <w:color w:val="auto"/>
        </w:rPr>
        <w:t>value. Our public benefit purpose, as provided in our certificate of incorporation, is harnessing, while protecting, nature’s resources for the betterment of the world and its habitants by creating ethical, sustainable, better-for-you beverages and consumer products that not only uplift our communities, but that do right by our planet. Furthermore, in order to advance the best interests of those materially affected by the corporation’s conduct, it is intended that our business and operations create a material positive impact on society, taken as a whole.</w:t>
      </w:r>
    </w:p>
    <w:p>
      <w:pPr>
        <w:spacing w:after="0" w:line="21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 2022, The Vita Coco Company, Inc. was designated as a Certified B Corporation, a certification reserved for businesses that balance profit and purpose to meet the highest verified standards of social and environmental performance, public transparency and legal accountability. Through achieving Certified B Corporation status, The Vita Coco Company, Inc. joined its subsidiary, All Market Europe Ltd., a U.K. company, which had previously achieved Certified B Corporation status.</w:t>
      </w:r>
    </w:p>
    <w:p>
      <w:pPr>
        <w:spacing w:after="0" w:line="20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We believe that we bring our products to market through a responsibly designed supply chain, and provide farmers and manufacturers the partnership, investment and training they need to not only reduce waste and environmental impact, but also bring income and opportunity to their local communities. In 2014, we created the Vita Coco Project to support and empower our coconut farming communities by encouraging innovative farming practices, improving educational resources, and scaling our business to promote economic prosperity. With our impact driven philosophy, we seek to contribute to educational programs and facilities by supporting initiatives to build new classrooms and fund scholarships, with a goal to impact the lives of people in these communities. Additionally, we attempt to partner with other third-party organizations that share and advance our ideals, including fair trade, accessible nutrition and wellness, and environmental responsibility.</w:t>
      </w:r>
    </w:p>
    <w:p>
      <w:pPr>
        <w:spacing w:after="0" w:line="19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believe this purpose-driven approach has aided our growth as we believe it is strategically aligned with the beliefs of our global consumer base and has improved our supplier relationships. To further support our public benefit purpose and impact driven philosophy, we formed the Vita Coco Community Foundation, a standalone, 501(c)(3) nonprofit organization, in December 2023.</w:t>
      </w:r>
    </w:p>
    <w:p>
      <w:pPr>
        <w:spacing w:after="0" w:line="204"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Annually, we publish an Impact Report describing the environmental and social impacts of our business. As a public benefit corporation, we are required by Delaware law to provide a biennial statement on our promotion of the public benefits identified in our certificate of incorporation and of the best interests of those materially affected by the corporation's conduct. We intend to use the Impact Report to be issued later this year as such biennial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319 full-time employees. Of these employees, 234 were employed in the U.S. None of these employees are represented by labor unions or covered by collective bargaining agreements. We have never experienced a labor-related work stoppage.</w:t>
      </w:r>
    </w:p>
    <w:p>
      <w:pPr>
        <w:spacing w:after="0" w:line="189"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Our people are at the heart of our business. Our Board of Directors (the "Board") provides oversight of the policies and procedures relating to talent, leadership, culture and compensation plans for our Executive Chairman and Chief Executive Officer. The Compensation Committee evaluates and approves the compensation plans for our executive officers. We believe that we have been able to attract diverse and highly engaged employees who share our belief in our mission and further promote our inclusive company culture. To monitor the health of our human capital resources, we track turnover, perform exit interviews, conduct periodic employee surveys, hold quarterly town halls with open question and answer sessions, and conduct performance reviews and build development plans to assist each employee achieve their potential. Based on exit interviews and employee surveys, we identify opportunities for improvement in our processes and track our employee engagement levels. We award equity grants with vesting based on continued employment to eligible employees in order to motivate retention and align our employees with our other shareholders.</w:t>
      </w:r>
    </w:p>
    <w:p>
      <w:pPr>
        <w:spacing w:after="0" w:line="21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promote and value a diverse, equitable and inclusive culture for our employees. Our Diversity and Inclusivity Committee works to celebrate all our employees, educate and recommend improvements to our processes to enhance our organization and our culture. As of December 31, 2024, approximately 50% of our employees in our global workforce identified as female, 50% identified as male, and 0% did not disclose their gender identity. In addition, at the end of 2024, approximately 30% of our employees identified as Black, Indigenous and/or People of Color or two or more races, 40%</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as white, and 30% did not disclose their race. We strive to reflect the diverse identities and cultures of our consumers.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Vita Coco Company, Inc. was incorporated in Delaware as a corporation in January 2007 and as a public benefit corporation in April 2021.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an IPO of our common stock in October 2021.</w:t>
      </w:r>
    </w:p>
    <w:p>
      <w:pPr>
        <w:spacing w:after="0" w:line="16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7"/>
          <w:szCs w:val="17"/>
          <w:color w:val="auto"/>
        </w:rPr>
        <w:t>Our website is www.thevitacococompany.com. At our Investor Relations website, investors.thevitacococompany.com, we make available, free of charge, a variety of information for investors, including our annual reports on Form 10-K, quarterly reports on Form 10-Q, current reports on Form 8-K and</w:t>
      </w:r>
    </w:p>
    <w:p>
      <w:pPr>
        <w:ind w:right="540"/>
        <w:spacing w:after="0" w:line="226" w:lineRule="auto"/>
        <w:rPr>
          <w:sz w:val="20"/>
          <w:szCs w:val="20"/>
          <w:color w:val="auto"/>
        </w:rPr>
      </w:pPr>
      <w:r>
        <w:rPr>
          <w:rFonts w:ascii="Times New Roman" w:cs="Times New Roman" w:eastAsia="Times New Roman" w:hAnsi="Times New Roman"/>
          <w:sz w:val="18"/>
          <w:szCs w:val="18"/>
          <w:color w:val="auto"/>
        </w:rPr>
        <w:t>any amendments to those reports, as soon as reasonably practicable after we electronically file that material with or furnish it to the Securities and Exchange Commission (the "SEC"). The information found on our website is not part of this or any other report we file with, or furnish to, the SEC.</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7"/>
          <w:szCs w:val="17"/>
          <w:i w:val="1"/>
          <w:iCs w:val="1"/>
          <w:color w:val="auto"/>
        </w:rPr>
        <w:t>Our business involves a high degree of risk. You should carefully consider the risks and uncertainties described below, together with all of the other information in this Annual Report on Form 10-K. This section contains forward-looking statements. You should refer to the explanation of the qualifications and limitations on forward-looking statements set forth below the Summary Risk Factors of this Annual Report on Form 10-K. The risks and</w:t>
      </w:r>
    </w:p>
    <w:p>
      <w:pPr>
        <w:spacing w:after="0" w:line="2" w:lineRule="exact"/>
        <w:rPr>
          <w:sz w:val="20"/>
          <w:szCs w:val="20"/>
          <w:color w:val="auto"/>
        </w:rPr>
      </w:pPr>
    </w:p>
    <w:p>
      <w:pPr>
        <w:ind w:right="460"/>
        <w:spacing w:after="0" w:line="208" w:lineRule="auto"/>
        <w:rPr>
          <w:sz w:val="20"/>
          <w:szCs w:val="20"/>
          <w:color w:val="auto"/>
        </w:rPr>
      </w:pPr>
      <w:r>
        <w:rPr>
          <w:rFonts w:ascii="Times New Roman" w:cs="Times New Roman" w:eastAsia="Times New Roman" w:hAnsi="Times New Roman"/>
          <w:sz w:val="18"/>
          <w:szCs w:val="18"/>
          <w:i w:val="1"/>
          <w:iCs w:val="1"/>
          <w:color w:val="auto"/>
        </w:rPr>
        <w:t>uncertainties described below are not the only ones we face. Additional risk and uncertainties not presently known to us or that we currently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w:t>
      </w:r>
    </w:p>
    <w:p>
      <w:pPr>
        <w:spacing w:after="0" w:line="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accomplish our strategic objectives. In that event, the market price of our common stock could decline and you could lose part or all of your investment.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00" w:lineRule="exact"/>
        <w:rPr>
          <w:sz w:val="20"/>
          <w:szCs w:val="20"/>
          <w:color w:val="auto"/>
        </w:rPr>
      </w:pPr>
    </w:p>
    <w:p>
      <w:pPr>
        <w:spacing w:after="0" w:line="33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Sales of our coconut water products constitute a significant portion of our revenue, and a reduction in demand for our coconut water products or a decrease in consumer demand for coconut water generally would have an adverse effect on our financial condition.</w:t>
      </w:r>
    </w:p>
    <w:p>
      <w:pPr>
        <w:spacing w:after="0" w:line="172" w:lineRule="exact"/>
        <w:rPr>
          <w:sz w:val="20"/>
          <w:szCs w:val="20"/>
          <w:color w:val="auto"/>
        </w:rPr>
      </w:pPr>
    </w:p>
    <w:p>
      <w:pPr>
        <w:jc w:val="both"/>
        <w:ind w:right="380" w:firstLine="648"/>
        <w:spacing w:after="0" w:line="216" w:lineRule="auto"/>
        <w:rPr>
          <w:sz w:val="20"/>
          <w:szCs w:val="20"/>
          <w:color w:val="auto"/>
        </w:rPr>
      </w:pPr>
      <w:r>
        <w:rPr>
          <w:rFonts w:ascii="Times New Roman" w:cs="Times New Roman" w:eastAsia="Times New Roman" w:hAnsi="Times New Roman"/>
          <w:sz w:val="18"/>
          <w:szCs w:val="18"/>
          <w:color w:val="auto"/>
        </w:rPr>
        <w:t>Our coconut water accounted for 96% of our revenue for the year ended December 31, 2024. We believe that sales of our coconut water will continue to constitute a significant portion of our revenue, income and cash flow for the foreseeable future. Any material negative change to consumer demand for our products or coconut water generally or failure to grow the coconut water category could materially and adversely affect our business,</w:t>
      </w:r>
    </w:p>
    <w:p>
      <w:pPr>
        <w:spacing w:after="0" w:line="1"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financial condition, results of operations and cash flows. We are also subject to the risk of overly relying upon a few large customers (whether serviced directly or through distributors) in a particular market due to the concentration that exists in retail ownership in our key markets and our significant private label business with several large retailers. We cannot be certain that consumer and retail customer demand for our other existing and future products will</w:t>
      </w:r>
    </w:p>
    <w:p>
      <w:pPr>
        <w:spacing w:after="0" w:line="2" w:lineRule="exact"/>
        <w:rPr>
          <w:sz w:val="20"/>
          <w:szCs w:val="20"/>
          <w:color w:val="auto"/>
        </w:rPr>
      </w:pPr>
    </w:p>
    <w:p>
      <w:pPr>
        <w:ind w:right="360"/>
        <w:spacing w:after="0" w:line="220" w:lineRule="auto"/>
        <w:rPr>
          <w:sz w:val="20"/>
          <w:szCs w:val="20"/>
          <w:color w:val="auto"/>
        </w:rPr>
      </w:pPr>
      <w:r>
        <w:rPr>
          <w:rFonts w:ascii="Times New Roman" w:cs="Times New Roman" w:eastAsia="Times New Roman" w:hAnsi="Times New Roman"/>
          <w:sz w:val="17"/>
          <w:szCs w:val="17"/>
          <w:color w:val="auto"/>
        </w:rPr>
        <w:t>expand to reduce this reliance on coconut water and allow such products to represent a larger percentage of our revenue than they do currently. Accordingly, any factor adversely affecting demand or sales of our coconut water or coconut water generally or a negative decision by a major retailer, could have a material adverse effect on our business, financial condition, results of operations and cash flows. For example, in 2023, we started the</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discontinuation of the private label coconut water and coconut oil supply relationship with one of our significant customers as the terms required to retain the business were contrary to our long term margin targets. While we continued the supply relationship for a significant portion of their private label coconut water needs in 2024 at the customer's request, we are expecting the loss of further regions that we serviced for this customer during 2024. We will</w:t>
      </w:r>
    </w:p>
    <w:p>
      <w:pPr>
        <w:spacing w:after="0" w:line="2" w:lineRule="exact"/>
        <w:rPr>
          <w:sz w:val="20"/>
          <w:szCs w:val="20"/>
          <w:color w:val="auto"/>
        </w:rPr>
      </w:pPr>
    </w:p>
    <w:p>
      <w:pPr>
        <w:jc w:val="both"/>
        <w:ind w:right="460"/>
        <w:spacing w:after="0" w:line="218" w:lineRule="auto"/>
        <w:rPr>
          <w:sz w:val="20"/>
          <w:szCs w:val="20"/>
          <w:color w:val="auto"/>
        </w:rPr>
      </w:pPr>
      <w:r>
        <w:rPr>
          <w:rFonts w:ascii="Times New Roman" w:cs="Times New Roman" w:eastAsia="Times New Roman" w:hAnsi="Times New Roman"/>
          <w:sz w:val="18"/>
          <w:szCs w:val="18"/>
          <w:color w:val="auto"/>
        </w:rPr>
        <w:t>continue to service their needs if we are asked and it aligns with our long-term margin targets. Generally, private label business is rebid regularly, and adjustments are often made to the regional areas serviced, or a complete transfer of the business to another supplier. These changes can be abrupt and difficult to predict.</w:t>
      </w:r>
    </w:p>
    <w:p>
      <w:pPr>
        <w:spacing w:after="0" w:line="20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encounter problems or interruptions with our supply chain, our costs may increase and our or our customers’ ability to deliver our products to market could be adversely affected, impacting our business and profitability.</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Our supply chain is heavily reliant on third-party partners, and our success is dependent upon our ability to maintain our relationships with</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existing partners and enter into new arrangements in the future. Any changes to the relationships with our existing partners, including deprioritizing or experiencing delays in our production, or terminating the relationship could adversely affect our business. Furthermore, if we need to find an alternative or new manufacturing or co-packing partner, we would need to spend a significant amount of time and resources to ensure the new partner can meet our</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standards for quality control and have the necessary capabilities, responsiveness, high-quality service and financial stability, among other things, that align with our values and mission. We may need to assist that manufacturing or co-packing partner in purchasing and installing packaging and processing capability which may further delay and increase the financial costs of including them in our supply network and increase the financial risk of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Although we do not rely on our co-packing partners for the sourcing of raw materials, we face similar risks related to the operations and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22" w:lineRule="auto"/>
        <w:rPr>
          <w:sz w:val="20"/>
          <w:szCs w:val="20"/>
          <w:color w:val="auto"/>
        </w:rPr>
      </w:pPr>
      <w:r>
        <w:rPr>
          <w:rFonts w:ascii="Times New Roman" w:cs="Times New Roman" w:eastAsia="Times New Roman" w:hAnsi="Times New Roman"/>
          <w:sz w:val="18"/>
          <w:szCs w:val="18"/>
          <w:color w:val="auto"/>
        </w:rPr>
        <w:t>quality of services provided by such partners. If we are unable to manage our supply chain effectively and ensure that our products are available to meet consumer demand, we may not have the ability to pursue our growth strategy, our sales might decrease, and our business, financial condition, results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cash flows may be materially adversely affected.</w:t>
      </w:r>
    </w:p>
    <w:p>
      <w:pPr>
        <w:spacing w:after="0" w:line="205"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independent shipping partners transport our products from the country of origin or from our domestic co-packing partners, which are then received by, and subsequently distributed from our third party warehousing and fulfillment service providers to our distributors and retail-direct customers by our third party transportation partners or customer pickup. We depend in large part on the orderly operation of this receiving and distribution process from these third party partners, which depends, in turn, on timely arrival of products from ports or co-packers, availability of outbound and inbound shipping, real-time tracking information on our products location, and effective operations at the warehouses or distribution centers and the ports through which our products flow. Any increase in transportation costs (including increases in fuel costs), increased shipping costs or shipping transit times, increased warehouse costs, issues with overseas shipments or port or supplier-side delays, reductions in the transportation capacity of carriers, labor strikes or shortages in the transportation industry, disruptions to the national and international transportation infrastructure, decreased warehouse availability including due to labor shortages, and unexpected delivery interruptions or delays may increase the cost of, and adversely impact, our logistics, and our ability to provide quality and timely service to our distributors or retail-direct customers. For example, in 2024 we experienced instability in pricing for ocean freight caused by geopolitical disruption of shipping lanes due to ocean carriers avoiding the Gulf of Aden and the Red Sea, due primarily to concerns that Houthi forces, based in Yemen, may attack freighters. We experienced spot cost increases for ocean freight routes from Asia, and then more significant cost increases when carriers began to route away from the Suez Canal, which also led to challenges in ocean freight availability and transit times, impacting our available inventory. The inability to fulfill or any delays in processing customer or consumer orders from the warehousing or fulfillment centers of our providers, or any quality issues could result in the loss of consumers, retail partners or distributors, or the issuances of penalties, refunds or credits, and may also adversely affect our reputation.</w:t>
      </w:r>
    </w:p>
    <w:p>
      <w:pPr>
        <w:spacing w:after="0" w:line="21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Additionally, external events beyond our control may affect and cause interruptions or delays in our supply chain. Disruptions in operations due to natural or man-made disasters, inclement weather conditions, accidents, system failures, power outages, political instability, physical or cyber break-ins, server failure, work stoppages, slowdowns or strikes by employees, acts of terrorism, the outbreak of viruses, widespread illness, infectious diseases, contagions and the occurrence of unforeseen epidemics and other unforeseen or catastrophic events could damage the facilities of our supply chain partners or render them inoperable, effect the flow of product to and from these centers, or impact our ability to manage our partners, making it difficult or impossible for us to process customer or consumer orders for an extended period of time. We could also incur significantly higher costs and longer lead times during the time it takes for our supply chain to react and normalize.</w:t>
      </w:r>
    </w:p>
    <w:p>
      <w:pPr>
        <w:spacing w:after="0" w:line="22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Furthermore, international instability, including volatility in global oil markets or ongoing geopolitical tensions, may affect our supply chain, impacting our rates and capacity to timely supply our products. As disclosed above, our shipping routes and costs, have been impacted by ocean carriers avoiding the Red Sea and Gulf of Aden, due to concerns that Houthi forces based in Yemen have been attacking freighters. It is hard to predict where ocean freight rates and capacity will be in the future and what long-term rates could be. A significant part of our business relies on shipping prepackaged coconut water from sourcing countries to our countries of sale so we are very dependent on shipping container prices and service levels and cost increases in shipping have materially impacted our financial results in recent years. Due to the price sensitivity of our products, we may not be able to pass such increases on to our customers. Any such disruption or unanticipated event may cause significant interruptions or delays in our business and the reduction or loss of inventory may render us unable to fulfill customer orders in a timely manner, or at all, which could materially adversely affect our business, financial condition, results of operations and cash flows.</w:t>
      </w:r>
    </w:p>
    <w:p>
      <w:pPr>
        <w:spacing w:after="0" w:line="278"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cash flows and results of operations may be negatively affected if we are not successful in predicting demand and managing our inventory at appropriate levels for the demand that we experience.</w:t>
      </w:r>
    </w:p>
    <w:p>
      <w:pPr>
        <w:spacing w:after="0" w:line="185"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Efficient inventory planning and management is a key component of our success and profitability. To be successful, we must maintain sufficient inventory levels to meet our customers’ demands without allowing those levels to increase to such an extent that the costs of holding the products unduly impact our financial results or create obsolete inventory, while ensuring we have adequate inventory to fulfill their needs, if their demand changes unexpectedly.</w:t>
      </w:r>
    </w:p>
    <w:p>
      <w:pPr>
        <w:spacing w:after="0" w:line="20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Maintaining adequate inventory requires significant attention to and monitoring of: market trends, local market demands; performance of our raw material suppliers and manufacturers, our logistics suppliers and distributors; and the collection of data to enable efficient forecasting and inventory management. Although we seek to forecast and plan our product needs sufficiently in advance of anticipated requirements to facilitate reserving production time at our manufacturing and co-packing partners, and arranging for the availability and supply of packaging and ingredient</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materials, our product takes many weeks to arrive at our warehouses from our manufacturing partners, which reduces our flexibility to react to short term or unexpected consumer demand changes and can require planning as much as six months in advance to coordinate all materials for production. As we expand our operations, it may be more difficult to effectively manage our inventory as the complexity increases. In any cases where consumers might not have access to our products, our reputation and brands could be harmed, and consumers may be less likely to recommend our products in the future. If we are not successful in managing our inventory balances, it could have a material adverse effect on our business, financial conditions, results of operations and cash flows.</w:t>
      </w:r>
    </w:p>
    <w:p>
      <w:pPr>
        <w:spacing w:after="0" w:line="203"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future business, financial condition, results of operations and cash flows may be adversely affected by reduced or limited availability of coconuts and other raw materials for our products</w:t>
      </w:r>
      <w:r>
        <w:rPr>
          <w:rFonts w:ascii="Arial" w:cs="Arial" w:eastAsia="Arial" w:hAnsi="Arial"/>
          <w:sz w:val="21"/>
          <w:szCs w:val="21"/>
          <w:color w:val="auto"/>
        </w:rPr>
        <w:t>.</w:t>
      </w:r>
    </w:p>
    <w:p>
      <w:pPr>
        <w:spacing w:after="0" w:line="19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ability to ensure a continuing supply of high-quality coconuts and other raw materials for our products at competitive prices depends on many factors beyond our control. We rely on a limited number of regional manufacturing partners to source and acquire certain of our raw materials and provide us with finished coconut-based products. Our financial performance depends in large part on their ability to arrange for the purchase of raw materials, including coconuts, coconut water and other natural ingredients, in sufficient quantities.</w:t>
      </w:r>
    </w:p>
    <w:p>
      <w:pPr>
        <w:spacing w:after="0" w:line="204"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coconuts from which our products are sourced, and the harvesting and transportation of them to our manufacturing partners, are vulnerable to adverse weather conditions and natural disasters, such as floods, droughts, earthquakes, hurricanes, typhoons, pestilence and other shortages and disease, as well as political events and other conditions which can adversely impact quantity and quality, leading to reduced coconut yields and quality, which in turn could reduce the available supply of, or increase the price of, our raw materials. Our manufacturing partners may have general difficulties in obtaining raw materials, particularly coconut derived products, due to our high quality standards. Our current manufacturing partners operate in the Philippines, Sri Lanka, Malaysia, Thailand, Brazil, Vietnam, and Indonesia, and source coconuts from owned trees and networks of many independent small farmers, while some of our co-packers operate in Canada, Mexico, the U.S., and the U.K. and source co-packing materials from these regions. Thus, while we attempt to mitigate the risk by sourcing in multiple geographic areas, the supply of coconuts and other ingredients and materials may be particularly affected by any adverse events in these countries or regions. Any disruption in the ability of our manufacturing partners to source coconuts or other raw materials from their local suppliers to produce our finished goods would result in lower sales volumes and increased costs, and may have a material adverse effect on our business, financial condition, results of operations and cash flows if the necessary supply cannot be replaced in a timely manner or at all.</w:t>
      </w:r>
    </w:p>
    <w:p>
      <w:pPr>
        <w:spacing w:after="0" w:line="229"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In addition, we also compete with other food and beverage companies in the procurement of coconut materials and other raw materials, and this competition may increase in the future if consumer demand increases for these materials or products containing such materials, and if new or existing competitors increasingly offer products in these market sectors. If supplies of coconut materials and other raw materials that meet our quality standards are reduced or are in greater demand, this could cause our expenses to increase and we or our manufacturing partners may not be able to obtain sufficient supply to meet our needs on favorable terms, or at all.</w:t>
      </w:r>
    </w:p>
    <w:p>
      <w:pPr>
        <w:spacing w:after="0" w:line="208"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Our manufacturing partners and their ability to source coconut materials and other raw materials may also be affected by any changes among farmers in our sourcing countries as to what they choose to grow and harvest, changes in global economic conditions or climate, and our or their ability to forecast or to commit to our raw materials requirements. Many of these farmers also have alternative income opportunities and the relative financial performance of growing coconuts or other raw materials as compared to other potentially more profitable opportunities could affect their interest in working with us or our manufacturing partners. Any of these factors could impact our ability to supply our products to customers and consumers and may adversely affect our business, financial condition,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financial performance is closely tied to our Americas operating segment.</w:t>
      </w:r>
    </w:p>
    <w:p>
      <w:pPr>
        <w:spacing w:after="0" w:line="25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Our financial performance is largely dependent on our Americas operating segment, which accounted for approximately 86% of consolidated total net revenue in fiscal year 2024. Because the Americas segment is more mature and produces the majority of our operating cash flows, any slowdown or decline may adversely affect our business, financial condition, results of operations and cash flow. Our International segment may be unable to make up any significant shortfall if our Americas segment, specifically the U.S. market, were to slow or decline, and our business and financial results could be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existing suppliers for materials used to package our products, the costs of which may be volatile and may rise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addition to purchasing coconut materials and other ingredients, we negotiate the terms and specifications for the purchase of significant quantities of packaging materials and pallets by our manufacturers and co-packing partners from third parties. The majority of our products are produced and packaged with materials sourced from a single supplier, Tetra Pak. While we believe that we may be able to establish alternative supply relationships for some of these materials, we may be unable to do so in the short term, or at all, at prices or quality levels that are acceptable to us, or in packaging that is acceptable to consumers. Further, any such alternative supplier arrangements may lead to increased costs or delays.</w:t>
      </w:r>
    </w:p>
    <w:p>
      <w:pPr>
        <w:spacing w:after="0" w:line="222"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Volatility or inflation in the costs of our packaging materials and other supplies that we or our manufacturing partners purchase could increase our cost of sales and reduce our profitability. Moreover, we may not be able to implement price increases for our products to cover any increased costs, and any price increases we do implement may result in lower sales volumes or lost relationships. If we are not successful in managing our packaging costs, or if we are unable to increase our prices to cover increased costs or if such price increases reduce our sales volumes, then such increases in costs will adversely affect our business, financial condition, results of operations and cash flows.</w:t>
      </w:r>
    </w:p>
    <w:p>
      <w:pPr>
        <w:spacing w:after="0" w:line="20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Further, changes in business conditions, pandemics, governmental regulations and other factors beyond our control that we do not presently anticipate could affect our manufacturing and co-packing partners’ ability to receive components from our existing or future suppliers of such materials or the availability of such components generally. The unavailability of any components for our suppliers could result in production delays and idle manufacturing facilities which may increase our cost of operations and render us unable to fulfill customer orders in a timely manner. In addition, quality issues with packaging materials or packaging processes, could result in the need to replace inventory produced, resulting in increased costs.</w:t>
      </w:r>
    </w:p>
    <w:p>
      <w:pPr>
        <w:spacing w:after="0" w:line="20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distributor and retail customers for most of our sales, and our failure to maintain these relationships or further develop our sales channels could harm our business, financial condition, results of operations and cash flows.</w:t>
      </w:r>
    </w:p>
    <w:p>
      <w:pPr>
        <w:spacing w:after="0" w:line="198" w:lineRule="exact"/>
        <w:rPr>
          <w:sz w:val="20"/>
          <w:szCs w:val="20"/>
          <w:color w:val="auto"/>
        </w:rPr>
      </w:pPr>
    </w:p>
    <w:p>
      <w:pPr>
        <w:jc w:val="both"/>
        <w:ind w:right="100" w:firstLine="648"/>
        <w:spacing w:after="0" w:line="246" w:lineRule="auto"/>
        <w:rPr>
          <w:sz w:val="20"/>
          <w:szCs w:val="20"/>
          <w:color w:val="auto"/>
        </w:rPr>
      </w:pPr>
      <w:r>
        <w:rPr>
          <w:rFonts w:ascii="Times New Roman" w:cs="Times New Roman" w:eastAsia="Times New Roman" w:hAnsi="Times New Roman"/>
          <w:sz w:val="18"/>
          <w:szCs w:val="18"/>
          <w:color w:val="auto"/>
        </w:rPr>
        <w:t>We derive a significant portion of our revenue from our network of domestic and international distributors and retail customers (whether serviced directly or through distributors), including club stores, major mass merchandisers, online marketplaces such as Amazon, drug store chains, supermarkets, independent pharmacies, health food stores, and other retailers. In addition, our largest distributor customer and the largest retail-direct customer together accounted for approximately 48% of our total net sales as of December 31, 2024. No other customer or distributor represented more than 10% of our total net sales as of December 31, 2024.</w:t>
      </w:r>
    </w:p>
    <w:p>
      <w:pPr>
        <w:spacing w:after="0" w:line="20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 decision by either of our largest retail customer or distributor, or any other major distributor or retail customer, whether motivated by marketing strategy, competitive conditions, financial difficulties or otherwise, to decrease significantly the quantity or breadth of product purchased from us, or to change their manner of doing business with us and their support of our products, could substantially reduce our revenue and have a material adverse effect on our business, financial condition, results of operations and cash flows. For example, as previously disclosed, in 2023 we agreed to start to discontinue the private label coconut water and coconut oil supply relationship with one of our significant customers as the terms required to retain the business were contrary to our long term margin targets. While we continued the supply relationship for a significant portion of their private label coconut water needs in 2024 at the customer's request, we are expecting in 2025 the loss of further regions that we serviced for this customer in 2024. In addition, any store closings or changes in retail strategy by our retail customers, particularly our largest retail customer, could reduce the number of stores or regions carrying our products, or stores may purchase a smaller amount of our products and/or may reduce the retail floor space designated for our products. If any negative change in our relationship with our largest distributor and retail customer or other customers occurs, any other disputes with key customers arose, if we were to lose placement and support of any of our key customers or if any of our key customers consolidate and/or gain greater market power, our business, financial condition, results of operations and cash flows would be materially adversely affected. In addition, we may be similarly adversely impacted if any of our key customers, particularly our largest distributor and retail customer, experience any operational difficulties or generate less traffic.</w:t>
      </w:r>
    </w:p>
    <w:p>
      <w:pPr>
        <w:spacing w:after="0" w:line="21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Although we aim to enter into long-term agreements with distributors, and historically have renewed, amended or extended them as needed, we cannot guarantee that we will be able to maintain or extend these contractual relationships in the future or that we will be able to do so on attractive terms. If any agreement with a key distributor is terminated or if the performance of such distributor deteriorates, we cannot guarantee that we will be able to find suitable replacement partners on favorable terms, or at all. Distributor contracts also may require that we make payments to terminate or upon non-renewal, and there is no guarantee that the parties will agree on payment terms, or that we will be able to recoup such fees from any replacement distributors. We enter into pricing support and promotional arrangements with our distributors to encourage execution and pricing activity on our brands, and in some cases, offer invasion fees when product is shipped directly to a specific retailer in their geographic market. There is no guarantee that these arrangements will be effective, or</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that disputes will not arise as to the sharing of the costs of such activity, which could impact our relationship with the distributors or impose additional costs on us.</w:t>
      </w:r>
    </w:p>
    <w:p>
      <w:pPr>
        <w:spacing w:after="0" w:line="20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We generally do not have long-term contracts or minimum purchase volumes with our retail-direct customers beyond promotional price arrangements, except in cases related to private label supply, and the duration of these relationships and terms are subject to change and adjustment based on the performance of the products and our performance as a supplier of these products. For example, pursuant to the terms of the agreement with our largest retail-direct customer, following the initial term, either party is permitted to terminate the agreement without cause with prior notice, and the agreement is non-exclusive and does not impose any minimum purchase or supply requirements. We seek to maintain the relationships with these customers’ private label brands and be their supplier of choice, but we cannot guarantee that we will maintain our share of this business, nor that the economic terms we will negotiate with such customers in the future will be favorable to us. The loss of any part of a key customer’s private label business may negatively impact that customer’s support of our branded products, and could have a material adverse effect on our business, financial condition, results of operations and cash flows.</w:t>
      </w:r>
    </w:p>
    <w:p>
      <w:pPr>
        <w:spacing w:after="0" w:line="22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rely on our retailer partners’ continuing demand for our products whether supplied directly or supported through distributors and their support of our promotional programs. If our retail partners change their pricing and margin expectations, change their business strategies as a result of industry consolidation or otherwise, maintain and seek to grow their own private-label competitive offerings whether supplied by us or other suppliers, reduce the number of brands they carry or amount of shelf space they allocate to our products, or allocate greater shelf space to, or increase their advertising or promotional efforts for, our competitors’ products, our sales could decrease and our business, financial conditions, results of operations and cash flows may be materially adversely affected.</w:t>
      </w:r>
    </w:p>
    <w:p>
      <w:pPr>
        <w:spacing w:after="0" w:line="22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Certain of our distributors or retail-direct customers may from time to time experience financial difficulties, including bankruptcy or insolvency. If our customers suffer significant financial or operational difficulty, they may reduce their orders from us or stop purchasing from us and/or be unable to timely pay the amounts due to us or at all, which could have a material adverse effect on our ability to collect on receivables, our revenues and our results of operations. It is possible that customers may contest their contractual obligations to us, whether under bankruptcy laws or otherwise. Further, we may have to negotiate significant discounts and/or extended financing terms with these customers in such a situation. If we are unable to collect upon our accounts receivable as they come due in an efficient and timely manner, our business, financial condition, results of operations and cash flows may be materially adversely affected. In addition, product sales are dependent in part on high-quality merchandising and an appealing retail environment to attract consumers, which requires continuing investments by retailers and ongoing support by distributors. Retailers or distributors that experience financial difficulties may fail to make such investments or delay them, resulting in lower sales and orders for our products. Consolidations among our customers would concentrate our credit risk and, if any of these retailers or distributors were to experience a shortage of liquidity or consumer behavior shifts away from their retail model or their service area, it would increase the risk that their outstanding payables to us may not be paid. In addition, increasing market share concentration among one or a few retailers in a particular region increases the risk that if any one of them substantially reduces their purchases of or support for our products, we may be unable to find a sufficient number of other retail outlets for our products to sustain the same level of sales and revenue whether sold directly to retailers or through distributors.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food and beverage retail industry is strong and presents an ongoing threat to the success of our business.</w:t>
      </w:r>
    </w:p>
    <w:p>
      <w:pPr>
        <w:spacing w:after="0" w:line="256"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operate in a highly competitive market, which includes large multinational companies as well as many smaller entrepreneurial companies seeking to innovate and disrupt the categories in which we compete. As a category, coconut water competes for space with a wide range of beverage offerings. In particular, coconut water competes with functional refreshment, juices, energy drinks, ready to drink teas and coffees and other non-100% coconut water based beverages, and many of these products are marketed by companies with substantially greater financial resources than ours. We also compete with a number of natural, organic, and functional food and beverage producers. We and these competing brands and products compete for limited retail, and foodservice customers and consumers. In our market, competition is based on, among other things, brand equity and consumer relationships, consumer needs, product experience (including taste, functionality and texture), nutritional profile and dietary attributes, sustainability of our supply chain (including raw materials), quality and type of ingredients, distribution and product availability, retail and foodservice and e-commerce customer relationships, marketing investment and effectiveness, pricing competitiveness and product packaging.</w:t>
      </w:r>
    </w:p>
    <w:p>
      <w:pPr>
        <w:spacing w:after="0" w:line="214"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Conventional food or beverage companies, which are generally multinational corporations with substantially greater resources and operations than us, may acquire our competitors or launch their own coconut water products or other products that compete with our own. Such competitors may be able to use their resources and scale to respond to</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competitive pressures and changes in consumer preferences by introducing new products, reducing prices or increasing promotional activities, among other things. These large competitors may decide not to compete in coconut water but rather to use their retail relationships and category insights to reduce retailer excitement for the category, impacting our visibility and shelf space.</w:t>
      </w:r>
    </w:p>
    <w:p>
      <w:pPr>
        <w:spacing w:after="0" w:line="19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Retailers also market competitive products under their own private labels, which are generally sold at lower prices and compete with our products. Retailers source these products from a range of suppliers under competitive bidding relationships and we compete for this business as a private label supplier. While we seek to enter into strategic partnerships with retailers to capitalize on private label supply opportunities, we cannot guarantee that we will be awarded this private label business in future years or that our existing supply relationships may not be downsized or cease. If the quality of competing private label or branded products were to be compromised, that could affect the consumer perceptions of coconut water more generally which could impact our business. Additionally, some of our distributor partners carry competing products or in some cases also are brand owners of beverage products that might compete with us, and while we believe our products are worthy of their support, there is no guarantee that their support will continue for all of our brands or at the same levels as today.</w:t>
      </w:r>
    </w:p>
    <w:p>
      <w:pPr>
        <w:spacing w:after="0" w:line="22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Competitive pressures or other factors could cause us to lose market share and lead to reduced space allocated to our products, which may require us to lower prices, increase marketing and advertising expenditures, or increase the use of discounting or promotional campaigns, each of which could adversely affect our margins and could adversely affect our business, financial condition, results of operations and cash flows. Many of our current and potential competitors in beverages have longer operating histories, greater brand recognition, better access to distribution capabilities, larger fulfillment infrastructures, greater technical capabilities, significantly greater financial, marketing and other resources and maintain deeper customer relationships with key retailers due to their extensive brand portfolios than we do. These factors may allow our competitors to derive greater net sales and profits from their existing customer base, acquire customers at lower costs or respond more quickly than we can to new or emerging technologies and changes in consumer preferences or habits.</w:t>
      </w:r>
    </w:p>
    <w:p>
      <w:pPr>
        <w:spacing w:after="0" w:line="21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expect competition in the natural, organic and functional food and beverage industry to continue to increase. We believe that our ability to compete successfully in this market depends upon many factors both within and beyond our control. If we fail to compete successfully in this market, our business, financial condition, results of operations and cash flows would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our brands and Company image, our business could suffer.</w:t>
      </w:r>
    </w:p>
    <w:p>
      <w:pPr>
        <w:spacing w:after="0" w:line="254"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 xml:space="preserve">We have developed strong and trusted brands, including our leading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that we believe have contributed significantly to the success of our business, and we believe our continued success depends on our ability to maintain and grow the value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other brands. Maintaining, promoting and positioning our brands and reputation will depend on, among other factors, the success of our product offerings, food safety, quality assurance, marketing and merchandising efforts, the reliability and reputation of our supply chain, our ability to grow and capture share of the coconut water category, and our ability to provide a consistent, high-quality consumer experience. Any negative publicity, regardless of its accuracy, could materially adversely affect our business. For example, as part of the licensing strategy of our brands, we enter into licensing agreements under which we grant our licensing partners certain rights to use our trademarks and other designs. Although our agreements require that the use of our trademarks and designs is subject to our control and approval, any breach of these provisions, or any other action by any of our licensing partners that is harmful to our brands, goodwill and overall image, could have a material adverse impact on our business.</w:t>
      </w:r>
    </w:p>
    <w:p>
      <w:pPr>
        <w:spacing w:after="0" w:line="23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growing use of social and digital media by us, our consumers and third parties increases the speed and extent that information or misinformation and opinions can be shared. Negative publicity about us, our brands, our products or our industry on social or digital media could seriously damage our brands and reputation.</w:t>
      </w:r>
    </w:p>
    <w:p>
      <w:pPr>
        <w:spacing w:after="0" w:line="20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Our Company image and brands are very important to our vision and growth strategies, particularly as a public benefit corporation, a Certified B Corporation, and with the goal of operating consistent with our mission and values. We will need to continue to invest in actions that support our mission and values and adjust our offerings to appeal to a broader audience in the future in order to sustain our business and to achieve growth, and there can be no assurance that we will be able to do so. If we do not maintain the favorable perception of our Company and our brands, our sales and results of operations could be negatively impacted. Our brands and Company image are based on perceptions of subjective qualities, and any incident that erodes the loyalty of our consumers, customers, suppliers or manufacturers, including adverse publicity or a governmental investigation or litigation, could significantly reduce the value of our brands and damage our business, which would have a material adverse effect on our business, financial condition, results of operations and cash flows.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introduce new products or successfully improve existing products or adopt new technology or marketing practices effectively, may adversely affect our ability to continue to grow and may cause us to lose market share and sales.</w:t>
      </w:r>
    </w:p>
    <w:p>
      <w:pPr>
        <w:spacing w:after="0" w:line="19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 key element of our growth strategy depends on our ability to develop and market new products, product extensions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to meet these consumer needs while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designing, branding and packaging, introducing and marketing new products. Failure to develop and market new products that appeal to consumers may lead to a decrease in our growth, sales and profitability. There is no guarantee that each innovation we launch will reach our goals and be successful, and many will require iteration and development to have a chance of success. Discontinuing products that have not reached sufficient scale to be viable long term or where consumer demand is decreasing, may result in decreased sales, disappointed customers and unexpected costs. Additionally, the development and introduction of new products requires research, development and marketing expenditures, which we may be unable to recoup if the new products do not gain widespread market acceptance.</w:t>
      </w:r>
    </w:p>
    <w:p>
      <w:pPr>
        <w:spacing w:after="0" w:line="23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competitors also may create or obtain similar formulations first that may hinder our ability to develop new products or enter new categories, which could have a material adverse effect on our growth. If we experience difficulty in partnering with co-packers or manufacturers to produce our new products, it may affect our ability to develop and launch new products and enter new product categories, and scale up supply if successful. Further, if we fail to ensure the efficiency and quality of new production processes and products before they launch, we may experience uneven product quality and supply, which could negatively impact consumer acceptance of new products and negatively impact our sales and brand reputation. If we are unsuccessful in meeting our objectives with respect to new or improved products, our business, financial condition, results of operations and cash flow may be adversely affected.</w:t>
      </w:r>
    </w:p>
    <w:p>
      <w:pPr>
        <w:spacing w:after="0" w:line="20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198"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Our business is primarily focused on developing, manufacturing, marketing and distributing coconut water branded and private label products and other “better-for-you” beverages. Consumer demand for our products and interest in our offerings could change based on a number of possible factors, including changes in consumer preferences, dietary habits, refreshment and nutritional habits, concerns regarding the health effects of ingredients, the usage of single use packaging, the impact of our supply chain on our sourcing communities, shifts in preference for various product attributes or consumer confidence, trends within consumer age groups and perceived value and quality for our products relative to alternatives. Consumer trends that we believe favor sales of our products could change based on a number of possible factors. While we continually strive to improve our products through thoughtful, innovative research and development approaches to meet consumer needs, there can be no assurance that our efforts will be successful. If consumer demand for our products decreases, our business, financial condition, results of operations and cash flows may be adversely affected.</w:t>
      </w:r>
    </w:p>
    <w:p>
      <w:pPr>
        <w:spacing w:after="0" w:line="20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disease outbreaks or global trade disruption may disrupt our business, including, among other things, consumption and trade patterns, and our supply chain and production processes, each of which could materially affect our operations, liquidity, financial condition and results of operations.</w:t>
      </w:r>
    </w:p>
    <w:p>
      <w:pPr>
        <w:spacing w:after="0" w:line="195"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actual or perceived effects of a disease outbreak, epidemic, pandemic or similar widespread public health concern, or global trade disruptions, could negatively affect our business, liquidity, financial condition and results of operations. Any new restrictions related to such matters, such as requiring employees to work remotely, imposing travel restrictions, reducing operating hours, imposing operating restrictions and temporarily closing businesses could have an adverse impact on global economic conditions and impact consumer confidence and spending, which might have a material adverse impact on our supply chain, or on some of our customers and could impact the availability and demand for our products and ultimately our financial condition.</w:t>
      </w:r>
    </w:p>
    <w:p>
      <w:pPr>
        <w:spacing w:after="0" w:line="22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Furthermore, given our supply chain is dependent on ocean freight for shipping coconut water from the source countries to the end use markets, we are particularly exposed to ocean freight cost changes, availability of containers and to changes or disruptions in global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could suffer product inventory losses or markdowns and lost revenue in the event of the loss or shutdown of a major manufacturing partner, a local raw materials supplier of a manufacturing partner, or a co-packing partner, due to pandemic conditions in their respective locales. Any interruptions to logistics could impact their ability to operate and ship us product. The potential impact of a pandemic on any of our production or logistics providers could include, but is not limited to, problems with their respective businesses, finances, labor matters (including illness or absenteeism in workforce or closure), ability to import and secure ingredients and packaging, product quality issues, costs, production, insurance and reputation. Any of the foregoing could negatively affect the price and availability of our products and impact our supply chain. If these disruptions continue for an extended period of time, our ability to meet the demand for our products may be materially impacted.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certification for a number of our products.</w:t>
      </w:r>
    </w:p>
    <w:p>
      <w:pPr>
        <w:spacing w:after="0" w:line="25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rely on various independent third-party certifications, such as certifications of our products as “organic”, to differentiate our products and Company from others. We must comply with the requirements of independent organizations or certification authorities in order to label our products as certified organic. For example, we can lose our “organic” certification if our manufacturing partners fail to source certified organic raw materials from local raw material suppliers. In addition, all raw materials must be certified organic. The loss of any independent certifications could adversely affect our market position as an organic and natural products company, which could harm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make acquisitions and successfully integrate newly acquired products or businesses.</w:t>
      </w:r>
    </w:p>
    <w:p>
      <w:pPr>
        <w:spacing w:after="0" w:line="25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have in the past pursued and intend in the future to consider opportunities to acquire other products or businesses that may strategically complement our portfolio of brands and expand the breadth of our markets or customer base. We may be unable to identify suitable targets, opportunistic or otherwise, for acquisition in the future at acceptable terms or at all. In addition, exploring acquisition opportunities may divert management attention from the core business and organic innovation and growth, which could negatively impact our business, financial condition, results of operations and cash flows. If we identify a suitable acquisition candidate, our ability to successfully implement the acquisition will depend on a variety of factors, including our ability to obtain financing on acceptable terms consistent with any debt agreements existing at that time and our ability to negotiate acceptable pricing and terms. Historical instability in the financial markets indicates that obtaining future financing to fund acquisitions may present significant challenges and could also create dilution to shareholders among other potential impacts.</w:t>
      </w:r>
    </w:p>
    <w:p>
      <w:pPr>
        <w:spacing w:after="0" w:line="213"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success of future acquisitions will be dependent upon our ability to effectively integrate the acquired products and operations into our business. Integration can be complex, expensive and time-consuming. The failure to successfully integrate acquired products or businesses in a timely and cost-effective manner could materially adversely affect our business, prospects, results of operations and financial condition. The diversion of our management’s attention and any difficulties encountered in any integration process could also have a material adverse effect on our ability to manage our business. In addition, the integration process could result in the loss of key employees, the disruption of ongoing businesses, litigation, tax costs or inefficiencies, or inconsistencies in standards, any of which could adversely affect our ability to maintain the appeal of our brands and our relationships with customers, employees or other third parties or our ability to achieve the anticipated benefits or synergies of such acquisitions and could harm our financial performance.</w:t>
      </w:r>
    </w:p>
    <w:p>
      <w:pPr>
        <w:spacing w:after="0" w:line="20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Further, the future acquisition of a product or business may cause us to deviate from our historically fixed-asset lite business model if we were to acquire production capabilities and facilities in connection therewith, and as a result could increase our costs of operation.</w:t>
      </w:r>
    </w:p>
    <w:p>
      <w:pPr>
        <w:spacing w:after="0" w:line="20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we deem suitable, whether we will be able to successfully complete any such acquisitions on favorable terms or at all, or whether we will be able to successfully integrate or realize the anticipated benefits of any acquired products or businesses. Furthermore, an additional risk inherent in any acquisition is that we fail to realize a positive return on our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or market measures to address climate change, may negatively affect our business and operations.</w:t>
      </w:r>
    </w:p>
    <w:p>
      <w:pPr>
        <w:spacing w:after="0" w:line="25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coconut water, oil, cream and other raw materials that are necessary for our current or any future products. Such climate changes may also require us to find manufacturing partners in new geographic areas if the location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for best production of coconuts changes, which will require changes to our supply network and investing time and resources with new manufacturing partners, thereby potentially increasing our costs of production. In addition, there is no guarantee that we will be able to maintain the quality and taste of our products as we transition to sourcing coconuts in new geographic areas. Increasing frequency and severity of extreme weather and natural disasters could result in unusual weather patterns, which could affect the supply and demand for our products and lead to negative effects on our business, financial condition, results of operations and cash flow.</w:t>
      </w:r>
    </w:p>
    <w:p>
      <w:pPr>
        <w:spacing w:after="0" w:line="22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Additionally, the increasing concern over climate change may also result in more federal, state, local and foreign legal requirements to reduce or mitigate the effects of greenhouse gases or to reduce packaging and improve recyclability. If such laws are enacted, we may experience significant increases in our costs of operations and delivery, which in turn may negatively affect our business, financial condition, results of operations and cash flows, and may incur increased liability for the accuracy of any public disclosures.</w:t>
      </w:r>
    </w:p>
    <w:p>
      <w:pPr>
        <w:spacing w:after="0" w:line="20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and key personnel, or to maintain and evolve our culture may adversely affect our operations or our ability to grow successfully.</w:t>
      </w:r>
    </w:p>
    <w:p>
      <w:pPr>
        <w:spacing w:after="0" w:line="198"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Our success is substantially dependent on the continued service of certain members of our senior management and other key employees. These employees have been primarily responsible for determining the strategic direction of our business and for executing our growth strategy and are integral to our brands, culture and the reputation we enjoy with suppliers, manufacturers, distributors, customers and consumers. In particular, we are dependent on our co-founder, Michael Kirban, for leadership, culture, strategy, key customer and supplier relationships and other skills and capabilities. The loss of the services of the co-founder, or any of these executives and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co-founder or senior executives.</w:t>
      </w:r>
    </w:p>
    <w:p>
      <w:pPr>
        <w:spacing w:after="0" w:line="21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train and retain a diverse workforce who understand and appreciate our culture and can represent our brand effectively and establish credibility with our business partners and consumers. Pressures in the labor market for talent and wage inflation have been increasing and could increase our future costs of hiring or retaining our employees, and thus impact our profitability. If we are unable to hire and retain employees capable of meeting our business needs, and creating the culture and capability that we desire, our business and brand image may be impaired, including not meeting our B Corp expectations nor our public benefit corporation mission.</w:t>
      </w:r>
    </w:p>
    <w:p>
      <w:pPr>
        <w:spacing w:after="0" w:line="2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suppliers and manufacturing partners, or the local farmers or other suppliers from which our manufacturing partners source the raw materials, do not comply with ethical business practices or with applicable laws and regulations, our reputation, business, and results of operations may be harmed.</w:t>
      </w:r>
    </w:p>
    <w:p>
      <w:pPr>
        <w:spacing w:after="0" w:line="195"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Our reputation and our consumers’ willingness to purchase our products depend in part on the compliance of our suppliers, manufacturers, distributors, and retailer partners, as well as the local farmers or other suppliers from which our manufacturing partners source raw materials, with ethical employment practices, such as with respect to child and animal labor, wages and benefits, forced labor, discrimination, safe and healthy working conditions, and with all legal and regulatory requirements relating to the conduct of their businesses. We do not exercise control over our independent suppliers, manufacturers, distributors and retailer partners, nor over the suppliers of our raw materials, and cannot guarantee their compliance with ethical and lawful business practices. If our suppliers, manufacturers, distributors, retailer partners or raw material suppliers fail to comply with applicable laws, regulations, safety codes, employment practices, human rights standards, quality standards, environmental standards, production practices, or other obligations, norms or ethical standards, our reputation and brand image could be harmed, our customers may choose to terminate their relationships with us, and we could be exposed to litigation and additional costs that would harm our business, reputation,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international nature of our business subjects us to additional risks.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a number of risks related to doing business internationally, any of which could significantly harm our business. These risks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32" w:lineRule="exact"/>
        <w:rPr>
          <w:sz w:val="20"/>
          <w:szCs w:val="20"/>
          <w:color w:val="auto"/>
        </w:rPr>
      </w:pPr>
    </w:p>
    <w:p>
      <w:pPr>
        <w:ind w:left="660" w:right="2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difficulties, such as legal, regulatory, personnel, technological, and consumer preference variation risks, as we operate in countries where we have limited experience or presence, or expand our operations into countries in which we have no prior operating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238"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or proposed changed in U.S. trade policies, including with respect to treaties, tariffs, quotas, trade barriers or other export or import restrictions, including navigating the changing relationships between countries such as the U.S. and China and between the U.K. and the European Union ("EU");</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exchange controls and variation in currency exchange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international market and economic conditions and uncertainty;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environmental, health-related or social uncertainty and volatility;</w:t>
      </w:r>
    </w:p>
    <w:p>
      <w:pPr>
        <w:spacing w:after="0" w:line="252" w:lineRule="exact"/>
        <w:rPr>
          <w:rFonts w:ascii="Times New Roman" w:cs="Times New Roman" w:eastAsia="Times New Roman" w:hAnsi="Times New Roman"/>
          <w:sz w:val="18"/>
          <w:szCs w:val="18"/>
          <w:color w:val="auto"/>
        </w:rPr>
      </w:pPr>
    </w:p>
    <w:p>
      <w:pPr>
        <w:ind w:left="660" w:right="440" w:hanging="328"/>
        <w:spacing w:after="0" w:line="27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penalties, litigation and reputational risk related to violations of a wide variety of laws, treaties and regulations, including food and beverage regulations, anti-corruption regulations (including, but not limited to, the U.S. Foreign Corrupt Practices Act (“FCPA”), and the U.K. Bribery Act) and data privacy laws and regulations (including the EU’s General Data Protection Regulation);</w:t>
      </w:r>
    </w:p>
    <w:p>
      <w:pPr>
        <w:spacing w:after="0" w:line="19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differing labor and employment laws and standards;</w:t>
      </w:r>
    </w:p>
    <w:p>
      <w:pPr>
        <w:spacing w:after="0" w:line="238"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regulations across international markets, including new regulations that could impact requirements applicable to our products and the regulatory impacts on a globally integrated supply chain;</w:t>
      </w:r>
    </w:p>
    <w:p>
      <w:pPr>
        <w:spacing w:after="0" w:line="202" w:lineRule="exact"/>
        <w:rPr>
          <w:rFonts w:ascii="Times New Roman" w:cs="Times New Roman" w:eastAsia="Times New Roman" w:hAnsi="Times New Roman"/>
          <w:sz w:val="18"/>
          <w:szCs w:val="18"/>
          <w:color w:val="auto"/>
        </w:rPr>
      </w:pPr>
    </w:p>
    <w:p>
      <w:pPr>
        <w:ind w:left="660" w:right="8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varying trademark laws and regulations, or difficulties with international intellectual property protection and problems created by counterfeiting;</w:t>
      </w:r>
    </w:p>
    <w:p>
      <w:pPr>
        <w:spacing w:after="0" w:line="189"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or default in payment by our international customers and/or import partners and the potential inability to recoup damages from such defaults, as well as subsequent termination of existing importation agreements;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designing and implementing an effective control environment across diverse regions and employee bases;</w:t>
      </w:r>
    </w:p>
    <w:p>
      <w:pPr>
        <w:spacing w:after="0" w:line="23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monitoring and managing compliance with a broad array of international laws related to data privacy and data protection, as well as cross-border transfers of personal data;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 and meeting different data security regulations;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cost and pricing pressures;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supply chain and shipping logistical challenges;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and/or changing foreign tax treaties and policies.</w:t>
      </w:r>
    </w:p>
    <w:p>
      <w:pPr>
        <w:spacing w:after="0" w:line="239"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7"/>
          <w:szCs w:val="17"/>
          <w:color w:val="auto"/>
        </w:rPr>
        <w:t>For example, in 2024 the political unrest in the Gulf of Aden and Red Sea regions caused ocean freight carriers to reroute away from the Suez Canal, which resulted in longer transit times, increased ocean freight costs and shortages in ocean freight capacity, all of which affected our operations. Recently, there have been discussions about potential tariffs and other import related fees on goods, including those imported from China, Mexico and Canada, and while the specifics are unclear, if tariffs or other import related fees are implemented on goods from these countries, or other countries where the Company does business, they may raise the Company's cost of importation of coconut water and require the Company to adjust its pricing or strategy. An inability to effectively manage these risks associated with our international operations could adversely impact our business and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sustainability and corporate social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business faces increasing scrutiny related to environmental, social and governance issues, including sustainable development, product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renewable resources, environmental stewardship, supply chain management, climate change, diversity and inclusion, workplace conduct, human rights, philanthropy and support for local communities. We are a Delaware public benefit corporation which has placed additional requirements on our strategies and decision-making to meet our mission. See “—Risks Related to our Existence as a Public Benefit Corporation.” There has been increasing public focus by investors, customers, environmental activists, the media and governmental and nongovernmental organizations on a variety of environmental, social and other sustainability matters. Our efforts to ensure we meet these standards rely on our leadership, contracts, internal and third-party audits and on continued monitoring of potential risks and solutions. We may experience increased costs in order to execute upon our sustainability goals and measure achievement of those goals, which could have an adverse impact on our business and financial condition. Additionally, if we fail to meet applicable standards or expectations with respect to these issues across any of our products and in any of our operations and activities or those of our third party partners, such as manufacturers and co-packer, our reputation and brand image could be damaged, and our business, financial condition, results of operations and cash flows could be adversely impacted.</w:t>
      </w:r>
    </w:p>
    <w:p>
      <w:pPr>
        <w:spacing w:after="0" w:line="23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Further, we have developed a strong corporate reputation over the years for our focus on responsible sourcing and support of our supplier communities. We seek to conduct our business in an ethical and socially responsible way, which we regard as essential to maximizing stakeholder value, while enhancing community quality, environmental stewardship and furthering the plant-based movement around the world. We are developing environmental and sustainability initiatives that support our societal programs and are consistent with our purpose, but these initiatives require financial expenditures and employee resources and are not yet fully vetted or implemented. If we are unable to meet our sustainability, and environmental, social and governance goals, this could have a material adverse effect on our reputation and brand and negatively impact our relationship with our employees, customers, consumers and investors. There is no guarantee that our pace of progress on our environmental, social and governance initiatives will meet all parties’ expectations, which in turn could result in harm to our reputation and negatively impact our business, financial condition, results of operations and cash flow.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incidents or other safety concerns may materially adversely affect our business by exposing us to lawsuits, product recalls or regulatory enforcement actions, increasing our operating costs and reducing demand for our product offerings.</w:t>
      </w:r>
    </w:p>
    <w:p>
      <w:pPr>
        <w:spacing w:after="0" w:line="199"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Selling food and beverages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manufacturers, could result in the discontinuance of sales of these products or cessation of our relationships with such suppliers and manufacturers, or otherwise result in increased operating costs, lost sales,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w:t>
      </w:r>
    </w:p>
    <w:p>
      <w:pPr>
        <w:spacing w:after="0" w:line="20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occurrence of food-borne illnesses or other food safety incidents could also adversely affect the price and availability of affected ingredients and raw materials, resulting in higher costs, disruptions in supply and a reduction in our sales. Furthermore, any instances of food contamination or regulatory noncompliance, whether or not caused by our actions, could compel us, our manufacturing and co-packing partners, our distributors or our retail customers, depending on the circumstances, to conduct a recall in accordance with the FDA, regulations and comparable foreign laws and regulations, as well as other regulations and laws in the other jurisdictions in which we operate. Product recalls could result in significant losses due to their associated costs, the destruction of product inventory, lost sales due to the unavailability of the product for a period of time and potential loss of existing distributors, retail customers and shelf space or e-commerce prominence, and a potential negative impact on our ability to attract new customers and consumers, and maintain our current customer and consumer base due to negative consumer experiences or because of an adverse impact on our brands and reputation. The costs of a recall could exceed or be outside the scope of our existing or future insurance policy coverage or limits. While we maintain batch and lot tracking capability to identify potential causes for any discovered problems, there is no guarantee that in the case of a potential recall, we will effectively be able to isolate all product that might be associated with any alleged problem, or that we will be able to quickly and conclusively determine the root cause or narrow the scope of the recall. Our potential inability to affect a recall quickly and effectively, or manage the consumer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and retailer communication in a way that mitigates concerns, might create adverse effects on our business and reputation, including large recall and disposal costs and significant loss of revenue.</w:t>
      </w:r>
    </w:p>
    <w:p>
      <w:pPr>
        <w:spacing w:after="0" w:line="20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believe our consumers, retailers and distributors rely on us to provide them with high-quality products. Therefore, any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brands or products, which could in turn harm our reputation and sales, and could materially adversely affect our business, financial condition, results of operations and cash flows. Although we believe we and our manufacturing and co-packing partners on which we rely have rigorous quality control processes in place, there can be no assurance that our products will always comply with the standards set for our products or that our manufacturing and co-packing partners will comply with our product specifications.</w:t>
      </w:r>
    </w:p>
    <w:p>
      <w:pPr>
        <w:spacing w:after="0" w:line="20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addition, food and beverage companies have been subject to targeted, large-scale tampering as well as to opportunistic, individual product tampering, and we, like any beverage company, could be a target for product tampering. Forms of tampering could include the introduction of foreign material, chemical contaminants and pathological organisms into consumer products as well as product substitution. The FDA enforces laws and regulations, such as the Food Safety Modernization Act, that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results of operations and cash flows. Most countries in which we operate have comparable regulations that we endeavor to comply with, but any failure to meet regulators’ or customers’ expectations could impact our business in these markets and have a material adverse effect on our reputation as well as our business, financial condition, results of operations and cash flows.</w:t>
      </w:r>
    </w:p>
    <w:p>
      <w:pPr>
        <w:spacing w:after="0" w:line="276"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state and government regulation and oversight both in the U.S. and abroad, and our failure to comply with applicable requirements, or to respond to changes in regulations applicable to our business could adversely affect our business, financial condition,</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and cash flows.</w:t>
      </w:r>
    </w:p>
    <w:p>
      <w:pPr>
        <w:spacing w:after="0" w:line="205"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manufacturing, marketing and distribution of food products is highly regulated. We, along with our manufacturing and co-packing partners and our suppliers, are subject to a variety of laws and regulations internationally, which apply to many aspects of our and their businesses, including the sourcing of raw materials, manufacturing, packaging, labeling, distribution, advertising, sale, quality and safety of our products, as well as the health and safety of employees and the protection of the environment.</w:t>
      </w:r>
    </w:p>
    <w:p>
      <w:pPr>
        <w:spacing w:after="0" w:line="2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products and operations and those of our manufacturing and co-packing partners are subject to oversight by multiple U.S. and international regulatory agencies including the USDA, the FDA, the FTC, the EPA, the European Commission and the U.K.’s Food Standards Agency, Health and Safety Executive, Environment Agency, Environmental Health Officers and Trading Standards Officers and the Singapore Food Agency, among others. These agencies regulate, among other things, with respect to our products and operations:</w:t>
      </w:r>
    </w:p>
    <w:p>
      <w:pPr>
        <w:spacing w:after="0" w:line="21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23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corrective actions;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3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U.S., for example, we are subject to the requirements of the Federal Food, Drug and Cosmetic Act and regulations promulgated thereunder by the FDA. This comprehensive regulatory program governs, among other things,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manufacturing, composition and ingredients, packaging, testing, labeling, marketing, promotion, advertising, storage, distribution and safety of food. The FDA requires that facilities that manufacture food products comply with a range of requirements, including hazard analysis and preventative controls regulations, current good manufacturing practices (“cGMP”), and supplier verification requirements. Certain of our facilities, as well as those of our manufacturing and co-packing partners, are subject to periodic inspection by federal, state and local authorities. We do not control the manufacturing processes of, but rely upon, our third-party manufacturing partners for compliance with cGMPs for the manufacturing of our products that is conducted by our partners. If we or our manufacturing partners cannot successfully manufacture products that conform to our specifications and the strict regulatory requirements of the FDA or other regulatory agencies, we or they may be subject to adverse inspectional findings or enforcement actions, which could materially impact our ability to market our products, could result in our manufacturing or co-packing partners’ inability to continue manufacturing for us or could result in a recall of our product that has already been distributed. In addition, we rely upon these parties to maintain adequate quality control, quality assurance and qualified personnel.</w:t>
      </w:r>
    </w:p>
    <w:p>
      <w:pPr>
        <w:spacing w:after="0" w:line="21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Furthermore, there are an increasing number of state and local regulations in the U.S. related to, among other things, beverage packaging, labeling requirements, container deposits, recycling, or beverage taxes. We anticipate more states to adopt similar legislation or regulations, requiring us to continuously monitor various state laws to ensure compliance. Any failure to comply with these laws or regulations correctly could result in a temporary halt in distribution of our products and other costs, affecting our business and profitability.</w:t>
      </w:r>
    </w:p>
    <w:p>
      <w:pPr>
        <w:spacing w:after="0" w:line="21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Failure by us, our suppliers or our manufacturing and co-packing partners to comply with applicable laws and regulations or maintain permits, licenses or registrations relating to our or our suppliers or manufacturing and co-packing partners’ operations could subject us to civil remedies or penalties, including fines, injunctions, recalls or seizures, warning letters, untitled letters, restrictions on the marketing or manufacturing of products, or refusals to permit the import or export of products, as well as potential criminal sanctions, which could result in increased operating costs or loss of revenue, resulting in a material effect on our business, financial condition, results of operations and cash flows. The regulations to which we are subject are complex and continuously changing, and have tended to become more stringent over time. New labeling and food safety laws could restrict our ability to carry on or expand our operations, result in higher than anticipated costs or lower than anticipated sales, and otherwise make it more difficult for us to realize our goals of achieving a more integrated global supply chain due to the differences in regulations around the world.</w:t>
      </w:r>
    </w:p>
    <w:p>
      <w:pPr>
        <w:spacing w:after="0" w:line="19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Advertising inaccuracies and product mislabeling may have an adverse effect on our business by exposing us to lawsuits, product recalls or regulatory enforcement actions, increasing our operating costs and reducing demand for our product offerings.</w:t>
      </w:r>
    </w:p>
    <w:p>
      <w:pPr>
        <w:spacing w:after="0" w:line="185"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Certain of our products are advertised with claims as to their origin, ingredients or health, wellness, environmental or other potential benefits, including, by way of example, the use of the terms “natural”, “organic”, “clean”, “non-toxic”, “sustainable”, “no added sugars,” or similar synonyms or implied statements relating to such benefits. Although the FDA and the USDA each have issued statements and adopted policies regarding the appropriate use of the 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w:t>
      </w:r>
    </w:p>
    <w:p>
      <w:pPr>
        <w:spacing w:after="0" w:line="22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w:t>
      </w:r>
    </w:p>
    <w:p>
      <w:pPr>
        <w:spacing w:after="0" w:line="21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Moreover, the FTC has articulated a robust substantiation standard for health claims on foods and dietary supplements and has pursued investigations and litigation against companies where the FTC has concern that the claims being made are not properly substantiated. Examples of causes of action that may be asserted in a consumer class action lawsuit include fraud, unfair trade practices and breach of state consumer protection statutes. The FTC and/or state attorneys general may bring legal action that seeks removal of a product from the marketplace and impose fines and penalties. Further, consumer class action false advertising litigation relating to terms such as “natural,” “non-toxic,” “non-GMO” and other claims remain a persistent threat in our industry. Even when unmerited, class action claims, action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or cash flows.</w:t>
      </w:r>
    </w:p>
    <w:p>
      <w:pPr>
        <w:spacing w:after="0" w:line="21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USDA enforces federal standards for organic production and use of the term “organic” on product labeling. These laws prohibit a company from selling or labeling products as organic unless they are produced and handled in accordance with the applicable federal law. By definition, organic products are not genetically modified or do not include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8"/>
          <w:szCs w:val="18"/>
          <w:color w:val="auto"/>
        </w:rPr>
        <w:t>genetically modified (bioengineered) ingredients. We use suppliers and manufacturing partners who can certify that they meet the standards needed for each applicable product or ingredient specification. Our failure, or failure on the part of our suppliers or manufacturing partners to comply with these ingredient and product specifications, to maintain appropriate certifications, or to label organic products in compliance with federal or state laws, may subject us to liability or regulatory enforcement. Consumers may also pursue state law claims as to our labelling practices on this and other matters, challenging our labels as being intentionally mislabeled or misleading or deceptive to consumers. The cost of defending or settling these suits may be material to our business.</w:t>
      </w:r>
    </w:p>
    <w:p>
      <w:pPr>
        <w:spacing w:after="0" w:line="207"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regulatory environment in which we operate could also change significantly and adversely in the future. New or changing regulations could impact the way consumers view our products, such as potential new labeling regulations or enforcement of a standard of identity for terms used to market our products that would require us to list certain ingredients by specific names that could confuse our consumers into thinking we may use different types of ingredients than they originally thought or that the quality of our ingredients is different to what they anticipated.</w:t>
      </w:r>
    </w:p>
    <w:p>
      <w:pPr>
        <w:spacing w:after="0" w:line="20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loss of confidence on the part of consumers in the truthfulness of our labeling, advertising or ingredient claims would be difficult and costly to overcome and may significantly reduce our brand value. In addition, packaging has to be suitable to distributor and retail handling and scanning, and any failures of the packaging to meet these expectations could cause recall or product destruction. Any of these events could adversely affect our brands, increase our costs, and decrease our sales, which could have an adverse effect on our business, financial condition, results of operations and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foreign anti-corruption, sanctions and trade laws create the potential for significant liabilities and penalties and reputational harm.</w:t>
      </w:r>
    </w:p>
    <w:p>
      <w:pPr>
        <w:spacing w:after="0" w:line="22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of December 31, 2024, we derived 14% of our net sales from our International segment. In addition, we source all of our coconut water internationally. As such, we are subject to a number of laws and regulations governing payments and contributions to political persons or other third parties, including restrictions imposed by the FCPA, as well as economic sanctions, customs and export control laws, including those administered by the U.S. Department of the Treasury's Office of Foreign Assets Control (“OFAC”), U.S. Customs and Border Protection (“CBP”), the U.S. Department of Commerce and the U.S. Department of State. The FCPA is intended to prohibit bribery of foreign officials—including officials of any government or supranational organization, foreign political parties and officials thereof, and any candidate for foreign political office—to obtain or retain business. It also requires public companies in the U.S. to keep books and records that accurately and fairly reflect those companies’ transactions and maintain internal accounting controls to assure management’s control, authority, and responsibility over a company’s assets. OFAC, CBP, the U.S. Department of Commerce and the U.S. Department of State, among other governmental authorities, administer and enforce various customs and export control laws and regulations, as well as economic and trade sanctions based on U.S. foreign policy and national security goals that target certain countries, regions, governments, businesses and individuals. These laws and regulations relate to a number of aspects of our business, including but not limited to the activities of our suppliers, distributors and other partners.</w:t>
      </w:r>
    </w:p>
    <w:p>
      <w:pPr>
        <w:spacing w:after="0" w:line="212"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Similar laws in non-U.S. jurisdictions, such as EU sanctions or the U.K. Bribery Act, as well as other applicable anti-bribery, anti-corruption, anti-money laundering, sanctions, customs or export control laws, may also impose stricter or more onerous requirements than the FCPA, OFAC, CBP,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or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we acquire. Despite our compliance efforts and activities we cannot assure compliance by our employees or representatives for which we may be held responsible. Any determination that we have violated the FCPA or other applicable anti-corruption, sanctions, customs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common stock.</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U.S. export control laws and economic and trade sanctions prohibit the provision of certain products and services to U.S. embargoed or sanctioned countries, governments and persons. Even though we take precautions to prevent our products from being shipped or provided to embargoed countries and U.S. sanctions targets, they could be shipped, or provided by our distributors, to those countries and targets despite such precautions. The provision of goods in violation 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U.S. export controls or sanctions could have negative consequences for our business, including government investigations, penalties and reputational harm. Changes in export and import regulations, economic sanctions and related laws, shifts in the enforcement or scope of existing regulations, changes in the countries, governments or persons targeted by such regulations and the imposition of tariffs may create delays in the introduction and sale of our products in international markets, result in decreased ability to export or sell our products to existing or potential customers with international operations or in some cases, prevent the export or import of our products to certain countries, governments or persons. Actions taken with respect to tariffs or trade relations between the U.S. and other countries, the products subject to such actions, and actions taken by other countries in retaliation may also have an adverse impact on us. The failure to comply with applicable current or future U.S. import, export control, sanctions and anti-corruption laws, including U.S. Customs regulations, could expose us and our employees to substantial civil or criminal penalties, fines and in extreme cases, incarceration. In addition, if our distributors fail to obtain appropriate import, export or re-export licenses or authorizations, or otherwise act in accordance with applicable laws, we may be adversely affected through reputational harm and penalties, which could have a material adverse effect on our business, financial condition, results of operations and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24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example, we are and have been subject to various labelling, trademark infringement and product quality claims in the ordinary course of our business, and may, in the future, face a range of litigation, including employment issues, distributor disputes, shareholder litigation and other contractual matters.</w:t>
      </w:r>
    </w:p>
    <w:p>
      <w:pPr>
        <w:spacing w:after="0" w:line="207"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Even when not merited, the defense of these claims or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potentially prevent us from selling or manufacturing our products, which would make it more difficult to compete effectively or to obtain adequate insurance in the future.</w:t>
      </w:r>
    </w:p>
    <w:p>
      <w:pPr>
        <w:spacing w:after="0" w:line="207" w:lineRule="exact"/>
        <w:rPr>
          <w:sz w:val="20"/>
          <w:szCs w:val="20"/>
          <w:color w:val="auto"/>
        </w:rPr>
      </w:pPr>
    </w:p>
    <w:p>
      <w:pPr>
        <w:ind w:right="180" w:firstLine="648"/>
        <w:spacing w:after="0" w:line="280"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and Intellectual Property</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We rely heavily on our information technology systems, as well as those of our third-party vendors and business partners, for our business to effectively</w:t>
      </w:r>
    </w:p>
    <w:p>
      <w:pPr>
        <w:spacing w:after="0" w:line="18"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operate and to safeguard confidential information; any significant failure, inadequacy, interruption or data security incident could adversely affect our business, financial condition, results of operations and cash flows.</w:t>
      </w:r>
    </w:p>
    <w:p>
      <w:pPr>
        <w:spacing w:after="0" w:line="198"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use information technology systems, infrastructure and data in substantially all aspects of our business operations. Our ability to effectively manage our business and coordinate the manufacturing, sourcing, distribution and sale of our products depends significantly on the reliability and capacity of these systems. We are critically dependent on the integrity, security and consistent operations of these systems. We also collect, process and store numerous classes of sensitive, personally identifiable and/or confidential information and intellectual property, including customers’ and suppliers’ information, private information about employees and financial and strategic information about us and our business partners. The secure processing, maintenance and transmission of this information is critical to our operations.</w:t>
      </w:r>
    </w:p>
    <w:p>
      <w:pPr>
        <w:spacing w:after="0" w:line="207"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As discussed above under, “If we encounter problems or interruptions with our supply chain, our costs may increase and our or our customers’ ability to deliver our products to market could be adversely affected, impacting our business and profitability,” our systems and those of our third party vendors, service providers, and business partners may be subject to damage or interruption from power outages or damages,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third party vendors,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service providers, and business partners may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w:t>
      </w:r>
    </w:p>
    <w:p>
      <w:pPr>
        <w:spacing w:after="0" w:line="204"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Further, our systems and those of our third-party vendors, service providers, and business partners may be vulnerable to, and have experienced attempted security incidents, attacks by hackers (including ransomware attacks, phishing attacks and other third-party intrusions), acts of vandalism, computer viruses, misplaced or lost data, human errors or other similar events. If unauthorized parties gain access to our networks or databases, or those of our third-party vendors or business partners, they may be able to commit financial fraud, publish, delete, use inappropriately or modify our private and sensitive third-party information, including credit card information and other personally identifiable personal information. In addition, employees may intentionally or inadvertently cause data or security incidents that result in unauthorized payments, and/or release of personally identifiable or confidential information. Because the techniques used to circumvent security systems can be highly sophisticated, change frequently, are often not recognized until launched against a target (and even, in many cases, until after having been successfully launched for some time) and may originate from less regulated and remote areas around the world, we may be unable to proactively address all possible techniques or implement adequate preventive measures for all situations.</w:t>
      </w:r>
    </w:p>
    <w:p>
      <w:pPr>
        <w:spacing w:after="0" w:line="22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Security incidents compromising the confidentiality, integrity and availability of our sensitive information and our systems and those of our third party vendors and business partners could result from cyber-attacks, computer malware, viruses, social engineering (including spear phishing and ransomware attacks), supply chain attacks, efforts by individuals or groups of hackers and sophisticated organizations, including state-sponsored organizations, errors or malfeasance of our personnel, including human error and bad actors, and security vulnerabilities in the software or systems on which we, or our third party vendors or business partners, rely. Cybercrime and hacking techniques are constantly evolving. We and/or our third-party vendors, service providers, and/or business partners may be unable to stop all attempted security breaches, react in a timely manner, or implement adequate preventative measures, particularly given the increasing use of hacking techniques designed to circumvent controls, avoid detection, and remove or obfuscate forensic artifacts. We anticipate that these threats will continue to grow in scope and complexity over time and such incidents may occur in the future, and could result in unauthorized, unlawful, or inappropriate access to, inability to access, disclosure of, or loss of the sensitive, proprietary and confidential information (including personal information) that we collect, receive and process. We employ multiple methods at different layers of our systems designed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We may experience breaches of our security measures due to human error, malfeasance, system errors or vulnerabilities, or other irregularities including attempts by former, current or future employees to misuse their authorized access and/or gain unauthorized access to our systems. As we rely on a number of our third party vendors and business partners, we are exposed to certain security risks outside of our direct control resulting from our engagements with these parties, and our ability to directly monitor these third-party vendors’ and business partners’ data security is limited. While we take care to vet our vendors and business partners and contract with them to require levels of data security and best practices, and employ a number of security measures designed to prevent, detect, and mitigate potential for harm to our users and our systems from the theft of or misuse of user credentials on our network, these measures may not be effective in every instance. Moreover, we or our third-party vendors or business partners may be more vulnerable to such attacks in remote work environments, which have increased in recent years. Additionally, while we maintain cyber insurance that may help provide coverage for these types of incidents, we cannot ensure that our insurance will be adequate to cover costs and liabilities related to an incident. Previously, we have experienced spoofing and social engineering incidents and since then, we have taken measures, such as third-party forensic consultant reviews, to ensure that no compromises of our systems have occurred and to mitigate risks of future harm. However, the sophistication of cyber attacks continues to increase and there is no guarantee that the steps we have taken will be sufficient to prevent significant disruption and loss.</w:t>
      </w:r>
    </w:p>
    <w:p>
      <w:pPr>
        <w:spacing w:after="0" w:line="23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Further, a failure to incorporate new technology, like artificial intelligence (“AI”), machine learning and automation, or adopt new marketing practices may reduce our ability to compete and operate efficiently, or increase risks of data security or result in suboptimal business decisions. If we do not sufficiently invest and evolve our business at sufficient speed and scale in response to such developments, or if we execute poorly on these investments, our products, results of operations and ability to compete and develop our business could be negatively affected. For example, we have begun the incorporation of AI and machine learning technology into our systems and business operations. When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incorporating AI technologies into our business functions and operations, we are increasingly liable to new or existing risks due to increased governmental monitoring, compliance issues, data privacy risks, and potential litigation, all of which could negatively impact both financial performance and business reputation. Our ability to benefit from AI while managing the risks significantly relies on the effective selection of AI tools and platforms tailored to fit our specific business needs. Integrating ineffective AI technologies, or incorporating AI technologies without appropriate training, could lead to unintended consequences such as bias, discriminatory outputs, accuracy or data privacy issues. If we fail to successfully integrate AI, run afoul of developing regulations regarding AI, or otherwise cannot keep up with market demand when it comes to this new technology, our business may suffer.</w:t>
      </w:r>
    </w:p>
    <w:p>
      <w:pPr>
        <w:spacing w:after="0" w:line="207" w:lineRule="exact"/>
        <w:rPr>
          <w:sz w:val="20"/>
          <w:szCs w:val="20"/>
          <w:color w:val="auto"/>
        </w:rPr>
      </w:pPr>
    </w:p>
    <w:p>
      <w:pPr>
        <w:ind w:right="120" w:firstLine="648"/>
        <w:spacing w:after="0" w:line="264" w:lineRule="auto"/>
        <w:rPr>
          <w:sz w:val="20"/>
          <w:szCs w:val="20"/>
          <w:color w:val="auto"/>
        </w:rPr>
      </w:pPr>
      <w:r>
        <w:rPr>
          <w:rFonts w:ascii="Times New Roman" w:cs="Times New Roman" w:eastAsia="Times New Roman" w:hAnsi="Times New Roman"/>
          <w:sz w:val="17"/>
          <w:szCs w:val="17"/>
          <w:color w:val="auto"/>
        </w:rPr>
        <w:t>Any data security breach, attack, virus or other incident could result in additional financial losses,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business, reputation, financial condition, results of operations and cash flows. Furthermore, regulations and expectations for timely disclosing any cyber security events are evolving, and there are additional risks that in our response to such events, and in our disclosure, we will not meet the appropriate requirements, creating regulatory and litigation risks.</w:t>
      </w:r>
    </w:p>
    <w:p>
      <w:pPr>
        <w:spacing w:after="0" w:line="20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addition, if any such event resulted in access, disclosure or other loss or unauthorized use of information or data, such as customers’ and suppliers’ information, private information about employees and financial and strategic information about us and our business partners, whether actual or perceived, it could result in legal claims or proceedings, regulatory investigations or actions, and other types of liability under laws that protect the privacy and security of personal information, including federal, state and foreign data protection and privacy laws and regulations, violations of which could result in significant penalties, fines, costs and litigation. The cost of investigating, mitigating and responding to potential security breaches and complying with applicable breach notification obligations to individuals, regulators, partners and others can be significant and the risk of legal claims in the event of a security breach is increasing. For example, certain of the recently enacted state and international comprehensive privacy laws create a private right of action for certain data breaches and for non-compliance. Further, defending a suit, regardless of its merit, could be costly, divert management attention and harm our reputation. The successful assertion of one or more large claims against us that exceed available insurance coverage, or the occurrence of changes in our insurance policies, including premium increases or the imposition of large deductibles or co-insurance requirements, could adversely affect our reputation, business, financial condition, results of operations and cash flows. Any material disruption or slowdown of our systems or those of our third-party vendors or business partners, could have a material adverse effect on our business, financial condition, results of operations and cash flows. Our risks are likely to increase as we continue to expand, grow our customer base, and process, store, and transmit increasing amounts of proprietary and sensitive data. In addition, although we seek to detect and investigate all data security incidents, security breaches and other incidents of unauthorized access to our information technology systems, it can be difficult to detect and determine the scope and impact of data security incidents. Any delay in identifying such breaches or incidents may lead to increased harm and legal exposure of the type described above.</w:t>
      </w:r>
    </w:p>
    <w:p>
      <w:pPr>
        <w:spacing w:after="0" w:line="275"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of our customers and users to use some or all of our products or services, and increases our compliance costs and litigation risks.</w:t>
      </w:r>
    </w:p>
    <w:p>
      <w:pPr>
        <w:spacing w:after="0" w:line="205"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We collect, maintain, and otherwise process personal information and other data relating to our employees and customers. Additionally, we sell products directly to consumers from our website and rely on a variety of marketing techniques, including email and social media marketing, and we are subject to various laws and regulations that govern such selling, marketing and advertising practices. We are subject to numerous state, federal and international laws, rules and regulations that govern the collection, use and protection of personal information.</w:t>
      </w:r>
    </w:p>
    <w:p>
      <w:pPr>
        <w:spacing w:after="0" w:line="204"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In recent years, there has been an increase in attention to and regulation of data protection and data privacy across the globe, including the FTC’s increasingly active approach to enforcing data privacy in the U.S., as well as the enactment of the EU’s General Data Protection Regulation (“GDPR”), which took effect in May 2018, the U.K.’s transposition of GDPR into its domestic laws, which took effect September 2021, the California Privacy Rights Act (“CPRA”), which took effect January 1, 2023 and expands the California Consumer Privacy Act (“CCPA”) of 2020, Virginia’s Consumer Data Protection Act, which also took effect January 1, 2023, and similar comprehensive privacy laws adopted in other states and jurisdictions including Colorado, Connecticut, and Utah. Additionally, Indiana, Montana, Oregon, Tennessee, Texas, Kentucky, Maryland, Minnesota, New Hampshire, New Jersey and Rhode Island have adopted similar laws taking effect at different dates through 2025 and 2026. Additional U.S. states are considering passing similar data laws. On a federal level, the U.S. Congress has introduced several iterations of a federal comprehensive privacy law. If a federal privacy law passed, it would likely supersede the new state privacy laws and establish uniform privacy protections across the country.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anticipate that federal, state and international regulators will continue to enact new legislation related to privacy, cybersecurity and the use of personal information within AI technologies. These laws may impose restrictions on our ability to gather and utilize personal information, provide individuals with additional rights around their personal information, and place downstream obligations on our vendors and business partners relating to their use of personal information we provide to them for processing.</w:t>
      </w:r>
    </w:p>
    <w:p>
      <w:pPr>
        <w:spacing w:after="0" w:line="204"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Our actual or alleged failure to comply with applicable privacy or data security laws, regulations, and policies, or to protect personal information, could result in enforcement actions and significant penalties against us, which could result in negative publicity or costs, subject us to claims or other remedies, and have a material adverse effect on our business, financial condition and results of operations. Further, these laws may require us to take on more onerous obligations in our contracts, add new provisions in data processing agreements ("DPAs") related to the processing of personal information, restrict our ability to store, transfer and process personal information or, in some cases, impact our ability to reach current and prospective customers, or to derive insights from data globally. Cross-border data transfers and the use of data transfer mechanisms now involve additional compliance steps and in the event any court blocks personal information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21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rely on a variety of marketing techniques and practices to sell our products and to attract new customers and consumers, and we are subject to various current and future data protection laws and obligations that govern marketing and advertising practices. For example, the Controlling the Assault of Non-Solicited Pornography and Marketing Act of 2003, or the CAN-SPAM Act, establishes specific requirements for commercial email messages in the U.S. Governmental authorities, including in the EU and the U.K.,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Laws and regulations regarding the use of these cookies and other current online tracking and advertising practices could increase our costs of operations and limit our ability to acquire new consumers on cost-effective terms, which, in turn, could have an adverse effect on our business, financial condition, results of operations and cash flows. Furthermore, the uncertain and shifting regulatory environment and trust climate may prompt individuals to opt out of our collection of their personal information. Concern regarding our use of the personal information collected on our websites or via our marketing activities could impact sales of product. Additionally, certain new privacy laws require opt-ins rather than opt-outs for certain personal information, which could reduce some of the data we have historically been able to collect. Even the perception that the privacy of personal information is not satisfactorily protected or does not meet regulatory requirements could discourage prospective customers from purchasing our products.</w:t>
      </w:r>
    </w:p>
    <w:p>
      <w:pPr>
        <w:spacing w:after="0" w:line="230"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Industry-wide incidents or incidents with respect to our websites, including changes in industry standards, regulations, or laws, could deter people from using the internet or our websites to conduct transactions that involve the transmission of personal information, which could harm our business. We also receive data from third-party vendors (e.g., data brokers).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adequately, which may harm the value of our brands.</w:t>
      </w:r>
    </w:p>
    <w:p>
      <w:pPr>
        <w:spacing w:after="0" w:line="25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believe that our intellectual property has substantial value and has contributed significantly to the success of our business. Our trademarks are valuable assets that reinforce our brands and differentiate our products. We cannot assure you that we will be able to register and/or enforce our trademarks in all jurisdictions in which we do business, as the registrability of trademarks and the scope of trademark protection varies from jurisdiction to jurisdiction. In addition, third parties may adopt trade names or trademarks that are the same as or similar to ours, especially in jurisdictions in which we have not yet obtained trademark protection, thereby impeding our ability to build brand identity and possibly leading to market confusion. In addition, our trademark applications may be opposed by third parties, our trademarks may otherwise be challenged, and/or the scope of any of our trademark registrations could be narrowed as a result of a challenge, or even canceled entirely. Failure to protect our trademark rights could prevent us in the future from challenging third parties who use names and logos similar to our trademarks, which may in turn cause consumer confusion, negatively affect our brand recognition, or negatively affect consumers’ perception of our brands and products. Over the long term, if we are unable to successfully register our trademarks and trade names and establish name recognition based on our trademarks and trade names, we may not be able to compete effectively and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order to resolve certain trademark disputes, we have entered into coexistence or settlement agreements that permit other parties certain uses of marks similar to ours for certain categories and countries, and restrict the use of our marks in certain categories and countries. There is no guarantee that these coexistence settlement agreements will foreclose future trademark disputes.</w:t>
      </w:r>
    </w:p>
    <w:p>
      <w:pPr>
        <w:spacing w:after="0" w:line="196"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We also rely on proprietary expertise, recipes and formulations and other trade secrets and copyright protection to develop and maintain our competitive position. Obtaining patent protection, if available for any of such proprietary intellectual property, can be time consuming and expensive, and we cannot guarantee that our patent applications would be granted, or if granted, that they would be of sufficient scope to provide meaningful protection. Accordingly, we have in the past decided, and may in future decide, to protect our intellectual property rights in our technologies by maintaining them as trade secrets rather than publicly filing for formal intellectual property registrations such as patents and copyrights.</w:t>
      </w:r>
    </w:p>
    <w:p>
      <w:pPr>
        <w:spacing w:after="0" w:line="22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w:t>
      </w:r>
    </w:p>
    <w:p>
      <w:pPr>
        <w:spacing w:after="0" w:line="21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develop similar recipes or formulations to those that we have maintained as trade secrets, in which case we would not be able to assert trade secret rights against such parties. Further, some of our formulations have been developed by or with our suppliers (manufacturing, co-packing, ingredient and packaging partners). As a result, we may not be able to prevent others from developing or using similar formulations.</w:t>
      </w:r>
    </w:p>
    <w:p>
      <w:pPr>
        <w:spacing w:after="0" w:line="22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We may be required to spend significant resources in order to monitor and protect our intellectual property rights. Litigation may be necessary in the future to enforce our intellectual property rights, including to protect our trademarks and trade secrets. We cannot assure you that we will have adequate resources to enforce our intellectual property rights, as such enforcement and potential litigation can be costly, time-consuming, and distracting to the Company’s operations. Any such litigation could result in the impairment or loss of portions of our intellectual property, as our efforts to enforce our intellectual property rights may be met with defenses, counterclaims, and countersuits attacking the ownership, scope, validity and enforceability of our intellectual property rights.</w:t>
      </w:r>
    </w:p>
    <w:p>
      <w:pPr>
        <w:spacing w:after="0" w:line="2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also face the risk of claims that we have infringed third parties’ intellectual property rights. If a third party asserts a claim that our offerings infringe, misappropriate or violate their rights, resulting litigation could be expensive and could divert management attention and resources away from our core business operations. Any claims of trademark or intellectual property infringement, even those without merit, could:</w:t>
      </w:r>
    </w:p>
    <w:p>
      <w:pPr>
        <w:spacing w:after="0" w:line="19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 consuming to defend;</w:t>
      </w:r>
    </w:p>
    <w:p>
      <w:pPr>
        <w:spacing w:after="0" w:line="23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licensing or using products that incorporate the challenged intellectual property, which in turn could harm relationships with customers and distributors and might result in damages;</w:t>
      </w:r>
    </w:p>
    <w:p>
      <w:pPr>
        <w:spacing w:after="0" w:line="17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products or packaging, if feasible, and might result in large inventory write-offs of unsaleable or unusable materials; and</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in order to obtain the right to use a third party’s intellectual property which might affect our margins and ability to compete.</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any of which could have a negative impact on our operating profits, our customer relations and harm our future prospects.</w:t>
      </w:r>
    </w:p>
    <w:p>
      <w:pPr>
        <w:spacing w:after="0" w:line="19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introduction of AI technologies into our business activities could expose our business to intellectual property risks. The intellectual property ownership and license rights, including copyright, surrounding AI technologies has not been fully addressed by laws or regulations, and the use or adoption of third-party AI technologies into our business operations, products and services may result in exposure to claims of copyright infringement or other intellectual property misappropriation, as well as potential liability to customers.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Risks Related to the Ability to Finance our Business and Our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which may not be available when needed or may be costly and dilutive.</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require additional financing to support the growth of our business, to acquire new businesses, for working capital needs or to cover unforeseen costs and expenses. The amount of additional capital we may require, the timing of our capital needs and the availability of financing to fund those needs will depend on a number of factors, including our strategic initiatives and operating plans, the performance of our business, the number, complexity and characteristics of additional products or future manufacturing processes we require to serve new or existing markets, any proposed acquisitions and cost increases related to the integration of acquired products or businesses, any material or significant product recalls, any failure or disruption with our manufacturing and co-packing partners as well as our third party logistics providers, the expansion into new markets, any changes in our regulatory or legislative landscape, particularly with respect to product safety, advertising, product labeling and data privacy, the costs associated with being a public company and the market conditions for debt or equity financing. Additionally, the amount of capital required will depend on our ability to meet our sales goals and otherwise successfully execute our operating plan. We intend to continually monitor and adjust our operating plan as necessary to respond to developments in our business, our markets and the broader economy and it is possible that our business could become more capital intensive. Although we believe various debt and equity financing alternatives will be available to us to support our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w:t>
      </w:r>
    </w:p>
    <w:p>
      <w:pPr>
        <w:spacing w:after="0" w:line="2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future debt service obligations, which would adversely affect our financial condition and results of operations.</w:t>
      </w:r>
    </w:p>
    <w:p>
      <w:pPr>
        <w:spacing w:after="0" w:line="17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May 2020, we entered into a five-year credit facility ("2020 Credit Facility") with Wells Fargo Bank, National Association, which we amended and extended for five years on February 14, 2025, consisting of a revolving line of credit, which currently provides for committed borrowings of $60 million. As of December 31, 2024, we have no outstanding debt under our 2020 Credit Facility. Our ability to make principal and interest payments on and to refinance any indebtedness we incur in the future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including working capital needs or acquisition needs, our financial condition and results of operations may be adversely affected. If we cannot generate sufficient cash flow from operations to make scheduled principal amortization and interest payments on our future debt obligations, we may need to refinance all or a portion of our indebtedness on or before maturity, sell assets, delay vendor payments and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211" w:lineRule="exact"/>
        <w:rPr>
          <w:sz w:val="20"/>
          <w:szCs w:val="20"/>
          <w:color w:val="auto"/>
        </w:rPr>
      </w:pPr>
    </w:p>
    <w:p>
      <w:pPr>
        <w:ind w:right="7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current and future indebtedness may contain restrictive covenants and our failure to comply with any of these covenants could put us in default, which would have an adverse effect on our business and prospects.</w:t>
      </w:r>
    </w:p>
    <w:p>
      <w:pPr>
        <w:spacing w:after="0" w:line="19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2020 Credit Facility imposes certain terms and restrictive covenants of these borrowings and the terms of any future indebtedness will likely impose similar restrictions. The 2020 Credit Facility contains, and agreements governing any future indebtedness may contain, a number of covenants which put some limits on our ability to, among other things:</w:t>
      </w:r>
    </w:p>
    <w:p>
      <w:pPr>
        <w:spacing w:after="0" w:line="19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dispose of assets;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and other business combinations;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dividends and distributions on, or repurchases of, equity;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advances or investments, or give guarantees;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39"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The 2020 Credit Facility also requires us to maintain a specified total leverage ratio, fixed charge coverage ratio and asset coverage ratio and our ability to meet these financial ratios may be affected by events beyond our control, and we may not satisfy such a test. A breach of the covenants in the 2020 Credit Facility or any agreements governing future debt obligations could result in a default under such agreements.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are accelerated because of a default and we are unable to pay such amounts, our lenders may have the right to assume control of substantially all of the assets securing the indebtedness.</w:t>
      </w: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changes to interest rates could affect the value of any investments and interest income thereof, or could significantly change the cost of any borrowing.</w:t>
      </w:r>
    </w:p>
    <w:p>
      <w:pPr>
        <w:spacing w:after="0" w:line="172"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Borrowings under the 2020 Credit Facility accrue interest at variable rates and expose us to interest rate risk. Interest rates may fluctuate in the future. Although we have explored in the past various hedging strategies, we do not currently hedge our interest rate exposure under the 2020 Credit Facility. As a result, interest rates under the agreement or other variable rate debt obligations could be higher or lower than current levels. If interest rates increase, our debt service obligations on any future variable rate indebtedness could be significant.</w:t>
      </w:r>
    </w:p>
    <w:p>
      <w:pPr>
        <w:spacing w:after="0" w:line="20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generally operate with a small target cash balance, and when that level is exceeded, we invest any excess in interest generating investments with generally short maturities consistent with our projected cash business needs. Any change in interest rates could affect the income from our cash equivalent balance and such investments, and might impact the market value of such holdings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1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shares among our existing executive officers, directors and principal shareholders may prevent new investors from influencing significant corporate decisions.</w:t>
      </w:r>
    </w:p>
    <w:p>
      <w:pPr>
        <w:spacing w:after="0" w:line="19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Based upon our shares of common stock outstanding as of December 31, 2024, our executive officers, directors and shareholders who own more than 5% of our outstanding share capital, in the aggregate, beneficially own over 30% of our outstanding shares of common stock. These shareholders, acting together, are able to significantly influence all matters requiring shareholder approval, including the election and removal of directors and approval of any merger, consolidation or sale of all or substantially all of our assets.</w:t>
      </w:r>
    </w:p>
    <w:p>
      <w:pPr>
        <w:spacing w:after="0" w:line="21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of our shareholders have entered into a shareholders’ agreement to support each other’s director nominees. For so long as such agreement remains, the remaining shareholders may be prevented from having an influence on the Board.</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shareholders purchased their shares at prices substantially below the current market price and have held their shares for a long period, they may be more interested in selling our Company to an acquirer than other investors, or they may want us to pursue strategies that deviate from the interests of other shareholders.</w:t>
      </w:r>
    </w:p>
    <w:p>
      <w:pPr>
        <w:spacing w:after="0" w:line="19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Furthermore, 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7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and Nasdaq regarding our internal control over financial reporting. These rules and regulations require, among other things, that we establish and periodically evaluate procedures with respect to our internal control over financial reporting. Reporting obligations as a public company place a considerable strain on our financial and management systems, processes and controls, as well as on our personnel.</w:t>
      </w:r>
    </w:p>
    <w:p>
      <w:pPr>
        <w:spacing w:after="0" w:line="18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a public company, we are required to document and test our internal control over financial reporting pursuant to Section 404 of the Sarbanes-Oxley Act so that our management can evaluate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Likewise, our independent registered public accounting firm is required to</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provide an attestation report on the effectiveness of our internal control over financial reporting. Our compliance with Section 404(a) requires that we incur substantial expenses and expend significant management efforts. If our management is unable to certify the effectiveness of our internal control or if our independent registered public accounting firm cannot deliver a report attesting to the effectiveness of our internal control over financial reporting when required, or if we identify or fail to remediate any significant deficiencies or material weaknesses in our internal controls, we could be subject to regulatory scrutiny and loss of public confidence, which could seriously harm our reputation, and the price per share of our common stock may be adversely affected. See "Controls and Procedures" in Part II, Item 9A, for management’s annual report on internal control over financial reporting as of December 31, 2024.</w:t>
      </w:r>
    </w:p>
    <w:p>
      <w:pPr>
        <w:spacing w:after="0" w:line="22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have incurred costs related to our implementation of an internal audit and compliance function and expect to incur additional costs to further improve our internal control environment in the future. 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Further, if we do not maintain adequate financial and management personnel, processes, and controls, we may not be able to manage our business effectively or accurately report our financial performance on a timely basis, adversely affecting our business and the price per share of our common stock.</w:t>
      </w:r>
    </w:p>
    <w:p>
      <w:pPr>
        <w:spacing w:after="0" w:line="20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Consequently, any gains from an investment in our common stock will likely depend on whether the price of our common stock increases.</w:t>
      </w:r>
    </w:p>
    <w:p>
      <w:pPr>
        <w:spacing w:after="0" w:line="18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Moreover, the terms of our existing arrangements of indebtedness restrict our ability to pay dividends under certain circumstances,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which may never occur, as the only way to realize any future gains on their investment.</w:t>
      </w:r>
    </w:p>
    <w:p>
      <w:pPr>
        <w:spacing w:after="0" w:line="200"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common stock.</w:t>
      </w:r>
    </w:p>
    <w:p>
      <w:pPr>
        <w:spacing w:after="0" w:line="19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the Board. Because the Board is responsible for appointing the members of our management team, these provisions could in turn affect any attempt by our stockholders to replace current members of our management team. Among others, these provisions include that:</w:t>
      </w:r>
    </w:p>
    <w:p>
      <w:pPr>
        <w:spacing w:after="0" w:line="2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forum for certain litigation against us is restricted to Delaware or the federal courts, as applicable;</w:t>
      </w:r>
    </w:p>
    <w:p>
      <w:pPr>
        <w:spacing w:after="0" w:line="252"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the exclusive right to expand the size of the Board and to elect directors to fill a vacancy created by the expansion of the Board or the resignation, death or removal of a director, which prevents stockholders from being able to fill vacancies on the Board;</w:t>
      </w:r>
    </w:p>
    <w:p>
      <w:pPr>
        <w:spacing w:after="0" w:line="18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divided into three classes, Class I, Class II and Class III, with each class serving staggered three-year terms, which may delay the ability of stockholders to change the membership of a majority of the Board;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our stockholders;</w:t>
      </w:r>
    </w:p>
    <w:p>
      <w:pPr>
        <w:spacing w:after="0" w:line="23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the chair of the Board, a chief executive officer, or the Board, which may delay the ability of our stockholders to force consideration of a proposal or to take action, including the removal of directors;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alter our bylaws without obtaining stockholder approval;</w:t>
      </w:r>
    </w:p>
    <w:p>
      <w:pPr>
        <w:spacing w:after="0" w:line="238"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96" w:lineRule="exact"/>
        <w:rPr>
          <w:rFonts w:ascii="Times New Roman" w:cs="Times New Roman" w:eastAsia="Times New Roman" w:hAnsi="Times New Roman"/>
          <w:sz w:val="18"/>
          <w:szCs w:val="18"/>
          <w:color w:val="auto"/>
        </w:rPr>
      </w:pPr>
    </w:p>
    <w:p>
      <w:pPr>
        <w:ind w:left="660" w:right="2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in order to nominate individuals for election to the Board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96"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20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Moreover,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unless certain requirements are met, provided, however, that, under our amended and restated certificate of incorporation, Verlinvest Beverages SA and any of its affiliates will not be deemed to be interested stockholders regardless of the percentage of our outstanding voting stock owned by them, and accordingly will not be subject to such restrictions.</w:t>
      </w:r>
    </w:p>
    <w:p>
      <w:pPr>
        <w:spacing w:after="0" w:line="21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capital stock in connection with financings, acquisitions, investments, our equity incentive plans, or otherwise, which will dilute other stockholders.</w:t>
      </w:r>
    </w:p>
    <w:p>
      <w:pPr>
        <w:spacing w:after="0" w:line="18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It is possible in the future that we may issue additional capital stock that will result in dilution to all other stockholders. We may also raise capital through equity financings in the future. As part of our business strategy, we may acquire or make investments in companies and issue equity securities as consideration for any such acquisition or investment, including issuances in connection with any acquisition-related earnout provision. Any such issuances of additional capital stock may cause stockholders to experience significant dilution of their ownership interests and the per share value of our common stock to decline.</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0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following actions must be exclusively brought in the Court of Chancery of the State of Delaware or, if such court does not have subject matter jurisdiction thereof, the federal district court of the State of Delaware:</w:t>
      </w:r>
    </w:p>
    <w:p>
      <w:pPr>
        <w:spacing w:after="0" w:line="20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265" w:lineRule="exact"/>
        <w:rPr>
          <w:rFonts w:ascii="Arial" w:cs="Arial" w:eastAsia="Arial" w:hAnsi="Arial"/>
          <w:sz w:val="22"/>
          <w:szCs w:val="22"/>
          <w:color w:val="auto"/>
        </w:rPr>
      </w:pPr>
    </w:p>
    <w:p>
      <w:pPr>
        <w:ind w:left="660" w:right="30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of breach of a fiduciary duty owed by any current or former director, officer, other employee or stockholder of the Company to the Company or the Company’s stockholders; </w:t>
      </w:r>
    </w:p>
    <w:p>
      <w:pPr>
        <w:spacing w:after="0" w:line="240" w:lineRule="exact"/>
        <w:rPr>
          <w:rFonts w:ascii="Arial" w:cs="Arial" w:eastAsia="Arial" w:hAnsi="Arial"/>
          <w:sz w:val="22"/>
          <w:szCs w:val="22"/>
          <w:color w:val="auto"/>
        </w:rPr>
      </w:pPr>
    </w:p>
    <w:p>
      <w:pPr>
        <w:jc w:val="both"/>
        <w:ind w:left="660" w:right="160" w:hanging="328"/>
        <w:spacing w:after="0" w:line="239"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governed by the internal affairs doctrine of the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20" w:firstLine="648"/>
        <w:spacing w:after="0" w:line="243"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the federal district courts of the United States are the exclusive forum for the resolution of any complaint asserting a cause or causes of action arising under the Securities Act, including all causes of action asserted against a defendant to such complaint. The choice of forum provisions do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22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may adversely affect our business and financial condition.</w:t>
      </w:r>
    </w:p>
    <w:p>
      <w:pPr>
        <w:spacing w:after="0" w:line="25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There could be significant changes in tax laws and regulations that could result in additional federal income taxes being imposed on us or changes to taxes in other jurisdictions. Any adverse developments in these laws or regulations, including legislative changes, judicial holdings or administrative interpretations, could have a material and adverse effect on our business, financial condition, results of operations and cash flows. Changes in tax rates or exposure to additional tax liabilities or assessments could affect our profitability, and audits by tax authorities could result in additional tax payments.</w:t>
      </w:r>
    </w:p>
    <w:p>
      <w:pPr>
        <w:spacing w:after="0" w:line="200"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are based on assumptions that change or prove to be incorrect, our results of operations could fall below the expectations of our investors and securities analysts, resulting in a decline in the trading price of our common stock.</w:t>
      </w:r>
    </w:p>
    <w:p>
      <w:pPr>
        <w:spacing w:after="0" w:line="17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assumptions that affect the amounts reported in our consolidated financial statements and accompanying notes. We base our estimates on many factors, including historical experience and various other assumptions that we believe to be reasonable under the circumstances, as discussed in Part II, Item 7. “Management’s Discussion and Analysis of Financial Condition and Results of Operations” included elsewhere in this Annual Report on Form 10-K, the results of which form the basis for making judgments about the carrying values of assets, liabilities, equity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Existence as a Public Benefit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as a Delaware public benefit corporation, and we cannot provide any assurance that we will achieve our public benefit purpose.</w:t>
      </w:r>
    </w:p>
    <w:p>
      <w:pPr>
        <w:spacing w:after="0" w:line="22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As a public benefit corporation, we are required to produce a public benefit or benefits and to operate in a responsible and sustainable manner, balancing our stockholders’ pecuniary interests, the best interests of those materially affected by our conduct, and the public benefit or benefits identified by our amended and restated certificate of incorporation. There is no assurance that we will achieve our public benefit purpose or that the expected positive impact from being a public benefit corporation will be realized, which could have a material adverse effect on our reputation, which in turn may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As a public benefit corporation, we are required to publicly disclose a report at least biennially on our overall public benefit performance and on our assessment of our success in achieving our specific public benefit purpose. If we are unable to provide the report, if we are unable to provide the report in a timely manner, or if the report is not viewed favorably by parties doing business with us or regulators or others reviewing our credentials, our reputation and status as a public benefit corporation may be harmed and we could be subject to derivative litigation</w:t>
      </w:r>
      <w:r>
        <w:rPr>
          <w:rFonts w:ascii="Times New Roman" w:cs="Times New Roman" w:eastAsia="Times New Roman" w:hAnsi="Times New Roman"/>
          <w:sz w:val="18"/>
          <w:szCs w:val="18"/>
          <w:b w:val="1"/>
          <w:bCs w:val="1"/>
          <w:i w:val="1"/>
          <w:iCs w:val="1"/>
          <w:color w:val="auto"/>
        </w:rPr>
        <w:t>.</w:t>
      </w:r>
    </w:p>
    <w:p>
      <w:pPr>
        <w:spacing w:after="0" w:line="268"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 a Delaware public benefit corporation, our focus on a specific public benefit purpose and producing a positive effect for society may negatively impact our financial performance or increase legal risk.</w:t>
      </w:r>
    </w:p>
    <w:p>
      <w:pPr>
        <w:spacing w:after="0" w:line="185"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Unlike traditional corporations, which have a fiduciary duty to focus exclusively on maximizing stockholder value, our directors have a fiduciary duty to consider not only the stockholders’ interests, but also the Company’s specific public benefit and the interests of other stakeholders affected by our actions. Therefore, we may take actions that we believe will be in the best interests of those stakeholders materially affected by our specific benefit purpose, even if those actions do not maximize our financial results. While we intend for this public benefit designation and obligation to provide an overall net benefit to us, our stockholders and our customers, it could instead cause us to make decisions and take actions without seeking to maximize the income generated from our business. Our pursuit of longer-term or non-pecuniary benefits related to this public benefit designation may not materialize within the timeframe we expect or at all, yet may have an immediate negative effect on any amounts available for distribution to our stockholders. Accordingly, being a public benefit corporation may have a material adverse effect on our business, results of operations, financial condition and cash flows, which in turn could cause our stock price to decline.</w:t>
      </w:r>
    </w:p>
    <w:p>
      <w:pPr>
        <w:spacing w:after="0" w:line="21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As a public benefit corporation, we may be less attractive as a takeover target than a traditional company would be, and, therefore, your ability to realize your investment through a sale may be limited. Under Delaware law, a public benefit corporation cannot merge or consolidate with another entity if, as a result of such merger or consolidation, the surviving entity’s charter “does not contain the identical provisions identifying the public benefit or public benefits,” unless the transaction receives approval from two-thirds of the target public benefit corporation’s outstanding voting shares. Additionally, public benefit corporations may also not be attractive targets for activists or hedge fund investors because new directors would still have to consider and give appropriate weight to the public benefit along with shareholder value, and shareholders committed to the public benefit can enforce this through derivative suits. Further, by requiring that boards of directors of public benefit corporations consider additional constituencies other than maximizing shareholder value, Delaware public benefit corporation law could potentially make it easier for a board to reject a hostile bid, even where the takeover would provide the greatest short-term financial yield to investors. Additionally, being a public benefit corporation may result in a different assessment of potential acquisitions than a traditional corporation and may limit the suitable pool of such targets.</w:t>
      </w:r>
    </w:p>
    <w:p>
      <w:pPr>
        <w:spacing w:after="0" w:line="21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Stockholders of a Delaware public benefit corporation (if they, individually or collectively, own at least 2% of the Company’s outstanding shares or, upon our listing, the lesser of such percentage or shares of at least $2 million in market value) are entitled to file a derivative lawsuit claiming the directors failed to balance stockholder and public benefit interests. This potential liability does not exist for traditional corporations. Therefore, we may be subject to the possibility of increased derivative litigation, which would require the attention of our management, and, as a result, may adversely impact our management’s ability to effectively execute our strategy. Additionally, any such derivative litigation may be costly, which may have an adverse impact on our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have a fiduciary duty to consider not only our stockholders’ interests, but also our specific public benefit and the interests of other</w:t>
      </w:r>
    </w:p>
    <w:p>
      <w:pPr>
        <w:spacing w:after="0" w:line="6"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stakeholders affected by our actions. If a conflict between such interests arises, there is no guarantee that such a conflict would be resolved in favor of our stockholders.</w:t>
      </w:r>
    </w:p>
    <w:p>
      <w:pPr>
        <w:spacing w:after="0" w:line="198"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While directors of a traditional corporation are required to make decisions that they believe to be in the best interests of their stockholders, directors of a public benefit corporation have a fiduciary duty to consider not only the stockholders’ interests, but also how its stakeholders are affected by the company’s actions. Under Delaware law, directors are shielded from liability for breach of these obligations if they make informed and disinterested decisions that serve a rational purpose. Thus, unlike traditional corporations which must focus exclusively on stockholder value, our directors are not merely permitted, but obligated, to consider our specific public benefit and the interests of other stakeholders. In the event of a conflict between the interests of our stockholders and the interests of our specific public benefit or our other stakeholders, our directors must only make informed and disinterested decisions that serve a rational purpose; thus, there is no guarantee such a conflict would be resolved in favor of our stockholders. While we believe our public benefit designation and obligation will benefit our stockholders, in balancing these interests, the Board may take actions that do not maximize stockholder value. Any benefits to stockholders resulting from our public benefit purposes may not materialize within the timeframe we expect or at all and may have negative effects.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4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revise our policies in ways that we believe will be beneficial to our stakeholders, including suppliers, employees and local communities, even though the changes may be costly;</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take actions that exceed regulatory requirements, even though these actions may be more costly than other alternatives;</w:t>
      </w:r>
    </w:p>
    <w:p>
      <w:pPr>
        <w:spacing w:after="0" w:line="23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influenced to pursue programs and services to further our commitment to the communities to which we serve even though there is no immediate return to our stockholders; or</w:t>
      </w:r>
    </w:p>
    <w:p>
      <w:pPr>
        <w:spacing w:after="0" w:line="202"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responding to a possible proposal to acquire the Company, the Board has a fiduciary duty to consider the interests of our other stakeholders, including suppliers, employees and local communities, whose interests may be different from the interests of our stockholders.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may be unable or slow to realize the benefits we expect from actions taken to benefit our stakeholders, which could have a material adverse effect on our business, financial condition, results of operations, and cash flows, which in turn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262626"/>
        </w:rPr>
        <w:t>We face significant and persistent cybersecurity risks due to the global nature of our business, the use of i</w:t>
      </w:r>
      <w:r>
        <w:rPr>
          <w:rFonts w:ascii="Times New Roman" w:cs="Times New Roman" w:eastAsia="Times New Roman" w:hAnsi="Times New Roman"/>
          <w:sz w:val="18"/>
          <w:szCs w:val="18"/>
          <w:color w:val="000000"/>
        </w:rPr>
        <w:t>nformation technology systems,</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infrastructure and data in our business operations and our reliance on third-party vendors, suppliers, customers and business partners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00000"/>
        </w:rPr>
        <w:t xml:space="preserve"> We defend our systems against cybersecurity attacks on a daily basis and rely heavily on the reliability, security and efficiency of our information technology systems and ongoing employee training to face these threats. In addition, t</w:t>
      </w:r>
      <w:r>
        <w:rPr>
          <w:rFonts w:ascii="Times New Roman" w:cs="Times New Roman" w:eastAsia="Times New Roman" w:hAnsi="Times New Roman"/>
          <w:sz w:val="18"/>
          <w:szCs w:val="18"/>
          <w:color w:val="262626"/>
        </w:rPr>
        <w:t>o protect our business, we have implemented a cybersecurity risk management program with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62626"/>
        </w:rPr>
        <w:t>robust governance structure and strong mechanisms, controls, technologies, and processes designed to help us assess, identify, and manage these risks.</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262626"/>
        </w:rPr>
        <w:t>We rely on a multidisciplinary team, including our information security function, legal department, management, and third-party service providers, as described further below, to identify, assess, and manage cybersecurity threats and risks. These processes include, among other things, annual security awareness training for employees, programs to increase awareness of phishing attempts, tools to detect and monitor unusual network activity, and processes to contain, escalate and respond to incidents. In addition, we have an enterprise Information Security Policy describing our cybersecurity program and governance structure and the processes and procedures in place to identify, mitigate and remediate cybersecurity threats and risks.</w:t>
      </w:r>
    </w:p>
    <w:p>
      <w:pPr>
        <w:spacing w:after="0" w:line="19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262626"/>
        </w:rPr>
        <w:t>To further protect our business, we partner with a third party vendor to provide cybersecurity and risk management as a managed service offering. They provide cybersecurity risk assessment and threat intelligence to the Company, in addition to acting as a managed service provider for our information technology program. We decided to retain a third party for these services given the small size of our Company and internal information technology staff and the quality, comprehensiveness, and cost-effectiveness of the services offered. An internal team, led by our Vice President of Information Technology, oversees and works collaboratively with this third party vendor to evaluate the strength of our cybersecurity protocols and the results of testing to determine what additional actions, such as trainings or remedial actions, are necessary to lessen cybersecurity risks. We intend to continue to make investments to monitor and maintain the security of our data and cybersecurity infrastructure.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Third Party Risk Management</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262626"/>
        </w:rPr>
        <w:t>We also monitor and manage cybersecurity risks associated with our third-party service providers, including our managed security service provider, suppliers, customers and vendors, through, among other things, the processes set forth in our policies and procedures, due diligence processes, regular oversight, monitoring and auditing of our relationships by internal staff, supplier codes of conduct and escalation practices for reporting issues. We require our third-party providers to meet appropriate security requirements and controls prior to providing access to our internal systems, and investigate and report any security incidents, as appropriate.</w:t>
      </w:r>
    </w:p>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262626"/>
        </w:rPr>
        <w:t>Based on the information available as of the date of this Annual Report on Form 10-K, we are not aware of any risks from cybersecurity threats, including as a result of any cybersecurity incidents, which have materially affected or are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262626"/>
        </w:rPr>
        <w:t>reasonably likely to materially affect us, including our business strategy, results of operations, or financial condition. Despite our security measures, however, there can be no assurance that we, or the third parties with which we interact, will not experience a cybersecurity incident in the future that will materially affect us. For more information, see "Risk Factors</w:t>
      </w:r>
      <w:r>
        <w:rPr>
          <w:rFonts w:ascii="Times New Roman" w:cs="Times New Roman" w:eastAsia="Times New Roman" w:hAnsi="Times New Roman"/>
          <w:sz w:val="18"/>
          <w:szCs w:val="18"/>
          <w:color w:val="000000"/>
        </w:rPr>
        <w:t>—Risks Related to Our Information Technology and Intellectual Property" in Part I, Item IA of</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02"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The Board has ultimate oversight of the Company's risk management. In accordance with its charter, the Audit Committee of the Board is responsible for overseeing our enterprise risk management program on behalf of the Board, including material risks related to cybersecurity threats, and reporting on these matters to the Board. The Audit Committee receives regular updates from management, including the information technology and legal teams, on cybersecurity risk resulting from risk assessments and reviews any information on relevant internal and industry cybersecurity incidents and is notified between such updates relative to any incidents which could materially affect the Company. Based on this information, our Audit Committee monitors the Company's cybersecurity program, including potential threats, weaknesses and vulnerabilities, and reviews the policies and procedures in place to prevent, detect and respond to cybersecurity threats and unauthorized access to our information security systems. Significant findings related to cybersecurity, data and technology risks or incidents are regularly reported to and discussed at the Board level. Three members of our Board, two of which are Audit Committee members, have received certifications in cyber-risk oversight through the National Association of Corporate Directors.</w:t>
      </w:r>
    </w:p>
    <w:p>
      <w:pPr>
        <w:spacing w:after="0" w:line="21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Management, in coordination with our information technology department, is responsible for assessing the risk of cybersecurity threats and hiring appropriate personnel and third-party consultants to oversee the cybersecurity program. Specifically, these processes are overseen by our multidisciplinary Technology Risk and Information Security Committee, which consists of leaders from our Information Technology, Operations, Finance, Internal Audit and Legal teams. Such individuals have an average of over 15 years of prior work experience in various roles across multiple industries involving information technology, risk management, operations and legal matters.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corporate headquarters is currently located in Manhattan, New York, at 250 Park Avenue South, where we lease office space that provides</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support to both our Americas and International segments. As of December 31, 2024, we occupied office facilities totaling approximately 29,400 square feet in the U.S., Singapore, and London, with the Singapore and London facilities primarily supporting our International segment and global supply chain. In August 2024, we entered into a lease agreement, effective January 1, 2025, to relocate our New York corporate headquarters within Manhattan, and will</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enter the new premises later in 2025. We have also leased a new space in London and will relocate this office later in 2025. We believe that these new office spaces will be adequate to support our requirements in New York and London..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660" w:firstLine="648"/>
        <w:spacing w:after="0" w:line="237"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154"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880"/>
        <w:spacing w:after="0" w:line="46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660"/>
        <w:spacing w:after="0"/>
        <w:rPr>
          <w:sz w:val="20"/>
          <w:szCs w:val="20"/>
          <w:color w:val="auto"/>
        </w:rPr>
      </w:pPr>
      <w:r>
        <w:rPr>
          <w:rFonts w:ascii="Times New Roman" w:cs="Times New Roman" w:eastAsia="Times New Roman" w:hAnsi="Times New Roman"/>
          <w:sz w:val="18"/>
          <w:szCs w:val="18"/>
          <w:color w:val="auto"/>
        </w:rPr>
        <w:t>Our stock currently trades on The Nasdaq Stock Market LLC under the ticker symbol "COCO".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24, 2025, there were 33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for the operation and expansion of our business, and any authorized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share repurchases and do not anticipate declaring or paying any dividends in the foreseeable future. Any future determination related to our dividend policy will be made at the discretion of our Board after considering our financial condition, results of operations, capital requirements, contractual requirements, business prospects and other factors the Board deems relevant. In addition, the terms of our current credit facilities contain restrictions on our ability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 and pay dividends under certain limited circumstances.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8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Company did not sell any equity securities during the three months and year ended December 31, 2024 that were not registered under the Securities Act.</w:t>
      </w:r>
    </w:p>
    <w:p>
      <w:pPr>
        <w:spacing w:after="0" w:line="163"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On October 30, 2023, the Company's Board approved a share repurchase program ("Program") authorizing the Company to repurchase up to $40 million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During the years ended December 31, 2024 and 2023, the Company repurchased 504,246 shares at a cost of $12.0 million, and 30,000 shares at a cost of $0.8 million under the Program, respectively. Approximately $27.2 million remained available for future purchases under the Program as of December 31, 2024.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4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following graph illustrates the total return from October 22, 2021 through December 31, 2024, for (i) our common stock, (ii) the Russell 2000 Index, (iii) the NASDAQ Composite Index, and (iv) the NASDAQ US Smart Food &amp; Beverage Index. The graph assumes that $100 was invested on October 22, 2021 in our common stock, the Russell 2000 Index, the NASDAQ Composite Index, and the NASDAQ US Smart Food &amp; Beverage Index, and that any dividends were reinvested. The graph assumes our closing sales price on October 22, 2021 of $13.95 per share as the initial value of our common stock and not the initial offering price to the public of $15.00 per share. The comparisons reflected in the graph are not intended to forecast the future performance of our stock and may not be indicative of our future performance.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5923280" cy="2794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2328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ind w:right="20" w:firstLine="551"/>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Form 10-K. Our historical results are not necessarily indicative of the results that may be expected for any period in the future. Except as otherwise noted, all references to 2024 refer to the year ended December 31, 2024, all references to 2023 refer to the year ended December 31, 2023 and all references to 2022, refer to the year ended December 31, 2022.</w:t>
      </w:r>
    </w:p>
    <w:p>
      <w:pPr>
        <w:spacing w:after="0" w:line="195" w:lineRule="exact"/>
        <w:rPr>
          <w:sz w:val="20"/>
          <w:szCs w:val="20"/>
          <w:color w:val="auto"/>
        </w:rPr>
      </w:pPr>
    </w:p>
    <w:p>
      <w:pPr>
        <w:ind w:right="80" w:firstLine="551"/>
        <w:spacing w:after="0" w:line="247" w:lineRule="auto"/>
        <w:rPr>
          <w:sz w:val="20"/>
          <w:szCs w:val="20"/>
          <w:color w:val="auto"/>
        </w:rPr>
      </w:pPr>
      <w:r>
        <w:rPr>
          <w:rFonts w:ascii="Times New Roman" w:cs="Times New Roman" w:eastAsia="Times New Roman" w:hAnsi="Times New Roman"/>
          <w:sz w:val="18"/>
          <w:szCs w:val="18"/>
          <w:i w:val="1"/>
          <w:iCs w:val="1"/>
          <w:color w:val="auto"/>
        </w:rPr>
        <w:t>This section of this Annual Report on Form 10-K generally discusses the years ended December 31, 2024 and 2023 and year-over-year comparisons between the years ended December 31, 2024 and 2023. Discussions of the periods prior to the year ended December 31, 2023 that are not included in this Annual Report on Form 10-K are found in "Management's Discussion and Analysis of Financial Condition and Results of Operations" in Part II, Item 7 of our Annual Report on Form 10-K for the year ended December 31, 2023 and the discussion therein for the year ended December 31, 2023 compared to the year ended December 31,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18"/>
          <w:szCs w:val="18"/>
          <w:color w:val="auto"/>
        </w:rPr>
        <w:t>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10"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previously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pacing w:after="0" w:line="21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source our coconut water from a diversified global network of 17 factories across seven countries supported by thousands of coconut farmers. As we do not own any of these factories, our supply chain is a fixed asset-lite model designed to better react to changes in the market or consumer preferences. We also work with co-packers across four countries to support local packaging and repacking of our products and to better service our customers’ needs.</w:t>
      </w:r>
    </w:p>
    <w:p>
      <w:pPr>
        <w:sectPr>
          <w:pgSz w:w="11900" w:h="16838" w:orient="portrait"/>
          <w:cols w:equalWidth="0" w:num="1">
            <w:col w:w="11140"/>
          </w:cols>
          <w:pgMar w:left="320" w:top="10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Vita Coco </w:t>
      </w:r>
      <w:r>
        <w:rPr>
          <w:rFonts w:ascii="Times New Roman" w:cs="Times New Roman" w:eastAsia="Times New Roman" w:hAnsi="Times New Roman"/>
          <w:sz w:val="17"/>
          <w:szCs w:val="17"/>
          <w:color w:val="auto"/>
        </w:rPr>
        <w:t>is available in over 35 countries, with our primary markets in North America, the U.K., and Germany. Our primary markets for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label are North America and Europe. Our products are distributed primarily through club, food, drug, mass, convenience, e-commerce, and foodservice channels. Our products are also available in a variety of on-premise locations such as corporate offices, fitness clubs, airports, and educational institutions.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16" w:lineRule="exact"/>
        <w:rPr>
          <w:sz w:val="20"/>
          <w:szCs w:val="20"/>
          <w:color w:val="auto"/>
        </w:rPr>
      </w:pPr>
    </w:p>
    <w:p>
      <w:pPr>
        <w:ind w:right="420" w:firstLine="551"/>
        <w:spacing w:after="0" w:line="266"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upon many factors, including the key trends and uncertainties highlighted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Supply Chain and Shipping</w:t>
      </w:r>
    </w:p>
    <w:p>
      <w:pPr>
        <w:spacing w:after="0" w:line="202" w:lineRule="exact"/>
        <w:rPr>
          <w:sz w:val="20"/>
          <w:szCs w:val="20"/>
          <w:color w:val="auto"/>
        </w:rPr>
      </w:pPr>
    </w:p>
    <w:p>
      <w:pPr>
        <w:ind w:right="20" w:firstLine="180"/>
        <w:spacing w:after="0" w:line="250" w:lineRule="auto"/>
        <w:rPr>
          <w:sz w:val="20"/>
          <w:szCs w:val="20"/>
          <w:color w:val="auto"/>
        </w:rPr>
      </w:pPr>
      <w:r>
        <w:rPr>
          <w:rFonts w:ascii="Times New Roman" w:cs="Times New Roman" w:eastAsia="Times New Roman" w:hAnsi="Times New Roman"/>
          <w:sz w:val="18"/>
          <w:szCs w:val="18"/>
          <w:color w:val="auto"/>
        </w:rPr>
        <w:t>Our global asset-light supply chain model has been an integral part of our ability to efficiently scale our business and compete in the marketplace, and to support our private label business. This asset-light model allows us to effectively manage total delivery costs and afford greater ability to shift volume between our suppliers to optimize our supply chain, and better manage our supply levels. In addition, our scale of sourcing has allowed us to add capacity as needed and service retailers more reliably, and we believe that our global position as one of the largest and highest quality coconut water procurers in the world protects our customer and supplier relationships.</w:t>
      </w:r>
    </w:p>
    <w:p>
      <w:pPr>
        <w:spacing w:after="0" w:line="204"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However, in order to make our supply chain model successful and efficient, we source a large amount of our finished goods from international countries, which exposes us to international supply chain inflation, particularly ocean freight. Uncertainty in the macroeconomic environment resulting from geopolitical and economic instability (including the effects of current wars and other international conflicts) and variability in interest rates, foreign exchange rates and inflationary cost environments may affect our global supply chain. Inflation rates and foreign exchange rate movements varies by country and relevant period, and can impact our expenses significantly.</w:t>
      </w:r>
    </w:p>
    <w:p>
      <w:pPr>
        <w:spacing w:after="0" w:line="22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experienced significant inflation and instability on transportation costs over the past three years, which affected our costs and margins significantly. Although we saw these transportation costs return to near pre-pandemic levels in the middle of 2023, in 2024, we saw significant cost increases and supply constraints caused by recent geopolitical disruption. We expect instability in pricing to continue caused by recent geopolitical disruption of shipping lanes due to ocean carriers avoiding the Gulf of Aden and Red Sea regions due primarily to concerns that Houthi forces, based in Yemen, may attack freighters. We experienced spot cost increases for ocean freight routes from Asia, and then more significant cost increases when carriers began to route away from the Suez Canal. As a result, beginning in the late spring of 2024 and for most of the summer, we were challenged to secure the ocean container capacity that we needed. In early October 2024, the east coast ports of the U.S. experienced a labor strike that temporarily shut those ports, resulting in some delays even after the ports reopened. While a deal has been announced to enter into a new labor agreement, and no port disruption is expected, it is unclear if a final agreement has been ratified, so some disruption risk remains. When disruptions like port strikes are anticipated, the ocean freight carriers may issue notices of impending surcharges to be applied if the disruption occurs, which creates uncertainty as to our actual expected costs. The changes in shipping container prices and service levels and cost increases in shipping and port congestion related costs have materially impacted our financial results in recent years. Due to the price sensitivity of our products, we may not be able to pass such increases on to our customers without impacting our volume, revenue, margins, and operating results and we have no certainty when these pressures may lessen. The Company is continuing to monitor the situation carefully to understand any future potential impact on its people and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Demand and Relationships with Key Customers</w:t>
      </w:r>
    </w:p>
    <w:p>
      <w:pPr>
        <w:spacing w:after="0" w:line="121" w:lineRule="exact"/>
        <w:rPr>
          <w:sz w:val="20"/>
          <w:szCs w:val="20"/>
          <w:color w:val="auto"/>
        </w:rPr>
      </w:pPr>
    </w:p>
    <w:p>
      <w:pPr>
        <w:ind w:right="40" w:firstLine="551"/>
        <w:spacing w:after="0" w:line="243" w:lineRule="auto"/>
        <w:rPr>
          <w:sz w:val="20"/>
          <w:szCs w:val="20"/>
          <w:color w:val="auto"/>
        </w:rPr>
      </w:pPr>
      <w:r>
        <w:rPr>
          <w:rFonts w:ascii="Times New Roman" w:cs="Times New Roman" w:eastAsia="Times New Roman" w:hAnsi="Times New Roman"/>
          <w:sz w:val="18"/>
          <w:szCs w:val="18"/>
          <w:color w:val="auto"/>
        </w:rPr>
        <w:t>Coconut water accounted for 96% of our revenue for the year ended December 31, 2024 and we believe that sales of coconut water will continue to be a significant portion of our business in the foreseeable future. The coconut water category has been growing steadily in recent years and our Vita Coco brand has successfully retained over 40% market share in the U.S. and over 82% market share in the U.K. in this category. We are also a significant supplier of private label coconut water and coconut oil products in the U.S. and Europe. Any material negative change to consumer demand for our products or coconut water generally, failure to grow the coconut water category, or loss of significant private label demand, could adversely affect our business. Consumer demand between branded products and private label may vary over time. In order to meet this consumer demand for our products, we also are subject to the risk of overly relying upon our largest customers for both our branded and private label business. For example, in 2023, we started the discontinuation of the private label coconut water and coconut oil supply relationship with one of our significant customers as the terms required to retain the business were contrary to our long term margin targets. While we continued the supply relationship for a significant portion of their private label coconut water needs in 2024 at the customer's request, we are expecting the loss of</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18"/>
          <w:szCs w:val="18"/>
          <w:color w:val="auto"/>
        </w:rPr>
        <w:t>further regions that we serviced for this customer during 2024. We will continue to service their needs if we are asked and it aligns with our long-term margin targets. Any loss of business or changes in our relationships with our key customers can impact our operating results in future periods, as may changes in consumer demand for private label versus branded products.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Generate Growth Through Product Innovation</w:t>
      </w:r>
    </w:p>
    <w:p>
      <w:pPr>
        <w:spacing w:after="0" w:line="108" w:lineRule="exact"/>
        <w:rPr>
          <w:sz w:val="20"/>
          <w:szCs w:val="20"/>
          <w:color w:val="auto"/>
        </w:rPr>
      </w:pPr>
    </w:p>
    <w:p>
      <w:pPr>
        <w:ind w:right="80" w:firstLine="551"/>
        <w:spacing w:after="0" w:line="245" w:lineRule="auto"/>
        <w:rPr>
          <w:sz w:val="20"/>
          <w:szCs w:val="20"/>
          <w:color w:val="auto"/>
        </w:rPr>
      </w:pPr>
      <w:r>
        <w:rPr>
          <w:rFonts w:ascii="Times New Roman" w:cs="Times New Roman" w:eastAsia="Times New Roman" w:hAnsi="Times New Roman"/>
          <w:sz w:val="18"/>
          <w:szCs w:val="18"/>
          <w:color w:val="auto"/>
        </w:rPr>
        <w:t xml:space="preserve">The beverage industry is subject to shifting consumer preferences which present opportunities for new beverage occasions, tastes and functional benefits. Our future success is therefore partially dependent on our ability to identify these trends and develop products and brands that effectively meet those needs. We also invest in sales and marketing and execute our sales strategy to develop and deepen consumers’ connection to our brand and new products and to create category growth and increase our branded share. Our innovation efforts focus on developing and marketing product extensions, improving upon the quality and taste profiles of existing products, and introducing new products or brands to meet evolving consumer needs. For example, in 2024 we introduced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a refreshingly sweet, flavorful coconutmilk-based drink for consumers looking for an indulgent treat. In 2025, we intend to expand distribution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to select retailers nationwide.</w:t>
      </w:r>
    </w:p>
    <w:p>
      <w:pPr>
        <w:spacing w:after="0" w:line="22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We maintain in-house research and development capabilities as well as strong third-party relationships with flavor development houses, and we monitor the latest advancements to support continued innovation and learning. Our ability to successfully improve existing products, or develop, market and sell new products or brands, or our ability to grow the category or gain branded share, depends on our commitment and continued investment in sales execution, marketing, innovation, and our willingness to try and fail and learn from our experiences.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Successfully Execute Both In-Store and Online</w:t>
      </w:r>
    </w:p>
    <w:p>
      <w:pPr>
        <w:spacing w:after="0" w:line="108" w:lineRule="exact"/>
        <w:rPr>
          <w:sz w:val="20"/>
          <w:szCs w:val="20"/>
          <w:color w:val="auto"/>
        </w:rPr>
      </w:pPr>
    </w:p>
    <w:p>
      <w:pPr>
        <w:ind w:right="100" w:firstLine="551"/>
        <w:spacing w:after="0" w:line="245" w:lineRule="auto"/>
        <w:rPr>
          <w:sz w:val="20"/>
          <w:szCs w:val="20"/>
          <w:color w:val="auto"/>
        </w:rPr>
      </w:pPr>
      <w:r>
        <w:rPr>
          <w:rFonts w:ascii="Times New Roman" w:cs="Times New Roman" w:eastAsia="Times New Roman" w:hAnsi="Times New Roman"/>
          <w:sz w:val="18"/>
          <w:szCs w:val="18"/>
          <w:color w:val="auto"/>
        </w:rPr>
        <w:t>To aid the growth of our business, we intend to continue improving our operational efficiency and leverage our brand position across channels, and therefore have a balanced approach to investment and development of capabilities in retail and e-commerce execution. Our DSD network is an important asset in executing physical retail programs and ensuring product availability and visibility in the U.S. In 2024, we offered more multi-packs in coconut water in U.S. retail to increase consumption with core consumers, and increased distribution of our other product offerings. Managing our DSD network requires relationship building and communication as to plans, and alignment of goals and interests, and we are not always a top priority for our DSD network. We also continue to expand our business in e-commerce, including our DTC business, and look to adapt our approaches as consumer and retail behavior changes to ensure we remain competitive and visible regardless of channel.</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6"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 through which we sell our products, the promotional environment in the marketplace, manufacturing costs, exchange rates, commodity prices and transportation rates. We expect that our gross margin will fluctuate from period to period depending on the interplay of these variables.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00" w:firstLine="551"/>
        <w:spacing w:after="0" w:line="258"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all of the operating costs incurred. Management uses gross profit and gross margin as key measures in making financial, operating and planning decisions and in evaluating our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firstLine="551"/>
        <w:spacing w:after="0" w:line="244"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08"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“—Qualitative and Quantitative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08"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“—Qualitative and Quantitative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payable on our credit facilities and vehicle loans.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6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00" w:lineRule="exact"/>
        <w:rPr>
          <w:sz w:val="20"/>
          <w:szCs w:val="20"/>
          <w:color w:val="auto"/>
        </w:rPr>
      </w:pPr>
    </w:p>
    <w:p>
      <w:pPr>
        <w:ind w:left="820" w:hanging="245"/>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U.S. and Canada.</w:t>
      </w:r>
    </w:p>
    <w:p>
      <w:pPr>
        <w:spacing w:after="0" w:line="10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00" w:lineRule="exact"/>
        <w:rPr>
          <w:sz w:val="20"/>
          <w:szCs w:val="20"/>
          <w:color w:val="auto"/>
        </w:rPr>
      </w:pPr>
    </w:p>
    <w:p>
      <w:pPr>
        <w:ind w:left="820" w:hanging="245"/>
        <w:spacing w:after="0" w:line="260"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56" w:lineRule="exact"/>
        <w:rPr>
          <w:rFonts w:ascii="Times New Roman" w:cs="Times New Roman" w:eastAsia="Times New Roman" w:hAnsi="Times New Roman"/>
          <w:sz w:val="18"/>
          <w:szCs w:val="18"/>
          <w:color w:val="auto"/>
        </w:rPr>
      </w:pPr>
    </w:p>
    <w:p>
      <w:pPr>
        <w:ind w:left="820" w:right="220" w:hanging="245"/>
        <w:spacing w:after="0" w:line="25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5" w:lineRule="exact"/>
        <w:rPr>
          <w:rFonts w:ascii="Times New Roman" w:cs="Times New Roman" w:eastAsia="Times New Roman" w:hAnsi="Times New Roman"/>
          <w:sz w:val="18"/>
          <w:szCs w:val="18"/>
          <w:color w:val="auto"/>
        </w:rPr>
      </w:pPr>
    </w:p>
    <w:p>
      <w:pPr>
        <w:jc w:val="both"/>
        <w:ind w:left="820" w:right="100" w:hanging="245"/>
        <w:spacing w:after="0" w:line="25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Ever &amp; Ever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PWR LIFT </w:t>
      </w:r>
      <w:r>
        <w:rPr>
          <w:rFonts w:ascii="Times New Roman" w:cs="Times New Roman" w:eastAsia="Times New Roman" w:hAnsi="Times New Roman"/>
          <w:sz w:val="18"/>
          <w:szCs w:val="18"/>
          <w:color w:val="auto"/>
        </w:rPr>
        <w:t>product offerings,</w:t>
      </w:r>
      <w:r>
        <w:rPr>
          <w:rFonts w:ascii="Times New Roman" w:cs="Times New Roman" w:eastAsia="Times New Roman" w:hAnsi="Times New Roman"/>
          <w:sz w:val="18"/>
          <w:szCs w:val="18"/>
          <w:i w:val="1"/>
          <w:iCs w:val="1"/>
          <w:color w:val="auto"/>
        </w:rPr>
        <w:t xml:space="preserve"> Vita Coco </w:t>
      </w:r>
      <w:r>
        <w:rPr>
          <w:rFonts w:ascii="Times New Roman" w:cs="Times New Roman" w:eastAsia="Times New Roman" w:hAnsi="Times New Roman"/>
          <w:sz w:val="18"/>
          <w:szCs w:val="18"/>
          <w:color w:val="auto"/>
        </w:rPr>
        <w:t>product extensions beyond coconut water, coconut milk products, and other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(e.g., bulk product sales). For these products, control is transferred upon customer receipt, at which point the Company recognizes the transaction price for the product as revenue.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00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spacing w:after="0"/>
              <w:rPr>
                <w:sz w:val="16"/>
                <w:szCs w:val="16"/>
                <w:color w:val="auto"/>
              </w:rPr>
            </w:pPr>
          </w:p>
        </w:tc>
      </w:tr>
      <w:tr>
        <w:trPr>
          <w:trHeight w:val="23"/>
        </w:trPr>
        <w:tc>
          <w:tcPr>
            <w:tcW w:w="12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122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tcBorders>
              <w:bottom w:val="single" w:sz="8" w:color="CCEEFF"/>
            </w:tcBorders>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6"/>
        </w:trPr>
        <w:tc>
          <w:tcPr>
            <w:tcW w:w="12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31"/>
        </w:trPr>
        <w:tc>
          <w:tcPr>
            <w:tcW w:w="12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5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317,230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312,883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63"/>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416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57"/>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r>
      <w:tr>
        <w:trPr>
          <w:trHeight w:val="25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63"/>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 instrument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6"/>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4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160.2 %</w:t>
            </w:r>
          </w:p>
        </w:tc>
      </w:tr>
      <w:tr>
        <w:trPr>
          <w:trHeight w:val="256"/>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416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63"/>
        </w:trPr>
        <w:tc>
          <w:tcPr>
            <w:tcW w:w="4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5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1"/>
        </w:trPr>
        <w:tc>
          <w:tcPr>
            <w:tcW w:w="1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5"/>
        </w:trPr>
        <w:tc>
          <w:tcPr>
            <w:tcW w:w="122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Company’s net sales by operating segment and product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3"/>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Vita Coco Coconut Water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343,288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Vita Coco Coconut Water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increase in net sales was driven by higher coconut water CE volumes across both the Americas and International segments, including </w:t>
      </w:r>
      <w:r>
        <w:rPr>
          <w:rFonts w:ascii="Times New Roman" w:cs="Times New Roman" w:eastAsia="Times New Roman" w:hAnsi="Times New Roman"/>
          <w:sz w:val="18"/>
          <w:szCs w:val="18"/>
          <w:i w:val="1"/>
          <w:iCs w:val="1"/>
          <w:color w:val="auto"/>
        </w:rPr>
        <w:t>Vita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Coco </w:t>
      </w:r>
      <w:r>
        <w:rPr>
          <w:rFonts w:ascii="Times New Roman" w:cs="Times New Roman" w:eastAsia="Times New Roman" w:hAnsi="Times New Roman"/>
          <w:sz w:val="18"/>
          <w:szCs w:val="18"/>
          <w:color w:val="auto"/>
        </w:rPr>
        <w:t>Coconut Water volume growth of 5.8% and improved</w:t>
      </w:r>
      <w:r>
        <w:rPr>
          <w:rFonts w:ascii="Times New Roman" w:cs="Times New Roman" w:eastAsia="Times New Roman" w:hAnsi="Times New Roman"/>
          <w:sz w:val="18"/>
          <w:szCs w:val="18"/>
          <w:i w:val="1"/>
          <w:iCs w:val="1"/>
          <w:color w:val="auto"/>
        </w:rPr>
        <w:t xml:space="preserve"> Vita Coco </w:t>
      </w:r>
      <w:r>
        <w:rPr>
          <w:rFonts w:ascii="Times New Roman" w:cs="Times New Roman" w:eastAsia="Times New Roman" w:hAnsi="Times New Roman"/>
          <w:sz w:val="18"/>
          <w:szCs w:val="18"/>
          <w:color w:val="auto"/>
        </w:rPr>
        <w:t>Coconut Water pricing due to reduced retailer promotional activity, partially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transition of private label oil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 in Case Equivalent</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comparative summary of our volume in CE,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180340</wp:posOffset>
            </wp:positionV>
            <wp:extent cx="44062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2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Percentage Change - Year Ended December 31, 2024 vs.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80" w:type="dxa"/>
            <w:vAlign w:val="bottom"/>
          </w:tcPr>
          <w:p>
            <w:pPr>
              <w:spacing w:after="0"/>
              <w:rPr>
                <w:sz w:val="18"/>
                <w:szCs w:val="18"/>
                <w:color w:val="auto"/>
              </w:rPr>
            </w:pPr>
          </w:p>
        </w:tc>
        <w:tc>
          <w:tcPr>
            <w:tcW w:w="15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24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Vita Coco Coconut Water</w:t>
            </w:r>
          </w:p>
        </w:tc>
        <w:tc>
          <w:tcPr>
            <w:tcW w:w="15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Private Label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0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36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International Other excludes minor volume that is treated as zero CE.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Americas Segment</w:t>
      </w:r>
    </w:p>
    <w:p>
      <w:pPr>
        <w:spacing w:after="0" w:line="216"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Americas net sales increased by $12.1 million, or 2.8%, to $442.3 million for the year ended December 31, 2024, from $430.2 million for the year ended December 31, 2023, primarily driven by CE volume growth of 2.7% with additional benefit from branded pricing. These increases were partially offset by a decline in private label volume due to the transition out of private label oil at a key customer, and supply constraints impacting private label coconut water.</w:t>
      </w:r>
    </w:p>
    <w:p>
      <w:pPr>
        <w:spacing w:after="0" w:line="175" w:lineRule="exact"/>
        <w:rPr>
          <w:sz w:val="20"/>
          <w:szCs w:val="20"/>
          <w:color w:val="auto"/>
        </w:rPr>
      </w:pPr>
    </w:p>
    <w:p>
      <w:pPr>
        <w:jc w:val="both"/>
        <w:ind w:right="420" w:firstLine="5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by $26.1 million, or 8.2%, to $343.3 million for the year ended December 31, 2024, from $317.2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2023. The increase was primarily driven by a combination of increased CE volume growth and benefits from pricing actions.</w:t>
      </w:r>
    </w:p>
    <w:p>
      <w:pPr>
        <w:spacing w:after="0" w:line="169" w:lineRule="exact"/>
        <w:rPr>
          <w:sz w:val="20"/>
          <w:szCs w:val="20"/>
          <w:color w:val="auto"/>
        </w:rPr>
      </w:pPr>
    </w:p>
    <w:p>
      <w:pPr>
        <w:jc w:val="both"/>
        <w:ind w:right="200" w:firstLine="551"/>
        <w:spacing w:after="0" w:line="258" w:lineRule="auto"/>
        <w:rPr>
          <w:sz w:val="20"/>
          <w:szCs w:val="20"/>
          <w:color w:val="auto"/>
        </w:rPr>
      </w:pPr>
      <w:r>
        <w:rPr>
          <w:rFonts w:ascii="Times New Roman" w:cs="Times New Roman" w:eastAsia="Times New Roman" w:hAnsi="Times New Roman"/>
          <w:sz w:val="18"/>
          <w:szCs w:val="18"/>
          <w:color w:val="auto"/>
        </w:rPr>
        <w:t>Private Label net sales decreased by $13.3 million, or 12.9%, to $89.9 million for the year ended December 31, 2024, from $103.2 million for the year ended December 31, 2023. The decrease in sales was driven by net CE volume declines of 1.9%, as volume declines of private label coconut oil and the associated product price/mix impact more than offset growth of private label coconut water.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40" w:firstLine="551"/>
        <w:spacing w:after="0" w:line="258" w:lineRule="auto"/>
        <w:rPr>
          <w:sz w:val="20"/>
          <w:szCs w:val="20"/>
          <w:color w:val="auto"/>
        </w:rPr>
      </w:pPr>
      <w:r>
        <w:rPr>
          <w:rFonts w:ascii="Times New Roman" w:cs="Times New Roman" w:eastAsia="Times New Roman" w:hAnsi="Times New Roman"/>
          <w:sz w:val="18"/>
          <w:szCs w:val="18"/>
          <w:color w:val="auto"/>
        </w:rPr>
        <w:t>Net Sales for Other products decreased by $0.7 million, or 7.1%, to $9.2 million for the year ended December 31, 2024, from $9.9 million for the year ended December 31, 2023, driven by CE volume decline of 10.4%. During 2024, the Company strategically simplified the product assortment within this category to decrease complexity and maximize profitability.</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Segment</w:t>
      </w:r>
    </w:p>
    <w:p>
      <w:pPr>
        <w:spacing w:after="0" w:line="108"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18"/>
          <w:szCs w:val="18"/>
          <w:color w:val="auto"/>
        </w:rPr>
        <w:t>International net sales increased by $10.3 million, or 16.3%, to $73.7 million for the year ended December 31, 2024 from $63.4 million for the year ended December 31, 2023. The increased sales were driven by CE volume growth of 12.8%, with notable growth in the Europe, the Middle East and Africa ("EMEA") region, in addition to benefits from net pricing actions.</w:t>
      </w:r>
    </w:p>
    <w:p>
      <w:pPr>
        <w:spacing w:after="0" w:line="167" w:lineRule="exact"/>
        <w:rPr>
          <w:sz w:val="20"/>
          <w:szCs w:val="20"/>
          <w:color w:val="auto"/>
        </w:rPr>
      </w:pPr>
    </w:p>
    <w:p>
      <w:pPr>
        <w:ind w:right="60" w:firstLine="5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by $8.5 million, or 20.3%, to $50.3 million for the year ended December 31, 2024, from $41.8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2023. The increased sales was driven by higher CE volume, primarily in the European region, and benefits from net pricing actions. These increases were partially offset by volume decreases in the Asia Pacific region ("APAC").</w:t>
      </w:r>
    </w:p>
    <w:p>
      <w:pPr>
        <w:spacing w:after="0" w:line="169"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18"/>
          <w:szCs w:val="18"/>
          <w:color w:val="auto"/>
        </w:rPr>
        <w:t>Private Label net sales increased by $0.6 million, or 3.3%, to $19.3 million for the year ended December 31, 2024, as compared to $18.7 million for the year ended December 31, 2023, which was driven by CE volume growth in EMEA, which was partially offset by CE volume decline in shipments from APAC.</w:t>
      </w:r>
    </w:p>
    <w:p>
      <w:pPr>
        <w:spacing w:after="0" w:line="169" w:lineRule="exact"/>
        <w:rPr>
          <w:sz w:val="20"/>
          <w:szCs w:val="20"/>
          <w:color w:val="auto"/>
        </w:rPr>
      </w:pPr>
    </w:p>
    <w:p>
      <w:pPr>
        <w:ind w:right="160" w:firstLine="551"/>
        <w:spacing w:after="0" w:line="282" w:lineRule="auto"/>
        <w:rPr>
          <w:sz w:val="20"/>
          <w:szCs w:val="20"/>
          <w:color w:val="auto"/>
        </w:rPr>
      </w:pPr>
      <w:r>
        <w:rPr>
          <w:rFonts w:ascii="Times New Roman" w:cs="Times New Roman" w:eastAsia="Times New Roman" w:hAnsi="Times New Roman"/>
          <w:sz w:val="18"/>
          <w:szCs w:val="18"/>
          <w:color w:val="auto"/>
        </w:rPr>
        <w:t>Net Sales for Other products increased by $1.2 million, or 42.6%, to $4.0 million for the year ended December 31, 2024, from $2.8 million for the year ended December 31, 2023, driven primarily by CE volume growth in both EMEA and APAC regions.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70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4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r>
      <w:tr>
        <w:trPr>
          <w:trHeight w:val="25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268,787</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267,983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63"/>
        </w:trPr>
        <w:tc>
          <w:tcPr>
            <w:tcW w:w="4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48,443</w:t>
            </w:r>
          </w:p>
        </w:tc>
        <w:tc>
          <w:tcPr>
            <w:tcW w:w="120" w:type="dxa"/>
            <w:vAlign w:val="bottom"/>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44,900</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43"/>
        </w:trPr>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317,230</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312,883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4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4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r>
      <w:tr>
        <w:trPr>
          <w:trHeight w:val="25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173,556</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162,262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63"/>
        </w:trPr>
        <w:tc>
          <w:tcPr>
            <w:tcW w:w="4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25,227</w:t>
            </w:r>
          </w:p>
        </w:tc>
        <w:tc>
          <w:tcPr>
            <w:tcW w:w="120" w:type="dxa"/>
            <w:vAlign w:val="bottom"/>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36.6 %</w:t>
            </w:r>
          </w:p>
        </w:tc>
      </w:tr>
      <w:tr>
        <w:trPr>
          <w:trHeight w:val="243"/>
        </w:trPr>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198,783</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180,729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4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Gross margin (</w:t>
      </w:r>
      <w:r>
        <w:rPr>
          <w:rFonts w:ascii="Times New Roman" w:cs="Times New Roman" w:eastAsia="Times New Roman" w:hAnsi="Times New Roman"/>
          <w:sz w:val="14"/>
          <w:szCs w:val="14"/>
          <w:b w:val="1"/>
          <w:bCs w:val="1"/>
          <w:color w:val="auto"/>
        </w:rPr>
        <w:t>percentage of net sales</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39.2 %</w:t>
            </w:r>
          </w:p>
        </w:tc>
        <w:tc>
          <w:tcPr>
            <w:tcW w:w="2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37.7 %</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63"/>
        </w:trPr>
        <w:tc>
          <w:tcPr>
            <w:tcW w:w="3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04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34.2 %</w:t>
            </w:r>
          </w:p>
        </w:tc>
        <w:tc>
          <w:tcPr>
            <w:tcW w:w="252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29.1 %</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3"/>
        </w:trPr>
        <w:tc>
          <w:tcPr>
            <w:tcW w:w="3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3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38.5 %</w:t>
            </w:r>
          </w:p>
        </w:tc>
        <w:tc>
          <w:tcPr>
            <w:tcW w:w="2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36.6 %</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306" w:lineRule="exact"/>
        <w:rPr>
          <w:sz w:val="20"/>
          <w:szCs w:val="20"/>
          <w:color w:val="auto"/>
        </w:rPr>
      </w:pPr>
    </w:p>
    <w:p>
      <w:pPr>
        <w:ind w:right="160" w:firstLine="551"/>
        <w:spacing w:after="0" w:line="280" w:lineRule="auto"/>
        <w:rPr>
          <w:sz w:val="20"/>
          <w:szCs w:val="20"/>
          <w:color w:val="auto"/>
        </w:rPr>
      </w:pPr>
      <w:r>
        <w:rPr>
          <w:rFonts w:ascii="Times New Roman" w:cs="Times New Roman" w:eastAsia="Times New Roman" w:hAnsi="Times New Roman"/>
          <w:sz w:val="17"/>
          <w:szCs w:val="17"/>
          <w:color w:val="auto"/>
        </w:rPr>
        <w:t>On a consolidated basis, cost of goods sold increased $4.3 million, or 1.4%, to $317.2 million for the year ended December 31, 2024, from $312.9 million for the year ended December 31, 2023. On a consolidated and segment basis, the increase was primarily driven by elevated transportation costs relating to ocean freight, which was partly offset by lower finished goods costs, partially driven by private label product mix, and domestic logistics.</w:t>
      </w:r>
    </w:p>
    <w:p>
      <w:pPr>
        <w:spacing w:after="0" w:line="180" w:lineRule="exact"/>
        <w:rPr>
          <w:sz w:val="20"/>
          <w:szCs w:val="20"/>
          <w:color w:val="auto"/>
        </w:rPr>
      </w:pPr>
    </w:p>
    <w:p>
      <w:pPr>
        <w:ind w:right="2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On a consolidated basis, gross profit increased by $18.1 million, or 10.0%, to $198.8 million for the year ended December 31, 2024, from $180.7 million for the year ended December 31, 2023. This was a result of CE volume growth,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net pricing improvement and lower domestic transportation costs, partially offset by elevated transportation costs relating to ocean freight. As a result, gross margin increased approximately 1.9% percentage points to 38.5% for the year ended December 31, 2024, as compared to 36.6% for the year ended December 31, 2023.</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14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490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right="140" w:firstLine="551"/>
        <w:spacing w:after="0" w:line="247" w:lineRule="auto"/>
        <w:rPr>
          <w:sz w:val="20"/>
          <w:szCs w:val="20"/>
          <w:color w:val="auto"/>
        </w:rPr>
      </w:pPr>
      <w:r>
        <w:rPr>
          <w:rFonts w:ascii="Times New Roman" w:cs="Times New Roman" w:eastAsia="Times New Roman" w:hAnsi="Times New Roman"/>
          <w:sz w:val="18"/>
          <w:szCs w:val="18"/>
          <w:color w:val="auto"/>
        </w:rPr>
        <w:t>SG&amp;A expense increased by $0.7 million, or 0.6%, to $125.0 million for the year ended December 31, 2024, from $124.2 million for the year ended December 31, 2023. The increased SG&amp;A expense was primarily driven by an increase of $4.5 million in personnel-related expenses and bad debt expense of $2.2 million primarily due to the uncertainty of product delivery and repayment of advances made to a supplier. These increases were partially offset by $4.1 million lower investments in marketing expenses primarily due to inventory constraints through the third quarter of 2024, as well as the absence of a Vita Coco Community Foundation donation of $1.5 million and an impairment loss of $0.4 million related to land in Ecuador recorded in the year ended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0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(8,176)</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(1,571)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63"/>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160.2 %</w:t>
            </w:r>
          </w:p>
        </w:tc>
      </w:tr>
      <w:tr>
        <w:trPr>
          <w:trHeight w:val="25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82"/>
        </w:trPr>
        <w:tc>
          <w:tcPr>
            <w:tcW w:w="488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top w:val="single" w:sz="8" w:color="auto"/>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(3,032)</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80" w:type="dxa"/>
            <w:vAlign w:val="bottom"/>
            <w:tcBorders>
              <w:top w:val="single" w:sz="8" w:color="CFF0FC"/>
              <w:bottom w:val="single" w:sz="8" w:color="CFF0FC"/>
            </w:tcBorders>
            <w:shd w:val="clear" w:color="auto" w:fill="CFF0FC"/>
          </w:tcPr>
          <w:p>
            <w:pPr>
              <w:spacing w:after="0"/>
              <w:rPr>
                <w:sz w:val="24"/>
                <w:szCs w:val="24"/>
                <w:color w:val="auto"/>
              </w:rPr>
            </w:pP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r>
      <w:tr>
        <w:trPr>
          <w:trHeight w:val="150"/>
        </w:trPr>
        <w:tc>
          <w:tcPr>
            <w:tcW w:w="1220" w:type="dxa"/>
            <w:vAlign w:val="bottom"/>
            <w:tcBorders>
              <w:bottom w:val="single" w:sz="8" w:color="auto"/>
            </w:tcBorders>
          </w:tcPr>
          <w:p>
            <w:pPr>
              <w:spacing w:after="0"/>
              <w:rPr>
                <w:sz w:val="13"/>
                <w:szCs w:val="13"/>
                <w:color w:val="auto"/>
              </w:rPr>
            </w:pPr>
          </w:p>
        </w:tc>
        <w:tc>
          <w:tcPr>
            <w:tcW w:w="3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21" w:lineRule="exact"/>
        <w:rPr>
          <w:sz w:val="20"/>
          <w:szCs w:val="20"/>
          <w:color w:val="auto"/>
        </w:rPr>
      </w:pPr>
    </w:p>
    <w:p>
      <w:pPr>
        <w:ind w:right="140" w:firstLine="551"/>
        <w:spacing w:after="0" w:line="244" w:lineRule="auto"/>
        <w:rPr>
          <w:sz w:val="20"/>
          <w:szCs w:val="20"/>
          <w:color w:val="auto"/>
        </w:rPr>
      </w:pPr>
      <w:r>
        <w:rPr>
          <w:rFonts w:ascii="Times New Roman" w:cs="Times New Roman" w:eastAsia="Times New Roman" w:hAnsi="Times New Roman"/>
          <w:sz w:val="18"/>
          <w:szCs w:val="18"/>
          <w:color w:val="auto"/>
        </w:rPr>
        <w:t>During the year ended December 31, 2024, we recorded an unrealized loss of $8.2 million for the mark-to-market changes in the fair value on the outstanding derivative instruments for forward foreign currency exchange contracts, with the largest loss for the year ended December 31, 2024 related to the contracts hedging the Brazilian real, offset by gains in British Pound, Euro, and Canadian dollar. During the year ended December 31, 2023, we recorded an unrealized loss of $0.9 million relating to outstanding derivative instruments for forward foreign currency exchange contracts. All forward foreign currency exchange contracts were entered to hedge some of our exposures to the British pound, Canadian dollar, Brazilian real, Malaysian ringgit, Euro, and Thai baht.</w:t>
      </w: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08" w:lineRule="exact"/>
        <w:rPr>
          <w:sz w:val="20"/>
          <w:szCs w:val="20"/>
          <w:color w:val="auto"/>
        </w:rPr>
      </w:pPr>
    </w:p>
    <w:p>
      <w:pPr>
        <w:ind w:right="100" w:firstLine="551"/>
        <w:spacing w:after="0" w:line="258" w:lineRule="auto"/>
        <w:rPr>
          <w:sz w:val="20"/>
          <w:szCs w:val="20"/>
          <w:color w:val="auto"/>
        </w:rPr>
      </w:pPr>
      <w:r>
        <w:rPr>
          <w:rFonts w:ascii="Times New Roman" w:cs="Times New Roman" w:eastAsia="Times New Roman" w:hAnsi="Times New Roman"/>
          <w:sz w:val="18"/>
          <w:szCs w:val="18"/>
          <w:color w:val="auto"/>
        </w:rPr>
        <w:t>Foreign currency loss was $1.6 million for the year ended December 31, 2024, as compared to a $0.3 million loss for the year ended December 31, 2023. The change in both years was a result of movements in various foreign currency exchange rates related to transactions denominated in currencies other than the functional currency.</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48"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Interest income increased by $4.1 million, to $6.7 million for the year ended December 31, 2024, from $2.6 million from December 31, 2023. The increase in interest income period over period was due to the cash investment program that began in April 2023, in addition to higher levels of cash invested with financial institutions compared to prior year.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interest expense is immaterial.</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11,291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4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expense was $14.8 million for the year ended December 31, 2024, as compared to $11.3 million for the year ended December 31,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combined federal, state and foreign tax rate increased to 21.0% from 19.5% for the years ended December 31, 2024 and 2023, respectively.</w:t>
      </w:r>
    </w:p>
    <w:p>
      <w:pPr>
        <w:spacing w:after="0" w:line="394" w:lineRule="exact"/>
        <w:rPr>
          <w:sz w:val="20"/>
          <w:szCs w:val="20"/>
          <w:color w:val="auto"/>
        </w:rPr>
      </w:pPr>
    </w:p>
    <w:p>
      <w:pPr>
        <w:ind w:right="100" w:firstLine="551"/>
        <w:spacing w:after="0" w:line="250" w:lineRule="auto"/>
        <w:rPr>
          <w:sz w:val="20"/>
          <w:szCs w:val="20"/>
          <w:color w:val="auto"/>
        </w:rPr>
      </w:pPr>
      <w:r>
        <w:rPr>
          <w:rFonts w:ascii="Times New Roman" w:cs="Times New Roman" w:eastAsia="Times New Roman" w:hAnsi="Times New Roman"/>
          <w:sz w:val="18"/>
          <w:szCs w:val="18"/>
          <w:color w:val="auto"/>
        </w:rPr>
        <w:t>The effective tax rate for the current period is in line with the U.S. statutory rate of 21%, due to offsetting items having minimal net impact on the rate. Primarily, the benefit of lower statutory tax rates in foreign jurisdictions is offset by state income taxes. The effective tax rate for the same period in the prior year is lower than the U.S. statutory rate of 21% primarily driven by lower tax rates in foreign jurisdictions and the associated credits available to offset U.S. income tax. The change in effective tax rates between the periods is primarily attributable to state income taxes.</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08" w:lineRule="exact"/>
        <w:rPr>
          <w:sz w:val="20"/>
          <w:szCs w:val="20"/>
          <w:color w:val="auto"/>
        </w:rPr>
      </w:pPr>
    </w:p>
    <w:p>
      <w:pPr>
        <w:ind w:right="160" w:firstLine="551"/>
        <w:spacing w:after="0" w:line="250"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91" w:lineRule="exact"/>
        <w:rPr>
          <w:sz w:val="20"/>
          <w:szCs w:val="20"/>
          <w:color w:val="auto"/>
        </w:rPr>
      </w:pPr>
    </w:p>
    <w:p>
      <w:pPr>
        <w:jc w:val="both"/>
        <w:ind w:right="100" w:firstLine="551"/>
        <w:spacing w:after="0" w:line="250" w:lineRule="auto"/>
        <w:rPr>
          <w:sz w:val="20"/>
          <w:szCs w:val="20"/>
          <w:color w:val="auto"/>
        </w:rPr>
      </w:pPr>
      <w:r>
        <w:rPr>
          <w:rFonts w:ascii="Times New Roman" w:cs="Times New Roman" w:eastAsia="Times New Roman" w:hAnsi="Times New Roman"/>
          <w:sz w:val="18"/>
          <w:szCs w:val="18"/>
          <w:color w:val="auto"/>
        </w:rPr>
        <w:t>These non-GAAP measures are key metrics used by management and our Board,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77"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5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46,629</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20" w:type="dxa"/>
            <w:vAlign w:val="bottom"/>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11,291</w:t>
            </w:r>
          </w:p>
        </w:tc>
      </w:tr>
      <w:tr>
        <w:trPr>
          <w:trHeight w:val="243"/>
        </w:trPr>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56,030</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(gain)/loss (b)</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offering costs (c)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adjustments (d)</w:t>
            </w:r>
          </w:p>
        </w:tc>
        <w:tc>
          <w:tcPr>
            <w:tcW w:w="90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84,127</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68,169</w:t>
            </w:r>
          </w:p>
        </w:tc>
      </w:tr>
      <w:tr>
        <w:trPr>
          <w:trHeight w:val="27"/>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3"/>
        </w:trPr>
        <w:tc>
          <w:tcPr>
            <w:tcW w:w="1220" w:type="dxa"/>
            <w:vAlign w:val="bottom"/>
            <w:tcBorders>
              <w:bottom w:val="single" w:sz="8" w:color="auto"/>
            </w:tcBorders>
          </w:tcPr>
          <w:p>
            <w:pPr>
              <w:spacing w:after="0"/>
              <w:rPr>
                <w:sz w:val="15"/>
                <w:szCs w:val="15"/>
                <w:color w:val="auto"/>
              </w:rPr>
            </w:pPr>
          </w:p>
        </w:tc>
        <w:tc>
          <w:tcPr>
            <w:tcW w:w="6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r>
    </w:tbl>
    <w:p>
      <w:pPr>
        <w:spacing w:after="0" w:line="63" w:lineRule="exact"/>
        <w:rPr>
          <w:sz w:val="20"/>
          <w:szCs w:val="20"/>
          <w:color w:val="auto"/>
        </w:rPr>
      </w:pPr>
    </w:p>
    <w:p>
      <w:pPr>
        <w:ind w:left="500" w:right="280" w:hanging="492"/>
        <w:spacing w:after="0" w:line="254" w:lineRule="auto"/>
        <w:tabs>
          <w:tab w:leader="none" w:pos="4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and forfeitures. We adjusted for these charges to facilitate comparison from period to period.</w:t>
      </w:r>
    </w:p>
    <w:p>
      <w:pPr>
        <w:ind w:left="500" w:right="620" w:hanging="492"/>
        <w:spacing w:after="0" w:line="241"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spacing w:after="0" w:line="1" w:lineRule="exact"/>
        <w:rPr>
          <w:rFonts w:ascii="Times New Roman" w:cs="Times New Roman" w:eastAsia="Times New Roman" w:hAnsi="Times New Roman"/>
          <w:sz w:val="18"/>
          <w:szCs w:val="18"/>
          <w:color w:val="auto"/>
        </w:rPr>
      </w:pPr>
    </w:p>
    <w:p>
      <w:pPr>
        <w:ind w:left="500" w:right="40" w:hanging="492"/>
        <w:spacing w:after="0"/>
        <w:tabs>
          <w:tab w:leader="none" w:pos="4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other non-recurring expenses related to costs associated with two secondary offerings in which Verlinvest Beverages SA sold shares of the Company. The shares were sold in an underwritten public offering, which closed on May 26, 2023 and a block trade that was executed on November 9, 2023. The Company did not receive any proceeds from the sale of the shares.</w:t>
      </w:r>
    </w:p>
    <w:p>
      <w:pPr>
        <w:jc w:val="both"/>
        <w:ind w:left="500" w:right="20" w:hanging="492"/>
        <w:spacing w:after="0"/>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the amount reflects the write-off of prepayments made to a supplier for inventory orders. In November 2024, we learned that the supplier failed to produce the orders placed and paused operations. Further, the supplier did not provide a refund for such orders. For the year ended December 31, 2023, the amount relates to the impairment loss of assets held for sale.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220" w:firstLine="551"/>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$164.7 million and $132.5 million of cash and cash equivalents as of December 31, 2024 and 2023, respectively.</w:t>
      </w:r>
    </w:p>
    <w:p>
      <w:pPr>
        <w:spacing w:after="0" w:line="16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asset-light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168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spacing w:after="0"/>
              <w:rPr>
                <w:sz w:val="20"/>
                <w:szCs w:val="20"/>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09"/>
        </w:trPr>
        <w:tc>
          <w:tcPr>
            <w:tcW w:w="4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30"/>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64.0 %</w:t>
            </w:r>
          </w:p>
        </w:tc>
      </w:tr>
      <w:tr>
        <w:trPr>
          <w:trHeight w:val="230"/>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29"/>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Effects of exchange rate on changes on cash and cash equivalents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240" w:firstLine="551"/>
        <w:spacing w:after="0" w:line="282"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48" w:lineRule="exact"/>
        <w:rPr>
          <w:sz w:val="20"/>
          <w:szCs w:val="20"/>
          <w:color w:val="auto"/>
        </w:rPr>
      </w:pPr>
    </w:p>
    <w:p>
      <w:pPr>
        <w:ind w:right="400" w:firstLine="551"/>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2024, cash provided by operating activities decreased $64.3 million as compared to the year ended December 31, 2023. The decrease in cash provided by operating activities was substantially driven by an increase in inventory purchases to rebuild inventory to improved levels to better support the business, and the timing of certain working capital payments, partly offset by higher cash generation from the business growth.</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840" w:firstLine="55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as compared to the year ended December 31, 2023, cash used in investing activities increased $0.4 million due to equipment purchases and technology related capital expenditures.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 ended December 31, 2024 compared to the year ended December 31, 2023, net cash used by financing activities increased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$14.6 million, primarily driven by share repurchases that occurred in 2024 and lower proceeds from stock award exercises. See Note 14, </w:t>
      </w:r>
      <w:r>
        <w:rPr>
          <w:rFonts w:ascii="Times New Roman" w:cs="Times New Roman" w:eastAsia="Times New Roman" w:hAnsi="Times New Roman"/>
          <w:sz w:val="18"/>
          <w:szCs w:val="18"/>
          <w:i w:val="1"/>
          <w:iCs w:val="1"/>
          <w:color w:val="auto"/>
        </w:rPr>
        <w:t>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for further discussion on share repurchases.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had an immaterial amount of outstanding debt as of December 31, 2024 and December 31, 2023 related to vehicle loans.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the 2020 Credit Facility with Wells Fargo Bank, National Association consisting of a revolving line of credit, which currently provides for committed borrowings of $60 million. On February 14, 2024, the 2020 Credit Facility was amended and extended for five years, with an amended maturity date of February 13, 2030.</w:t>
      </w:r>
    </w:p>
    <w:p>
      <w:pPr>
        <w:spacing w:after="0" w:line="68"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an unused commitment fee ranging from 0.10% and 0.20% on the unused amount of the line of credit in the year ended December 31, 2024, with the rate based on the Company’s leverage ratio (as defined in the credit agreement). Beginning on February 14, 2025, the unused commitment fees will range from 0.125% to 0.225%.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551"/>
        <w:spacing w:after="0" w:line="261" w:lineRule="auto"/>
        <w:rPr>
          <w:sz w:val="20"/>
          <w:szCs w:val="20"/>
          <w:color w:val="auto"/>
        </w:rPr>
      </w:pPr>
      <w:r>
        <w:rPr>
          <w:rFonts w:ascii="Times New Roman" w:cs="Times New Roman" w:eastAsia="Times New Roman" w:hAnsi="Times New Roman"/>
          <w:sz w:val="18"/>
          <w:szCs w:val="18"/>
          <w:color w:val="auto"/>
        </w:rPr>
        <w:t>The borrowings made prior to December 2022 bore interest at rates based on either: 1) London Interbank Offered Rate ("LIBOR"); or 2) a specified base rate (determined by reference to the greatest of the prime rate published by Wells Fargo, the federal funds effective rate plus 1.5% and one-month LIBOR plus 1.50%), as selected periodically by the Company. The LIBOR-based loans bore interest at LIBOR plus the Spread. The unused commitment fee prior to the December 2022 amendment was the same.</w:t>
      </w:r>
    </w:p>
    <w:p>
      <w:pPr>
        <w:spacing w:after="0" w:line="72" w:lineRule="exact"/>
        <w:rPr>
          <w:sz w:val="20"/>
          <w:szCs w:val="20"/>
          <w:color w:val="auto"/>
        </w:rPr>
      </w:pPr>
    </w:p>
    <w:p>
      <w:pPr>
        <w:ind w:right="40" w:firstLine="551"/>
        <w:spacing w:after="0" w:line="282" w:lineRule="auto"/>
        <w:rPr>
          <w:sz w:val="20"/>
          <w:szCs w:val="20"/>
          <w:color w:val="auto"/>
        </w:rPr>
      </w:pPr>
      <w:r>
        <w:rPr>
          <w:rFonts w:ascii="Times New Roman" w:cs="Times New Roman" w:eastAsia="Times New Roman" w:hAnsi="Times New Roman"/>
          <w:sz w:val="18"/>
          <w:szCs w:val="18"/>
          <w:color w:val="auto"/>
        </w:rPr>
        <w:t>There were no amounts drawn on the Revolving Facility as of December 31, 2024 and December 31, 2023, respectively. As of December 31, 2024, we were compliant with all financial covenants.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08" w:lineRule="exact"/>
        <w:rPr>
          <w:sz w:val="20"/>
          <w:szCs w:val="20"/>
          <w:color w:val="auto"/>
        </w:rPr>
      </w:pPr>
    </w:p>
    <w:p>
      <w:pPr>
        <w:ind w:right="280" w:firstLine="551"/>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 on these vehicle loans range from 4.56% to 5.68%. The outstanding balance on the vehicle loans as of December 31, 2024 was less than $0.1 million.</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elsewhere in this Annual Report on Form 10-K.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w:t>
      </w:r>
    </w:p>
    <w:p>
      <w:pPr>
        <w:spacing w:after="0" w:line="229"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contractual obligations to repay indebtedness and required interest payments and unused commitment fees under our Revolving Facility and vehicle loans. As of December 31, 2024, we had no outstanding balance on the Revolving Facility. Any future outstanding balances on the Revolving Facility will be required to be repaid by February 2030.</w:t>
      </w:r>
    </w:p>
    <w:p>
      <w:pPr>
        <w:spacing w:after="0" w:line="16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lease certain assets under noncancelable operating leases, which expire through 2025. The leases relate primarily to office space in addition to machinery and equipment. Future minimum commitments under these leases are $0.4 million as of December 31, 2024.</w:t>
      </w:r>
    </w:p>
    <w:p>
      <w:pPr>
        <w:spacing w:after="0" w:line="189" w:lineRule="exact"/>
        <w:rPr>
          <w:sz w:val="20"/>
          <w:szCs w:val="20"/>
          <w:color w:val="auto"/>
        </w:rPr>
      </w:pPr>
    </w:p>
    <w:p>
      <w:pPr>
        <w:ind w:firstLine="551"/>
        <w:spacing w:after="0" w:line="239" w:lineRule="auto"/>
        <w:rPr>
          <w:sz w:val="20"/>
          <w:szCs w:val="20"/>
          <w:color w:val="auto"/>
        </w:rPr>
      </w:pPr>
      <w:r>
        <w:rPr>
          <w:rFonts w:ascii="Times New Roman" w:cs="Times New Roman" w:eastAsia="Times New Roman" w:hAnsi="Times New Roman"/>
          <w:sz w:val="18"/>
          <w:szCs w:val="18"/>
          <w:color w:val="auto"/>
        </w:rPr>
        <w:t>As of December 31, 2024, we also have inventory purchase commitments, which include any raw material or packaging commitments with our suppliers to secure our needs for future orders, which are generally due to be paid within one year. We also have production purchase commitments from our manufacturers based on our production plans, forecasts and contracts, that might result in costs if we were to reduce our purchases significantly in 2025 or for some relationships, in future years. We have other contractual payments related to information technology service agreements, sponsorship and marketing agreements, and minimum contractual third-party warehouse commitments, which are not individually material.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551"/>
        <w:spacing w:after="0" w:line="24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5" w:lineRule="exact"/>
        <w:rPr>
          <w:sz w:val="20"/>
          <w:szCs w:val="20"/>
          <w:color w:val="auto"/>
        </w:rPr>
      </w:pPr>
    </w:p>
    <w:p>
      <w:pPr>
        <w:ind w:right="460" w:firstLine="551"/>
        <w:spacing w:after="0" w:line="250"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within this Annual Report on Form 10-K, we believe that the following accounting policies are those most critical to the judgments and estimates used in the preparation of our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firstLine="551"/>
        <w:spacing w:after="0" w:line="24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ASC 606 defines a five-step model that requires entities exercise judgment when considering the terms of contract(s),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(1) identifying the contract or agreement with a customer, (2) identifying the performance obligations in the contract or agreement, (3) 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 Our revenue is recognized net of allowances for returns, discounts, credits and any taxes collected from consumers.</w:t>
      </w:r>
    </w:p>
    <w:p>
      <w:pPr>
        <w:spacing w:after="0" w:line="193" w:lineRule="exact"/>
        <w:rPr>
          <w:sz w:val="20"/>
          <w:szCs w:val="20"/>
          <w:color w:val="auto"/>
        </w:rPr>
      </w:pPr>
    </w:p>
    <w:p>
      <w:pPr>
        <w:ind w:firstLine="551"/>
        <w:spacing w:after="0" w:line="244" w:lineRule="auto"/>
        <w:rPr>
          <w:sz w:val="20"/>
          <w:szCs w:val="20"/>
          <w:color w:val="auto"/>
        </w:rPr>
      </w:pPr>
      <w:r>
        <w:rPr>
          <w:rFonts w:ascii="Times New Roman" w:cs="Times New Roman" w:eastAsia="Times New Roman" w:hAnsi="Times New Roman"/>
          <w:sz w:val="18"/>
          <w:szCs w:val="18"/>
          <w:color w:val="auto"/>
        </w:rPr>
        <w:t xml:space="preserve">For our various products in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and Other product categories,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97"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77" w:lineRule="exact"/>
        <w:rPr>
          <w:sz w:val="20"/>
          <w:szCs w:val="20"/>
          <w:color w:val="auto"/>
        </w:rPr>
      </w:pPr>
    </w:p>
    <w:p>
      <w:pPr>
        <w:ind w:right="140" w:firstLine="551"/>
        <w:spacing w:after="0" w:line="24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consolidated financial statements include accruals for these promotion and discounts. The accruals are made for invoices that have not yet been received as of year-end and are recorded as a reduction of sales, and are based on contract terms and our historical experience with similar programs and require management judgement with respect to estimating customer and consumer participation and performance levels.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40" w:firstLine="551"/>
        <w:spacing w:after="0" w:line="242"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89" w:lineRule="exact"/>
        <w:rPr>
          <w:sz w:val="20"/>
          <w:szCs w:val="20"/>
          <w:color w:val="auto"/>
        </w:rPr>
      </w:pPr>
    </w:p>
    <w:p>
      <w:pPr>
        <w:jc w:val="both"/>
        <w:ind w:right="340" w:firstLine="551"/>
        <w:spacing w:after="0" w:line="258" w:lineRule="auto"/>
        <w:rPr>
          <w:sz w:val="20"/>
          <w:szCs w:val="20"/>
          <w:color w:val="auto"/>
        </w:rPr>
      </w:pPr>
      <w:r>
        <w:rPr>
          <w:rFonts w:ascii="Times New Roman" w:cs="Times New Roman" w:eastAsia="Times New Roman" w:hAnsi="Times New Roman"/>
          <w:sz w:val="18"/>
          <w:szCs w:val="18"/>
          <w:color w:val="auto"/>
        </w:rPr>
        <w:t>We must make assumptions and judgments to estimate the amount of valuation allowances to be recorded against our deferred tax assets, which take into account current tax laws and estimates of the amount of future taxable income, if any. Changes to any of the assumptions or judgments could cause our actual income tax obligations to differ from our estimates.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 xml:space="preserve">Goodwill represents the purchase price paid in excess of the fair value of net tangible and intangible assets acquired in a business combination and is measured in accordance with the provisions of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Goodwill is not amortized; instead goodwill is tested for impairment on an annual basis on December 31, or more frequently if the Company believes indicators of impairment exist.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551"/>
        <w:spacing w:after="0" w:line="247" w:lineRule="auto"/>
        <w:rPr>
          <w:sz w:val="20"/>
          <w:szCs w:val="20"/>
          <w:color w:val="auto"/>
        </w:rPr>
      </w:pPr>
      <w:r>
        <w:rPr>
          <w:rFonts w:ascii="Times New Roman" w:cs="Times New Roman" w:eastAsia="Times New Roman" w:hAnsi="Times New Roman"/>
          <w:sz w:val="18"/>
          <w:szCs w:val="18"/>
          <w:color w:val="auto"/>
        </w:rPr>
        <w:t>The Company has determined that there are three reporting units for purposes of testing goodwill for impairment.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80" w:lineRule="exact"/>
        <w:rPr>
          <w:sz w:val="20"/>
          <w:szCs w:val="20"/>
          <w:color w:val="auto"/>
        </w:rPr>
      </w:pPr>
    </w:p>
    <w:p>
      <w:pPr>
        <w:ind w:right="20" w:firstLine="551"/>
        <w:spacing w:after="0" w:line="242" w:lineRule="auto"/>
        <w:rPr>
          <w:sz w:val="20"/>
          <w:szCs w:val="20"/>
          <w:color w:val="auto"/>
        </w:rPr>
      </w:pPr>
      <w:r>
        <w:rPr>
          <w:rFonts w:ascii="Times New Roman" w:cs="Times New Roman" w:eastAsia="Times New Roman" w:hAnsi="Times New Roman"/>
          <w:sz w:val="18"/>
          <w:szCs w:val="18"/>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our industry, and require us to make certain assumptions and estimates regarding industry economic factors and future profitability of our business. It is our policy to conduct impairment testing based on our most current business plans, projected future revenues and cash flows, which reflect changes we anticipate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our reporting unit. The Company will recognize an impairment for the amount by which the carrying amount exceeds a reporting unit’s fair value. For the years ended December 31, 2024 and 2023, there were no impairments recorded.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to take advantage of an extended transition period to comply with new or revised accounting standards applicable to public companies until those standards would otherwise apply to private companies. Following the IPO, as an emerging growth company, we elected to apply the extended transition period. Based on the closing share price and the market value of our common stock, par value $0.01 per share, held by non-affiliates as of June 30, 2023, the Company was deemed a large accelerated public company filer as of December 31, 2023. As a result, beginning with the Annual Report on Form 10-K for the year ended December 31, 2023, the Company was not able to rely on the extended transition period noted above and was required to adopt all new accounting pronouncements within the same time periods as public companies.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20" w:firstLine="551"/>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elsewhere within this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185" w:lineRule="exact"/>
        <w:rPr>
          <w:sz w:val="20"/>
          <w:szCs w:val="20"/>
          <w:color w:val="auto"/>
        </w:rPr>
      </w:pPr>
    </w:p>
    <w:p>
      <w:pPr>
        <w:ind w:right="60" w:firstLine="567"/>
        <w:spacing w:after="0" w:line="250" w:lineRule="auto"/>
        <w:rPr>
          <w:sz w:val="20"/>
          <w:szCs w:val="20"/>
          <w:color w:val="auto"/>
        </w:rPr>
      </w:pPr>
      <w:r>
        <w:rPr>
          <w:rFonts w:ascii="Times New Roman" w:cs="Times New Roman" w:eastAsia="Times New Roman" w:hAnsi="Times New Roman"/>
          <w:sz w:val="18"/>
          <w:szCs w:val="18"/>
          <w:color w:val="auto"/>
        </w:rPr>
        <w:t>As of December 31, 2024, the outstanding amounts related to our Revolving Facility incur interest fees at variable interest rates and are affected by changes in the general level of market interest rates. However, there was no outstanding balance on the Revolving Facility as of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89" w:lineRule="exact"/>
        <w:rPr>
          <w:sz w:val="20"/>
          <w:szCs w:val="20"/>
          <w:color w:val="auto"/>
        </w:rPr>
      </w:pPr>
    </w:p>
    <w:p>
      <w:pPr>
        <w:ind w:firstLine="567"/>
        <w:spacing w:after="0" w:line="236" w:lineRule="auto"/>
        <w:rPr>
          <w:sz w:val="20"/>
          <w:szCs w:val="20"/>
          <w:color w:val="auto"/>
        </w:rPr>
      </w:pPr>
      <w:r>
        <w:rPr>
          <w:rFonts w:ascii="Times New Roman" w:cs="Times New Roman" w:eastAsia="Times New Roman" w:hAnsi="Times New Roman"/>
          <w:sz w:val="17"/>
          <w:szCs w:val="17"/>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w:t>
      </w:r>
    </w:p>
    <w:p>
      <w:pPr>
        <w:jc w:val="both"/>
        <w:ind w:right="160"/>
        <w:spacing w:after="0" w:line="218" w:lineRule="auto"/>
        <w:rPr>
          <w:sz w:val="20"/>
          <w:szCs w:val="20"/>
          <w:color w:val="auto"/>
        </w:rPr>
      </w:pPr>
      <w:r>
        <w:rPr>
          <w:rFonts w:ascii="Times New Roman" w:cs="Times New Roman" w:eastAsia="Times New Roman" w:hAnsi="Times New Roman"/>
          <w:sz w:val="18"/>
          <w:szCs w:val="18"/>
          <w:color w:val="auto"/>
        </w:rPr>
        <w:t>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positions are reviewed quarterly. The gains and losses on the forward contracts associated with our balance sheet positions are recorded in “Other income (expense), net” in the consolidated statements of operations.</w:t>
      </w:r>
    </w:p>
    <w:p>
      <w:pPr>
        <w:spacing w:after="0" w:line="172" w:lineRule="exact"/>
        <w:rPr>
          <w:sz w:val="20"/>
          <w:szCs w:val="20"/>
          <w:color w:val="auto"/>
        </w:rPr>
      </w:pPr>
    </w:p>
    <w:p>
      <w:pPr>
        <w:ind w:right="220" w:firstLine="567"/>
        <w:spacing w:after="0" w:line="226"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$107.4 million and $121.0 million as of December 31, 2024 and December 31, 2023, respectively. The derivatives on the forward exchange contracts resulted in an unrealized loss of $8.2 million as of December 31, 2024, and we estimate that a 10% strengthening or weakening of the U.S. dollar would have resulted in an approximately $1.9 million gain or loss.</w:t>
      </w:r>
    </w:p>
    <w:p>
      <w:pPr>
        <w:spacing w:after="0" w:line="198" w:lineRule="exact"/>
        <w:rPr>
          <w:sz w:val="20"/>
          <w:szCs w:val="20"/>
          <w:color w:val="auto"/>
        </w:rPr>
      </w:pPr>
    </w:p>
    <w:p>
      <w:pPr>
        <w:jc w:val="both"/>
        <w:ind w:right="60" w:firstLine="567"/>
        <w:spacing w:after="0" w:line="216" w:lineRule="auto"/>
        <w:rPr>
          <w:sz w:val="20"/>
          <w:szCs w:val="20"/>
          <w:color w:val="auto"/>
        </w:rPr>
      </w:pPr>
      <w:r>
        <w:rPr>
          <w:rFonts w:ascii="Times New Roman" w:cs="Times New Roman" w:eastAsia="Times New Roman" w:hAnsi="Times New Roman"/>
          <w:sz w:val="18"/>
          <w:szCs w:val="18"/>
          <w:color w:val="auto"/>
        </w:rPr>
        <w:t>Part of our cash and cash equivalents are denominated in foreign currencies. As of December 31, 2024, a 1% change in the value of the U.S. dollar compared to foreign currencies would have caused our cash and cash equivalents to decrease or increase by $0.1 million. As of December 31, 2023, a 1% change in the value of the U.S. dollar compared to foreign currencies would have caused our cash and cash equivalents to decrease or increase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During the year ended December 31, 2024, general inflationary pressures continue to increase the other elements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of our cost of goods and operating expenses. Recently, there have been discussions about potential tariffs and other import related fees, on goods, including those imported from China, Mexico, and Canada, and while the specifics are unclear, if tariffs are implemented on goods from these countries, or other countries where the Company does business, they may raise the Company's cost of importation of coconut water and require the Company to adjust 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or strategy.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are exposed to concentration of credit risk from our major customers. As of December 31, 2024, sales to two customers represented</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approximately 48%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substantial additional charges.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set forth below:</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NDEX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10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No. 34)</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660" w:type="dxa"/>
            <w:vAlign w:val="bottom"/>
            <w:gridSpan w:val="5"/>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346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10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6"/>
        </w:trPr>
        <w:tc>
          <w:tcPr>
            <w:tcW w:w="7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180" w:type="dxa"/>
            <w:vAlign w:val="bottom"/>
            <w:tcBorders>
              <w:top w:val="single" w:sz="8" w:color="0000FF"/>
            </w:tcBorders>
          </w:tcPr>
          <w:p>
            <w:pPr>
              <w:spacing w:after="0"/>
              <w:rPr>
                <w:sz w:val="20"/>
                <w:szCs w:val="20"/>
                <w:color w:val="auto"/>
              </w:rPr>
            </w:pPr>
          </w:p>
        </w:tc>
        <w:tc>
          <w:tcPr>
            <w:tcW w:w="2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400" w:type="dxa"/>
            <w:vAlign w:val="bottom"/>
            <w:gridSpan w:val="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6"/>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60" w:type="dxa"/>
            <w:vAlign w:val="bottom"/>
            <w:gridSpan w:val="7"/>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Vita Coco Company,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7"/>
          <w:szCs w:val="17"/>
          <w:color w:val="auto"/>
        </w:rPr>
        <w:t>We have audited the internal control over financial reporting of The Vita Coco Company,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w:t>
      </w:r>
    </w:p>
    <w:p>
      <w:pPr>
        <w:spacing w:after="0"/>
        <w:rPr>
          <w:sz w:val="20"/>
          <w:szCs w:val="20"/>
          <w:color w:val="auto"/>
        </w:rPr>
      </w:pPr>
      <w:r>
        <w:rPr>
          <w:rFonts w:ascii="Times New Roman" w:cs="Times New Roman" w:eastAsia="Times New Roman" w:hAnsi="Times New Roman"/>
          <w:sz w:val="18"/>
          <w:szCs w:val="18"/>
          <w:color w:val="auto"/>
        </w:rPr>
        <w:t>31, 2024, based on criteria established in Internal Control — Integrated Framework (2013) issued by COSO.</w:t>
      </w:r>
    </w:p>
    <w:p>
      <w:pPr>
        <w:spacing w:after="0" w:line="192"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2024, of the Company and our report dated February 26, 2025, expressed an unqualified</w:t>
      </w:r>
    </w:p>
    <w:p>
      <w:pPr>
        <w:spacing w:after="0"/>
        <w:rPr>
          <w:sz w:val="20"/>
          <w:szCs w:val="20"/>
          <w:color w:val="auto"/>
        </w:rPr>
      </w:pPr>
      <w:r>
        <w:rPr>
          <w:rFonts w:ascii="Times New Roman" w:cs="Times New Roman" w:eastAsia="Times New Roman" w:hAnsi="Times New Roman"/>
          <w:sz w:val="18"/>
          <w:szCs w:val="18"/>
          <w:color w:val="auto"/>
        </w:rPr>
        <w:t>opinion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w:t>
      </w:r>
    </w:p>
    <w:p>
      <w:pPr>
        <w:spacing w:after="0" w:line="2" w:lineRule="exact"/>
        <w:rPr>
          <w:sz w:val="20"/>
          <w:szCs w:val="20"/>
          <w:color w:val="auto"/>
        </w:rPr>
      </w:pPr>
    </w:p>
    <w:p>
      <w:pPr>
        <w:ind w:right="300"/>
        <w:spacing w:after="0" w:line="218" w:lineRule="auto"/>
        <w:rPr>
          <w:sz w:val="20"/>
          <w:szCs w:val="20"/>
          <w:color w:val="auto"/>
        </w:rPr>
      </w:pPr>
      <w:r>
        <w:rPr>
          <w:rFonts w:ascii="Times New Roman" w:cs="Times New Roman" w:eastAsia="Times New Roman" w:hAnsi="Times New Roman"/>
          <w:sz w:val="18"/>
          <w:szCs w:val="18"/>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w:t>
      </w:r>
    </w:p>
    <w:p>
      <w:pPr>
        <w:spacing w:after="0" w:line="2"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8"/>
          <w:szCs w:val="18"/>
          <w:color w:val="auto"/>
        </w:rPr>
        <w:t>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Vita Coco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Vita Coco Company, Inc. and subsidiaries (the "Company") as of December 31, 2024 and 2023, the related consolidated statements of operations, comprehensive income,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1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26, 2025, expressed an unqualified opinion on the Company's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Promotion Accrual — Refer to Note 2 to the financial statement</w:t>
      </w:r>
      <w:r>
        <w:rPr>
          <w:rFonts w:ascii="Arial" w:cs="Arial" w:eastAsia="Arial" w:hAnsi="Arial"/>
          <w:sz w:val="19"/>
          <w:szCs w:val="19"/>
          <w:b w:val="1"/>
          <w:bCs w:val="1"/>
          <w:i w:val="1"/>
          <w:iCs w:val="1"/>
          <w:color w:val="auto"/>
        </w:rPr>
        <w: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contracts with customers include variable consideration, including trade promotions. Variable consideration is treated as a reduction in revenue when the related revenue is recognized, and is recorded using the expected value method, with updates to estimates and related accruals of variable consideration occurring each period based on historical experience and changes in circumstances.</w:t>
      </w:r>
    </w:p>
    <w:p>
      <w:pPr>
        <w:spacing w:after="0" w:line="2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identified the estimation of trade promotion accruals by management as a critical audit matter. These accruals are based on contract terms and the Company’s historical experience with similar programs and requires management judgment with respect to estimating customer and consumer participation and performance results. Consequently, auditing these assumptions require subjective auditor judgment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trade promotion accruals included the following, among others:</w:t>
      </w:r>
    </w:p>
    <w:p>
      <w:pPr>
        <w:spacing w:after="0" w:line="212" w:lineRule="exact"/>
        <w:rPr>
          <w:sz w:val="20"/>
          <w:szCs w:val="20"/>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estimation and calculation of the trade promotion accruals, including management’s controls over the review of the period-end accrual.</w:t>
      </w:r>
    </w:p>
    <w:p>
      <w:pPr>
        <w:spacing w:after="0" w:line="176"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individual customers and promotional periods included in management’s detail of the recorded trade promotion accruals, and evaluated inputs relevant to recorded amounts, including contractual pricing and rebate arrangements with customers and customer claims received subsequent to the accrual period, which were compared to source documents.</w:t>
      </w:r>
    </w:p>
    <w:p>
      <w:pPr>
        <w:spacing w:after="0" w:line="23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18"/>
          <w:szCs w:val="18"/>
          <w:color w:val="auto"/>
        </w:rPr>
        <w:t>We selected a sample of subsequent credits submitted by customers,inspected relevant source documents and compared to recorded amounts.</w:t>
      </w:r>
    </w:p>
    <w:p>
      <w:pPr>
        <w:spacing w:after="0" w:line="242" w:lineRule="exact"/>
        <w:rPr>
          <w:rFonts w:ascii="Arial" w:cs="Arial" w:eastAsia="Arial" w:hAnsi="Arial"/>
          <w:sz w:val="20"/>
          <w:szCs w:val="20"/>
          <w:color w:val="auto"/>
        </w:rPr>
      </w:pPr>
    </w:p>
    <w:p>
      <w:pPr>
        <w:jc w:val="both"/>
        <w:ind w:left="660" w:right="560" w:hanging="328"/>
        <w:spacing w:after="0" w:line="268" w:lineRule="auto"/>
        <w:tabs>
          <w:tab w:leader="none" w:pos="621"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7"/>
          <w:szCs w:val="17"/>
          <w:color w:val="auto"/>
        </w:rPr>
        <w:t>We tested the trade promotion accrual at year-end by developing an expectation of the amount by applying the ratio of gross sales and trade promotion accrual balances at interim periods to gross sales in the fourth quarter and compared it to the balance recorded by management.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ind w:left="4100"/>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164,669</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132,537</w:t>
            </w: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 of $2,255 at December 31, 2024, and $2,486 at December 31, 2023</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50,086</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50,757</w:t>
            </w: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Supplier advances, current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w:t>
            </w: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24,160</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81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341,291</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262,937</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7,791</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7,791</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Supplier advances, long-term</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Deferred tax assets, net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w:t>
            </w:r>
          </w:p>
        </w:tc>
      </w:tr>
      <w:tr>
        <w:trPr>
          <w:trHeight w:val="193"/>
        </w:trPr>
        <w:tc>
          <w:tcPr>
            <w:tcW w:w="8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Right-of-use assets,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r>
      <w:tr>
        <w:trPr>
          <w:trHeight w:val="186"/>
        </w:trPr>
        <w:tc>
          <w:tcPr>
            <w:tcW w:w="81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assets</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362,381</w:t>
            </w:r>
          </w:p>
        </w:tc>
        <w:tc>
          <w:tcPr>
            <w:tcW w:w="120" w:type="dxa"/>
            <w:vAlign w:val="bottom"/>
          </w:tcPr>
          <w:p>
            <w:pPr>
              <w:spacing w:after="0"/>
              <w:rPr>
                <w:sz w:val="16"/>
                <w:szCs w:val="16"/>
                <w:color w:val="auto"/>
              </w:rPr>
            </w:pP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285,682</w:t>
            </w:r>
          </w:p>
        </w:tc>
      </w:tr>
      <w:tr>
        <w:trPr>
          <w:trHeight w:val="23"/>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3"/>
        </w:trPr>
        <w:tc>
          <w:tcPr>
            <w:tcW w:w="8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30,758</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21,826</w:t>
            </w: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59,533</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Notes payable, current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3"/>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103,266</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82,585</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long-term</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r>
      <w:tr>
        <w:trPr>
          <w:trHeight w:val="186"/>
        </w:trPr>
        <w:tc>
          <w:tcPr>
            <w:tcW w:w="8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103,564</w:t>
            </w:r>
          </w:p>
        </w:tc>
        <w:tc>
          <w:tcPr>
            <w:tcW w:w="120" w:type="dxa"/>
            <w:vAlign w:val="bottom"/>
          </w:tcPr>
          <w:p>
            <w:pPr>
              <w:spacing w:after="0"/>
              <w:rPr>
                <w:sz w:val="16"/>
                <w:szCs w:val="16"/>
                <w:color w:val="auto"/>
              </w:rPr>
            </w:pP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83,245</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(See Note 11)</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66"/>
        </w:trPr>
        <w:tc>
          <w:tcPr>
            <w:tcW w:w="8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$0.01 par value; 500,000,000 shares authorized; 63,702,387 and 63,135,453 shares issued at December 31, 2024 and</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2"/>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December 31, 2023, respectively; 56,961,941 and 56,899,253 Shares Outstanding at December 31, 2024 and December 31, 2023,</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2"/>
        </w:trPr>
        <w:tc>
          <w:tcPr>
            <w:tcW w:w="8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respectively.</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174,077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161,414</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156,694</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100,742</w:t>
            </w:r>
          </w:p>
        </w:tc>
      </w:tr>
      <w:tr>
        <w:trPr>
          <w:trHeight w:val="193"/>
        </w:trPr>
        <w:tc>
          <w:tcPr>
            <w:tcW w:w="8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6,740,446 shares at cost as of December 31, 2024, and 6,236,200 as of December 31, 2023.</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(59,701)</w:t>
            </w:r>
          </w:p>
        </w:tc>
      </w:tr>
      <w:tr>
        <w:trPr>
          <w:trHeight w:val="186"/>
        </w:trPr>
        <w:tc>
          <w:tcPr>
            <w:tcW w:w="8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258,817</w:t>
            </w:r>
          </w:p>
        </w:tc>
        <w:tc>
          <w:tcPr>
            <w:tcW w:w="120" w:type="dxa"/>
            <w:vAlign w:val="bottom"/>
          </w:tcPr>
          <w:p>
            <w:pPr>
              <w:spacing w:after="0"/>
              <w:rPr>
                <w:sz w:val="16"/>
                <w:szCs w:val="16"/>
                <w:color w:val="auto"/>
              </w:rPr>
            </w:pP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202,437</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362,381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285,682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427,787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324,426</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103,361</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50"/>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Vita Coco Company, Inc. per common share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56,729,370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56,427,890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55,732,619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59,286,562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58,747,338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56,123,661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The Vita Coco Company, Inc.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r>
      <w:tr>
        <w:trPr>
          <w:trHeight w:val="21"/>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jc w:val="center"/>
        <w:ind w:right="-1100"/>
        <w:spacing w:after="0"/>
        <w:rPr>
          <w:sz w:val="20"/>
          <w:szCs w:val="20"/>
          <w:color w:val="auto"/>
        </w:rPr>
      </w:pPr>
      <w:r>
        <w:rPr>
          <w:rFonts w:ascii="Times New Roman" w:cs="Times New Roman" w:eastAsia="Times New Roman" w:hAnsi="Times New Roman"/>
          <w:sz w:val="18"/>
          <w:szCs w:val="18"/>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55880</wp:posOffset>
            </wp:positionV>
            <wp:extent cx="4903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Total Common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with Exit</w:t>
            </w:r>
          </w:p>
        </w:tc>
        <w:tc>
          <w:tcPr>
            <w:tcW w:w="1400" w:type="dxa"/>
            <w:vAlign w:val="bottom"/>
            <w:gridSpan w:val="5"/>
            <w:vMerge w:val="continue"/>
          </w:tcPr>
          <w:p>
            <w:pPr>
              <w:spacing w:after="0"/>
              <w:rPr>
                <w:sz w:val="9"/>
                <w:szCs w:val="9"/>
                <w:color w:val="auto"/>
              </w:rPr>
            </w:pPr>
          </w:p>
        </w:tc>
        <w:tc>
          <w:tcPr>
            <w:tcW w:w="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9"/>
                <w:szCs w:val="9"/>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8"/>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200" w:type="dxa"/>
            <w:vAlign w:val="bottom"/>
          </w:tcPr>
          <w:p>
            <w:pPr>
              <w:spacing w:after="0"/>
              <w:rPr>
                <w:sz w:val="3"/>
                <w:szCs w:val="3"/>
                <w:color w:val="auto"/>
              </w:rPr>
            </w:pPr>
          </w:p>
        </w:tc>
        <w:tc>
          <w:tcPr>
            <w:tcW w:w="1320" w:type="dxa"/>
            <w:vAlign w:val="bottom"/>
            <w:gridSpan w:val="5"/>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3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Warrants</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1200" w:type="dxa"/>
            <w:vAlign w:val="bottom"/>
          </w:tcPr>
          <w:p>
            <w:pPr>
              <w:spacing w:after="0"/>
              <w:rPr>
                <w:sz w:val="8"/>
                <w:szCs w:val="8"/>
                <w:color w:val="auto"/>
              </w:rPr>
            </w:pPr>
          </w:p>
        </w:tc>
        <w:tc>
          <w:tcPr>
            <w:tcW w:w="1320" w:type="dxa"/>
            <w:vAlign w:val="bottom"/>
            <w:gridSpan w:val="5"/>
            <w:vMerge w:val="continue"/>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9"/>
                <w:szCs w:val="9"/>
                <w:b w:val="1"/>
                <w:bCs w:val="1"/>
                <w:color w:val="auto"/>
                <w:w w:val="96"/>
              </w:rPr>
              <w:t>Earnings</w:t>
            </w:r>
          </w:p>
        </w:tc>
        <w:tc>
          <w:tcPr>
            <w:tcW w:w="80" w:type="dxa"/>
            <w:vAlign w:val="bottom"/>
          </w:tcPr>
          <w:p>
            <w:pPr>
              <w:spacing w:after="0"/>
              <w:rPr>
                <w:sz w:val="8"/>
                <w:szCs w:val="8"/>
                <w:color w:val="auto"/>
              </w:rPr>
            </w:pPr>
          </w:p>
        </w:tc>
        <w:tc>
          <w:tcPr>
            <w:tcW w:w="74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00" w:type="dxa"/>
            <w:vAlign w:val="bottom"/>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67"/>
              <w:spacing w:after="0" w:line="92"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78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9"/>
                <w:szCs w:val="9"/>
                <w:b w:val="1"/>
                <w:bCs w:val="1"/>
                <w:color w:val="auto"/>
                <w:w w:val="99"/>
              </w:rPr>
              <w:t>(Accumulated</w:t>
            </w:r>
          </w:p>
        </w:tc>
        <w:tc>
          <w:tcPr>
            <w:tcW w:w="820" w:type="dxa"/>
            <w:vAlign w:val="bottom"/>
            <w:gridSpan w:val="3"/>
            <w:vMerge w:val="restart"/>
          </w:tcPr>
          <w:p>
            <w:pPr>
              <w:jc w:val="center"/>
              <w:ind w:right="140"/>
              <w:spacing w:after="0" w:line="95"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jc w:val="center"/>
              <w:ind w:right="67"/>
              <w:spacing w:after="0" w:line="95" w:lineRule="exact"/>
              <w:rPr>
                <w:sz w:val="20"/>
                <w:szCs w:val="20"/>
                <w:color w:val="auto"/>
              </w:rPr>
            </w:pPr>
            <w:r>
              <w:rPr>
                <w:rFonts w:ascii="Times New Roman" w:cs="Times New Roman" w:eastAsia="Times New Roman" w:hAnsi="Times New Roman"/>
                <w:sz w:val="9"/>
                <w:szCs w:val="9"/>
                <w:b w:val="1"/>
                <w:bCs w:val="1"/>
                <w:color w:val="auto"/>
                <w:w w:val="98"/>
              </w:rPr>
              <w:t>Stockholders'</w:t>
            </w:r>
          </w:p>
        </w:tc>
        <w:tc>
          <w:tcPr>
            <w:tcW w:w="0" w:type="dxa"/>
            <w:vAlign w:val="bottom"/>
          </w:tcPr>
          <w:p>
            <w:pPr>
              <w:spacing w:after="0"/>
              <w:rPr>
                <w:sz w:val="1"/>
                <w:szCs w:val="1"/>
                <w:color w:val="auto"/>
              </w:rPr>
            </w:pPr>
          </w:p>
        </w:tc>
      </w:tr>
      <w:tr>
        <w:trPr>
          <w:trHeight w:val="48"/>
        </w:trPr>
        <w:tc>
          <w:tcPr>
            <w:tcW w:w="120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4"/>
                <w:szCs w:val="4"/>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4"/>
                <w:szCs w:val="4"/>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Deficit)</w:t>
            </w: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Income / (Loss)</w:t>
            </w: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7"/>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Balance at December 31,</w:t>
            </w: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6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53,651,477</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537</w:t>
            </w: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8,113,105</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61,764,582</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618</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134,730</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47,369</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9"/>
              </w:rPr>
              <w:t>6,206,200</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(58,928)</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123,173</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7,814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7,814</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8"/>
              </w:rPr>
              <w:t>Stock-based compensation</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7,384</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7,384</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460,668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460,668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3,100</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0" w:type="dxa"/>
            <w:vAlign w:val="bottom"/>
          </w:tcPr>
          <w:p>
            <w:pPr>
              <w:spacing w:after="0"/>
              <w:rPr>
                <w:sz w:val="1"/>
                <w:szCs w:val="1"/>
                <w:color w:val="auto"/>
              </w:rPr>
            </w:pPr>
          </w:p>
        </w:tc>
      </w:tr>
      <w:tr>
        <w:trPr>
          <w:trHeight w:val="133"/>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Balance at December 31,</w:t>
            </w: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54,112,145</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541</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11"/>
                <w:szCs w:val="11"/>
                <w:color w:val="auto"/>
              </w:rPr>
            </w:pP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62,225,250</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145,210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55,183</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(994)</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6,206,200</w:t>
            </w:r>
          </w:p>
        </w:tc>
        <w:tc>
          <w:tcPr>
            <w:tcW w:w="80" w:type="dxa"/>
            <w:vAlign w:val="bottom"/>
          </w:tcPr>
          <w:p>
            <w:pPr>
              <w:spacing w:after="0"/>
              <w:rPr>
                <w:sz w:val="11"/>
                <w:szCs w:val="11"/>
                <w:color w:val="auto"/>
              </w:rPr>
            </w:pPr>
          </w:p>
        </w:tc>
        <w:tc>
          <w:tcPr>
            <w:tcW w:w="1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141,093</w:t>
            </w:r>
          </w:p>
        </w:tc>
        <w:tc>
          <w:tcPr>
            <w:tcW w:w="0" w:type="dxa"/>
            <w:vAlign w:val="bottom"/>
          </w:tcPr>
          <w:p>
            <w:pPr>
              <w:spacing w:after="0"/>
              <w:rPr>
                <w:sz w:val="1"/>
                <w:szCs w:val="1"/>
                <w:color w:val="auto"/>
              </w:rPr>
            </w:pPr>
          </w:p>
        </w:tc>
      </w:tr>
      <w:tr>
        <w:trPr>
          <w:trHeight w:val="137"/>
        </w:trPr>
        <w:tc>
          <w:tcPr>
            <w:tcW w:w="12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tcBorders>
              <w:bottom w:val="single" w:sz="8" w:color="CFF0FC"/>
            </w:tcBorders>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46,629</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46,629</w:t>
            </w:r>
          </w:p>
        </w:tc>
        <w:tc>
          <w:tcPr>
            <w:tcW w:w="0" w:type="dxa"/>
            <w:vAlign w:val="bottom"/>
          </w:tcPr>
          <w:p>
            <w:pPr>
              <w:spacing w:after="0"/>
              <w:rPr>
                <w:sz w:val="1"/>
                <w:szCs w:val="1"/>
                <w:color w:val="auto"/>
              </w:rPr>
            </w:pPr>
          </w:p>
        </w:tc>
      </w:tr>
      <w:tr>
        <w:trPr>
          <w:trHeight w:val="135"/>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Cumulative-effect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adjustment related to</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the adoption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accounting guidance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2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 credit losses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30,000</w:t>
            </w: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Stock-based 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9,128</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6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910,203</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910,203</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7,076</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7,085</w:t>
            </w:r>
          </w:p>
        </w:tc>
        <w:tc>
          <w:tcPr>
            <w:tcW w:w="0" w:type="dxa"/>
            <w:vAlign w:val="bottom"/>
          </w:tcPr>
          <w:p>
            <w:pPr>
              <w:spacing w:after="0"/>
              <w:rPr>
                <w:sz w:val="1"/>
                <w:szCs w:val="1"/>
                <w:color w:val="auto"/>
              </w:rPr>
            </w:pPr>
          </w:p>
        </w:tc>
      </w:tr>
      <w:tr>
        <w:trPr>
          <w:trHeight w:val="135"/>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345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345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Balance at December 31,</w:t>
            </w:r>
          </w:p>
        </w:tc>
        <w:tc>
          <w:tcPr>
            <w:tcW w:w="6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55,022,348</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550</w:t>
            </w:r>
          </w:p>
        </w:tc>
        <w:tc>
          <w:tcPr>
            <w:tcW w:w="8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63,135,453</w:t>
            </w:r>
          </w:p>
        </w:tc>
        <w:tc>
          <w:tcPr>
            <w:tcW w:w="8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631</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161,414</w:t>
            </w:r>
          </w:p>
        </w:tc>
        <w:tc>
          <w:tcPr>
            <w:tcW w:w="8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100,742</w:t>
            </w:r>
          </w:p>
        </w:tc>
        <w:tc>
          <w:tcPr>
            <w:tcW w:w="8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(649)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6,236,200</w:t>
            </w:r>
          </w:p>
        </w:tc>
        <w:tc>
          <w:tcPr>
            <w:tcW w:w="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(59,701)</w:t>
            </w:r>
          </w:p>
        </w:tc>
        <w:tc>
          <w:tcPr>
            <w:tcW w:w="8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vMerge w:val="restart"/>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202,437</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4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58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46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00" w:type="dxa"/>
            <w:vAlign w:val="bottom"/>
            <w:vMerge w:val="continue"/>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55,952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55,952</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504,246</w:t>
            </w: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(12,030)</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(12,030)</w:t>
            </w:r>
          </w:p>
        </w:tc>
        <w:tc>
          <w:tcPr>
            <w:tcW w:w="0" w:type="dxa"/>
            <w:vAlign w:val="bottom"/>
          </w:tcPr>
          <w:p>
            <w:pPr>
              <w:spacing w:after="0"/>
              <w:rPr>
                <w:sz w:val="1"/>
                <w:szCs w:val="1"/>
                <w:color w:val="auto"/>
              </w:rPr>
            </w:pPr>
          </w:p>
        </w:tc>
      </w:tr>
      <w:tr>
        <w:trPr>
          <w:trHeight w:val="154"/>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Stock-based 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8,922</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6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566,934</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566,934</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3,741</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3,747</w:t>
            </w:r>
          </w:p>
        </w:tc>
        <w:tc>
          <w:tcPr>
            <w:tcW w:w="0" w:type="dxa"/>
            <w:vAlign w:val="bottom"/>
          </w:tcPr>
          <w:p>
            <w:pPr>
              <w:spacing w:after="0"/>
              <w:rPr>
                <w:sz w:val="1"/>
                <w:szCs w:val="1"/>
                <w:color w:val="auto"/>
              </w:rPr>
            </w:pPr>
          </w:p>
        </w:tc>
      </w:tr>
      <w:tr>
        <w:trPr>
          <w:trHeight w:val="135"/>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Balance at December 31,</w:t>
            </w: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55,589,282</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556</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63,702,387</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637</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174,077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156,694</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6,740,446</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(71,731)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258,817</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jc w:val="center"/>
        <w:ind w:right="-13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46,629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7,814</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1,901</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(Gain)/loss on disposal of equipment</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Bad debt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2,641</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Unrealized (gain)/loss on derivative instruments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8,176</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7,384</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Impairment loss on assets held for sale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6,714</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Noncash lease expense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Deferred tax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33,688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0" w:type="dxa"/>
            <w:vAlign w:val="bottom"/>
          </w:tcPr>
          <w:p>
            <w:pPr>
              <w:spacing w:after="0"/>
              <w:rPr>
                <w:sz w:val="1"/>
                <w:szCs w:val="1"/>
                <w:color w:val="auto"/>
              </w:rPr>
            </w:pPr>
          </w:p>
        </w:tc>
      </w:tr>
      <w:tr>
        <w:trPr>
          <w:trHeight w:val="193"/>
        </w:trPr>
        <w:tc>
          <w:tcPr>
            <w:tcW w:w="6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Prepaid expenses, net supplier advances, and other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24,340</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(16,776)</w:t>
            </w:r>
          </w:p>
        </w:tc>
        <w:tc>
          <w:tcPr>
            <w:tcW w:w="0" w:type="dxa"/>
            <w:vAlign w:val="bottom"/>
          </w:tcPr>
          <w:p>
            <w:pPr>
              <w:spacing w:after="0"/>
              <w:rPr>
                <w:sz w:val="1"/>
                <w:szCs w:val="1"/>
                <w:color w:val="auto"/>
              </w:rPr>
            </w:pPr>
          </w:p>
        </w:tc>
      </w:tr>
      <w:tr>
        <w:trPr>
          <w:trHeight w:val="186"/>
        </w:trPr>
        <w:tc>
          <w:tcPr>
            <w:tcW w:w="6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42,899</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107,155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for property and equipment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awards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3,062</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Borrowings on credit facility</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22,000</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borrowings on credit facility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Cash received (paid) on notes payable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to acquire treasury stock</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(8,296)</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6,290</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3,034</w:t>
            </w:r>
          </w:p>
        </w:tc>
        <w:tc>
          <w:tcPr>
            <w:tcW w:w="0" w:type="dxa"/>
            <w:vAlign w:val="bottom"/>
          </w:tcPr>
          <w:p>
            <w:pPr>
              <w:spacing w:after="0"/>
              <w:rPr>
                <w:sz w:val="1"/>
                <w:szCs w:val="1"/>
                <w:color w:val="auto"/>
              </w:rPr>
            </w:pPr>
          </w:p>
        </w:tc>
      </w:tr>
      <w:tr>
        <w:trPr>
          <w:trHeight w:val="186"/>
        </w:trPr>
        <w:tc>
          <w:tcPr>
            <w:tcW w:w="6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9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33,066</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113,238</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(9,061)</w:t>
            </w:r>
          </w:p>
        </w:tc>
        <w:tc>
          <w:tcPr>
            <w:tcW w:w="0" w:type="dxa"/>
            <w:vAlign w:val="bottom"/>
          </w:tcPr>
          <w:p>
            <w:pPr>
              <w:spacing w:after="0"/>
              <w:rPr>
                <w:sz w:val="1"/>
                <w:szCs w:val="1"/>
                <w:color w:val="auto"/>
              </w:rPr>
            </w:pPr>
          </w:p>
        </w:tc>
      </w:tr>
      <w:tr>
        <w:trPr>
          <w:trHeight w:val="193"/>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28,690</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at end of the period </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165,933</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132,867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19,629</w:t>
            </w: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20" w:type="dxa"/>
            <w:vAlign w:val="bottom"/>
            <w:tcBorders>
              <w:bottom w:val="single" w:sz="8" w:color="CFF0FC"/>
            </w:tcBorders>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12,981</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9,905</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4,624</w:t>
            </w:r>
          </w:p>
        </w:tc>
        <w:tc>
          <w:tcPr>
            <w:tcW w:w="0" w:type="dxa"/>
            <w:vAlign w:val="bottom"/>
          </w:tcPr>
          <w:p>
            <w:pPr>
              <w:spacing w:after="0"/>
              <w:rPr>
                <w:sz w:val="1"/>
                <w:szCs w:val="1"/>
                <w:color w:val="auto"/>
              </w:rPr>
            </w:pPr>
          </w:p>
        </w:tc>
      </w:tr>
      <w:tr>
        <w:trPr>
          <w:trHeight w:val="193"/>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40" w:hanging="151"/>
        <w:spacing w:after="0"/>
        <w:tabs>
          <w:tab w:leader="none" w:pos="24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$1,264, $330 and $0 of restricted cash as of December 31, 2024</w:t>
      </w:r>
      <w:r>
        <w:rPr>
          <w:rFonts w:ascii="Arial" w:cs="Arial" w:eastAsia="Arial" w:hAnsi="Arial"/>
          <w:sz w:val="21"/>
          <w:szCs w:val="21"/>
          <w:color w:val="auto"/>
        </w:rPr>
        <w:t>,</w:t>
      </w:r>
      <w:r>
        <w:rPr>
          <w:rFonts w:ascii="Times New Roman" w:cs="Times New Roman" w:eastAsia="Times New Roman" w:hAnsi="Times New Roman"/>
          <w:sz w:val="14"/>
          <w:szCs w:val="14"/>
          <w:color w:val="auto"/>
        </w:rPr>
        <w:t xml:space="preserve"> 2023, and 2022 respectively, that were included in other current assets.</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0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predominantly in the United States ("U.S."). Other products include coconut milk, coconut oil, water (under the brand name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and coconut as a commodity. We also offered a natural energy drink (under the brand name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we ceased selling in December 2023.</w:t>
      </w:r>
    </w:p>
    <w:p>
      <w:pPr>
        <w:spacing w:after="0" w:line="180" w:lineRule="exact"/>
        <w:rPr>
          <w:sz w:val="20"/>
          <w:szCs w:val="20"/>
          <w:color w:val="auto"/>
        </w:rPr>
      </w:pPr>
    </w:p>
    <w:p>
      <w:pPr>
        <w:ind w:right="20" w:firstLine="486"/>
        <w:spacing w:after="0" w:line="289" w:lineRule="auto"/>
        <w:rPr>
          <w:sz w:val="20"/>
          <w:szCs w:val="20"/>
          <w:color w:val="auto"/>
        </w:rPr>
      </w:pPr>
      <w:r>
        <w:rPr>
          <w:rFonts w:ascii="Times New Roman" w:cs="Times New Roman" w:eastAsia="Times New Roman" w:hAnsi="Times New Roman"/>
          <w:sz w:val="17"/>
          <w:szCs w:val="17"/>
          <w:color w:val="auto"/>
        </w:rPr>
        <w:t xml:space="preserve">The Company was incorporated in Delaware as All Market Inc. on January 17, 2007. On September 9, 2021, we changed our name to The Vita Coco Company, Inc. In 2018, the Company purchased certain assets and liabilities of </w:t>
      </w:r>
      <w:r>
        <w:rPr>
          <w:rFonts w:ascii="Times New Roman" w:cs="Times New Roman" w:eastAsia="Times New Roman" w:hAnsi="Times New Roman"/>
          <w:sz w:val="17"/>
          <w:szCs w:val="17"/>
          <w:i w:val="1"/>
          <w:iCs w:val="1"/>
          <w:color w:val="auto"/>
        </w:rPr>
        <w:t>Runa</w:t>
      </w:r>
      <w:r>
        <w:rPr>
          <w:rFonts w:ascii="Times New Roman" w:cs="Times New Roman" w:eastAsia="Times New Roman" w:hAnsi="Times New Roman"/>
          <w:sz w:val="17"/>
          <w:szCs w:val="17"/>
          <w:color w:val="auto"/>
        </w:rPr>
        <w:t>, which was marketed and distributed primarily in the U.S. until the Company ceased selling the brand in December 2023. The Company completed an initial public offering (the "IPO") of common stock in October 2021.</w:t>
      </w:r>
    </w:p>
    <w:p>
      <w:pPr>
        <w:spacing w:after="0" w:line="158" w:lineRule="exact"/>
        <w:rPr>
          <w:sz w:val="20"/>
          <w:szCs w:val="20"/>
          <w:color w:val="auto"/>
        </w:rPr>
      </w:pPr>
    </w:p>
    <w:p>
      <w:pPr>
        <w:ind w:right="320" w:firstLine="486"/>
        <w:spacing w:after="0" w:line="289" w:lineRule="auto"/>
        <w:rPr>
          <w:sz w:val="20"/>
          <w:szCs w:val="20"/>
          <w:color w:val="auto"/>
        </w:rPr>
      </w:pPr>
      <w:r>
        <w:rPr>
          <w:rFonts w:ascii="Times New Roman" w:cs="Times New Roman" w:eastAsia="Times New Roman" w:hAnsi="Times New Roman"/>
          <w:sz w:val="17"/>
          <w:szCs w:val="17"/>
          <w:color w:val="auto"/>
        </w:rPr>
        <w:t>We are a public benefit corporation under Section 362 of the Delaware General Corporation Law. As a public benefit corporation, our Board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5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has ten wholly-owned subsidiaries including four wholly-owned Asian subsidiaries established between fiscal 2012 and 2015, four North American subsidiaries established between 2012 and 2018, as well as All Market Europe, Ltd. (“AME”) in the United Kingdom ("U.K.") established during 2009, and one subsidiary in Germany established during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40" w:firstLine="551"/>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accordance with accounting principles generally accepted in the United States of America (“U.S. GAAP”).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ind w:right="180" w:firstLine="551"/>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all the accounts of the wholly owned subsidiaries. All intercompany accounts and transactions have been eliminated in consolidation.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Global Events Causing Macroeconomic Uncertainty</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current geopolitical and economic instability (including the effects of current wars and other international conflicts) and the high interest rates, foreign exchange rates, potential tariffs and other import related fees, and inflationary cost environment may affect our global supply chain. It is not currently possible to ascertain the overall impact of these macroeconomic uncertainties on the Company’s business, results of operations, financial condition or liquidity. Future events and effects related to these macroeconomic uncertainties cannot be determined with precision and actual results could significantly differ from estimates or forecasts.</w:t>
      </w:r>
    </w:p>
    <w:p>
      <w:pPr>
        <w:spacing w:after="0" w:line="287" w:lineRule="exact"/>
        <w:rPr>
          <w:sz w:val="20"/>
          <w:szCs w:val="20"/>
          <w:color w:val="auto"/>
        </w:rPr>
      </w:pPr>
    </w:p>
    <w:p>
      <w:pPr>
        <w:ind w:right="6360" w:firstLine="8"/>
        <w:spacing w:after="0" w:line="370" w:lineRule="auto"/>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firstLine="551"/>
        <w:spacing w:after="0" w:line="243" w:lineRule="auto"/>
        <w:rPr>
          <w:sz w:val="20"/>
          <w:szCs w:val="20"/>
          <w:color w:val="auto"/>
        </w:rPr>
      </w:pPr>
      <w:r>
        <w:rPr>
          <w:rFonts w:ascii="Times New Roman" w:cs="Times New Roman" w:eastAsia="Times New Roman" w:hAnsi="Times New Roman"/>
          <w:sz w:val="18"/>
          <w:szCs w:val="18"/>
          <w:color w:val="auto"/>
        </w:rPr>
        <w:t>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consolidated financial statements. Management must apply significant judgement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may yield a range of reasonable estimates of the ultimate future outcomes, and management must select an amount that falls within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that range of reasonable estimates. The most significant estimates in the consolidated financial statements relate to share-based compensation, assessing long-lived assets for impairment, estimating the net realizable value of inventories, the determination of the current expected credit losses allowance, assessing goodwill for impairment, the determination of the value of trade promotions and assessing the realizability of deferred income taxes. Actual results could differ from those estimates.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ASC 606 defines a five-step model that requires entities exercise judgment when considering the terms of contract(s), which include (1) identifying the contract or agreement with a customer, (2) identifying the performance obligations in the contract or agreement, (3) 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 Our revenue is recognized net of allowances for returns, discounts, credits and any taxes collected from consumers.</w:t>
      </w:r>
    </w:p>
    <w:p>
      <w:pPr>
        <w:spacing w:after="0" w:line="179"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 xml:space="preserve">For the Company’s various products in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and Other product categories (refer to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83"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91" w:lineRule="exact"/>
        <w:rPr>
          <w:sz w:val="20"/>
          <w:szCs w:val="20"/>
          <w:color w:val="auto"/>
        </w:rPr>
      </w:pPr>
    </w:p>
    <w:p>
      <w:pPr>
        <w:ind w:right="140" w:firstLine="551"/>
        <w:spacing w:after="0" w:line="24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consolidated financial statements include accruals for these promotion and discounts. The accruals are made for invoices that have not yet been received as of year-end and are recorded as a reduction of sales, and are based on contract terms and our historical experience with similar programs and require management judgement with respect to estimating customer and consumer participation and performance levels.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380" w:firstLine="551"/>
        <w:spacing w:after="0" w:line="282" w:lineRule="auto"/>
        <w:rPr>
          <w:sz w:val="20"/>
          <w:szCs w:val="20"/>
          <w:color w:val="auto"/>
        </w:rPr>
      </w:pPr>
      <w:r>
        <w:rPr>
          <w:rFonts w:ascii="Times New Roman" w:cs="Times New Roman" w:eastAsia="Times New Roman" w:hAnsi="Times New Roman"/>
          <w:sz w:val="18"/>
          <w:szCs w:val="18"/>
          <w:color w:val="auto"/>
        </w:rPr>
        <w:t>Costs of goods sold includes the costs of the products sold to customers, inbound and outbound shipping and handling costs, freight and duties, shipping and packaging supplies, and warehouse fulfillment costs incurred in operating and staffing warehouses.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08" w:lineRule="exact"/>
        <w:rPr>
          <w:sz w:val="20"/>
          <w:szCs w:val="20"/>
          <w:color w:val="auto"/>
        </w:rPr>
      </w:pPr>
    </w:p>
    <w:p>
      <w:pPr>
        <w:ind w:right="160" w:firstLine="551"/>
        <w:spacing w:after="0" w:line="258" w:lineRule="auto"/>
        <w:rPr>
          <w:sz w:val="20"/>
          <w:szCs w:val="20"/>
          <w:color w:val="auto"/>
        </w:rPr>
      </w:pPr>
      <w:r>
        <w:rPr>
          <w:rFonts w:ascii="Times New Roman" w:cs="Times New Roman" w:eastAsia="Times New Roman" w:hAnsi="Times New Roman"/>
          <w:sz w:val="18"/>
          <w:szCs w:val="18"/>
          <w:color w:val="auto"/>
        </w:rPr>
        <w:t>Shipping and handling costs related to the sale of inventory represent outbound distribution costs, and are included in cost of goods sold in the consolidated statement of operations. Shipping and handling costs were $13,100, $13,261 and $13,387 for the years ended December 31, 2024, 2023, and 2022, respectively.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Promotional Expenses</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Marketing and promotional expenses, including advertising expenses, consist of investments to grow our business and retain customers, including costs related to influencers, trade shows, product samples, advertising campaigns on social media and various other digital platforms, point of sale displays, and various event sponsorships. Marketing and promotional expenses are recorded in selling, general and administrative expenses in the period they are incurred and were $31,343, $35,460, and $23,084 for the years ended December 31, 2024, 2023, and 2022,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costs are charged to expense in the period incurred and are recorded in selling, general and administrative expenses.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$398, $418, and $541 for the years ended December 31, 2024, 2023, and 2022, respectively.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for awards issued under the 2014 Stock Option and Restricted Stock Plan and the 2021 Stock Incentive Award Plan.</w:t>
      </w:r>
    </w:p>
    <w:p>
      <w:pPr>
        <w:spacing w:after="0" w:line="176" w:lineRule="exact"/>
        <w:rPr>
          <w:sz w:val="20"/>
          <w:szCs w:val="20"/>
          <w:color w:val="auto"/>
        </w:rPr>
      </w:pPr>
    </w:p>
    <w:p>
      <w:pPr>
        <w:ind w:firstLine="551"/>
        <w:spacing w:after="0" w:line="243" w:lineRule="auto"/>
        <w:rPr>
          <w:sz w:val="20"/>
          <w:szCs w:val="20"/>
          <w:color w:val="auto"/>
        </w:rPr>
      </w:pPr>
      <w:r>
        <w:rPr>
          <w:rFonts w:ascii="Times New Roman" w:cs="Times New Roman" w:eastAsia="Times New Roman" w:hAnsi="Times New Roman"/>
          <w:sz w:val="18"/>
          <w:szCs w:val="18"/>
          <w:color w:val="auto"/>
        </w:rPr>
        <w:t>The Company measures all awards based on their fair value on the date of the grant and recognizes compensation expense for those awards over the requisite service period of each stock award grant, which is generally the vesting period of the respective award by using the accelerated attribution method. The Company applies an estimated forfeiture rate derived from historical employee termination behavior. If the actual forfeitures differ from those estimated by management, adjustment to compensation expense may be required in future periods. The Company issues stock-based awards with service-based and performance-based and market-based vesting conditions. The Company recognizes expense for performance-based awards when it becomes probable that such awards will be earned over a requisite service period. The Company defers the recognition of compensation expense for the stock awards that vest upon qualifying liquidity events until the qualifying events are probable of occurrence. Stock awards are equity-classified, as they do not contain a cash settlement option or other features requiring them to be liability-classified.</w:t>
      </w:r>
    </w:p>
    <w:p>
      <w:pPr>
        <w:spacing w:after="0" w:line="186" w:lineRule="exact"/>
        <w:rPr>
          <w:sz w:val="20"/>
          <w:szCs w:val="20"/>
          <w:color w:val="auto"/>
        </w:rPr>
      </w:pPr>
    </w:p>
    <w:p>
      <w:pPr>
        <w:ind w:right="200" w:firstLine="551"/>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fair value of stock awards with service-based vesting conditions and performance-based vesting conditions. For stock awards with performance-based and market-based vesting conditions, the Company uses the Barrier option valuation model to determine the fair value.</w:t>
      </w:r>
    </w:p>
    <w:p>
      <w:pPr>
        <w:spacing w:after="0" w:line="169" w:lineRule="exact"/>
        <w:rPr>
          <w:sz w:val="20"/>
          <w:szCs w:val="20"/>
          <w:color w:val="auto"/>
        </w:rPr>
      </w:pPr>
    </w:p>
    <w:p>
      <w:pPr>
        <w:ind w:right="260" w:firstLine="551"/>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classified most of its stock-based compensation expense in its consolidated statements of operations in selling, general, and administrative expenses, reflecting the same manner in which the award recipient’s payroll costs are classified or in which the award recipient’s service payments are classified. There are restricted stock units previously granted to entities affiliated with a major customer, which was recognized as a stock-based sales incentive based on guidance in ASC 606 and reflected as a reduction in the transaction price revenue.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right="20" w:firstLine="551"/>
        <w:spacing w:after="0" w:line="244" w:lineRule="auto"/>
        <w:rPr>
          <w:sz w:val="20"/>
          <w:szCs w:val="20"/>
          <w:color w:val="auto"/>
        </w:rPr>
      </w:pPr>
      <w:r>
        <w:rPr>
          <w:rFonts w:ascii="Times New Roman" w:cs="Times New Roman" w:eastAsia="Times New Roman" w:hAnsi="Times New Roman"/>
          <w:sz w:val="18"/>
          <w:szCs w:val="18"/>
          <w:color w:val="auto"/>
        </w:rPr>
        <w:t>The Company accounts for income taxes under ASC 740,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7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 xml:space="preserve">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net income per common share, on a basic and diluted basis, is presented for all periods, calculated using the treasury stock method. Basic net income per share is computed by dividing net income by the weighted average number of common shares and service warrants outstanding during each period. Diluted net income per share is computed by dividing net income by the weighted average number of common and dilutive common equivalent shares outstanding. The calculation of common equivalent shares assumes the exercise of dilutive in-the-money stock options, net of assumed treasury share repurchases at average market prices, as applicable.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and cash equivalents include cash on hand and money market instruments with maturities of three months or less.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180" w:firstLine="551"/>
        <w:spacing w:after="0" w:line="250" w:lineRule="auto"/>
        <w:rPr>
          <w:sz w:val="20"/>
          <w:szCs w:val="20"/>
          <w:color w:val="auto"/>
        </w:rPr>
      </w:pPr>
      <w:r>
        <w:rPr>
          <w:rFonts w:ascii="Times New Roman" w:cs="Times New Roman" w:eastAsia="Times New Roman" w:hAnsi="Times New Roman"/>
          <w:sz w:val="18"/>
          <w:szCs w:val="18"/>
          <w:color w:val="auto"/>
        </w:rPr>
        <w:t>Accounts receivable are reported net of an allowance for doubtful accounts. In determining such an allowance, the Company considers historical losses and existing economic conditions, as well as the credit quality of each customer. Accounts receivable are charged off when the Company deems amounts to be uncollectible.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08" w:lineRule="exact"/>
        <w:rPr>
          <w:sz w:val="20"/>
          <w:szCs w:val="20"/>
          <w:color w:val="auto"/>
        </w:rPr>
      </w:pPr>
    </w:p>
    <w:p>
      <w:pPr>
        <w:ind w:right="100" w:firstLine="551"/>
        <w:spacing w:after="0" w:line="250" w:lineRule="auto"/>
        <w:rPr>
          <w:sz w:val="20"/>
          <w:szCs w:val="20"/>
          <w:color w:val="auto"/>
        </w:rPr>
      </w:pPr>
      <w:r>
        <w:rPr>
          <w:rFonts w:ascii="Times New Roman" w:cs="Times New Roman" w:eastAsia="Times New Roman" w:hAnsi="Times New Roman"/>
          <w:sz w:val="18"/>
          <w:szCs w:val="18"/>
          <w:color w:val="auto"/>
        </w:rPr>
        <w:t>Inventory represents raw materials, finished goods, packaging, and inbound shipping and handling and is reported at the lower of cost or net realizable value being determined using the first-in, first-out method. Net realizable value is the estimated selling price in the ordinary course of business, less reasonably predictable costs of completion, disposal and transportation. The Company reserves for finished goods that are close to the date of expiration.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80" w:firstLine="551"/>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over the estimated useful lives of the related assets or in the case of leasehold improvements, the lease term if shorter, using the straight-line method of depreciation. Repairs and maintenance are charged to expense as incurred. The estimated useful lives of the Company’s property and equipment are as follows:</w:t>
      </w:r>
    </w:p>
    <w:p>
      <w:pPr>
        <w:spacing w:after="0" w:line="82" w:lineRule="exact"/>
        <w:rPr>
          <w:sz w:val="20"/>
          <w:szCs w:val="20"/>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computer software and hardware – 3-7 years</w:t>
      </w:r>
    </w:p>
    <w:p>
      <w:pPr>
        <w:spacing w:after="0" w:line="10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The lesser of the life of the asset or the term of the lease</w:t>
      </w:r>
    </w:p>
    <w:p>
      <w:pPr>
        <w:spacing w:after="0" w:line="10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 5 years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fixtures – 3-5 years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08" w:lineRule="exact"/>
        <w:rPr>
          <w:sz w:val="20"/>
          <w:szCs w:val="20"/>
          <w:color w:val="auto"/>
        </w:rPr>
      </w:pPr>
    </w:p>
    <w:p>
      <w:pPr>
        <w:ind w:right="100" w:firstLine="551"/>
        <w:spacing w:after="0" w:line="258" w:lineRule="auto"/>
        <w:rPr>
          <w:sz w:val="20"/>
          <w:szCs w:val="20"/>
          <w:color w:val="auto"/>
        </w:rPr>
      </w:pPr>
      <w:r>
        <w:rPr>
          <w:rFonts w:ascii="Times New Roman" w:cs="Times New Roman" w:eastAsia="Times New Roman" w:hAnsi="Times New Roman"/>
          <w:sz w:val="18"/>
          <w:szCs w:val="18"/>
          <w:color w:val="auto"/>
        </w:rPr>
        <w:t>Intangible assets consisted primarily of acquired trade names and distributor relationships. The Company determines the appropriate useful life of the intangible assets by performing an analysis of expected cash flows of the acquired assets. Intangible assets are amortized over their estimated useful lives of ten years, using the straight-line method, which approximates the pattern in which the economic benefits are consumed.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551"/>
        <w:spacing w:after="0" w:line="244"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principally intangibles and property and equipment, by comparing asset group’s carrying value to the expected undiscounted future cash flows to be generated from such assets when events or circumstances indicate that an impairment may have occurred. If the estimated undiscounted future cash flows are less than the carrying amount, an impairment loss is recorded based upon the difference between the carrying amount and the fair value of the asset. The Company’s long-lived assets are reviewed for impairment whenever events or changes in circumstances indicate that the carrying amount may not be recoverable, or a triggering event. When a triggering event is identified, a test of recoverability is performed by estimating the undiscounted future cash flows</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associated with such assets and comparing them to the carrying value of the asset. When the recoverability test fails, the Company measures the impairment loss based on the fair value of the assets compared to the carrying amount of the asset. The fair value of the trade names is determined through an income approach using the relief from royalty method. The fair value of the distributor relationships is determined through an income approach using the excess earnings method.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9" w:lineRule="exact"/>
        <w:rPr>
          <w:sz w:val="20"/>
          <w:szCs w:val="20"/>
          <w:color w:val="auto"/>
        </w:rPr>
      </w:pPr>
    </w:p>
    <w:p>
      <w:pPr>
        <w:ind w:right="80" w:firstLine="551"/>
        <w:spacing w:after="0" w:line="245" w:lineRule="auto"/>
        <w:rPr>
          <w:sz w:val="20"/>
          <w:szCs w:val="20"/>
          <w:color w:val="auto"/>
        </w:rPr>
      </w:pPr>
      <w:r>
        <w:rPr>
          <w:rFonts w:ascii="Times New Roman" w:cs="Times New Roman" w:eastAsia="Times New Roman" w:hAnsi="Times New Roman"/>
          <w:sz w:val="18"/>
          <w:szCs w:val="18"/>
          <w:color w:val="auto"/>
        </w:rPr>
        <w:t xml:space="preserve">The Company evaluates each of its acquisitions under the accounting framework in Accounting Standards Codification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ASC 805 requires the reporting entity to identify the acquirer, determine the acquisition date, recognize and measure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tangible and intangible assets acquired, the liabilities assumed and any non-controlling interest in the acquired entity, and recognize and measure goodwill. The acquiree’s results are included in the consolidated financial statements from the date of the acquisition. The Company allocated the purchase price, including the fair value of any non-cash and contingent consideration, to the identifiable assets and liabilities of the relevant acquired business at their acquisition date fair values. Any excess consideration over the fair value of assets acquired and liabilities assumed is recognized as goodwill.</w:t>
      </w:r>
    </w:p>
    <w:p>
      <w:pPr>
        <w:spacing w:after="0" w:line="183"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Contingent consideration payable in cash or a fixed dollar amount settleable in a variable number of shares is classified as a liability and recorded at fair value, with changes in fair value recorded as a component of operating expenses in the accompanying consolidated statements of operations. Transaction costs associated with business combinations are expensed as incurred and are included in selling, general and administrative expenses in the consolidated statements of operations.</w:t>
      </w:r>
    </w:p>
    <w:p>
      <w:pPr>
        <w:spacing w:after="0" w:line="177" w:lineRule="exact"/>
        <w:rPr>
          <w:sz w:val="20"/>
          <w:szCs w:val="20"/>
          <w:color w:val="auto"/>
        </w:rPr>
      </w:pPr>
    </w:p>
    <w:p>
      <w:pPr>
        <w:ind w:right="20" w:firstLine="551"/>
        <w:spacing w:after="0" w:line="247" w:lineRule="auto"/>
        <w:rPr>
          <w:sz w:val="20"/>
          <w:szCs w:val="20"/>
          <w:color w:val="auto"/>
        </w:rPr>
      </w:pPr>
      <w:r>
        <w:rPr>
          <w:rFonts w:ascii="Times New Roman" w:cs="Times New Roman" w:eastAsia="Times New Roman" w:hAnsi="Times New Roman"/>
          <w:sz w:val="18"/>
          <w:szCs w:val="18"/>
          <w:color w:val="auto"/>
        </w:rPr>
        <w:t>The Company performs valuations of assets acquired, liabilities assumed, and contingent consideration and allocates the purchase price to its respective assets and liabilities. Determining the fair value of assets acquired, liabilities assumed, and contingent consideration requires the use of significant judgment and estimates including the selection of valuation methodologies, estimates of future revenue, costs and cash flows, discount rates, the probability of the achievement of specified milestones, and selection of comparable companies. The Company engages the assistance of valuation specialists in concluding on fair value measurements in connection with determining fair values of assets acquired, liabilities assumed, and contingent consideration in a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60" w:firstLine="551"/>
        <w:spacing w:after="0" w:line="250" w:lineRule="auto"/>
        <w:rPr>
          <w:sz w:val="20"/>
          <w:szCs w:val="20"/>
          <w:color w:val="auto"/>
        </w:rPr>
      </w:pPr>
      <w:r>
        <w:rPr>
          <w:rFonts w:ascii="Times New Roman" w:cs="Times New Roman" w:eastAsia="Times New Roman" w:hAnsi="Times New Roman"/>
          <w:sz w:val="18"/>
          <w:szCs w:val="18"/>
          <w:color w:val="auto"/>
        </w:rPr>
        <w:t xml:space="preserve">Goodwill represents the purchase price paid in excess of the fair value of net identifiable tangible and intangible assets acquired in a business combination and is measured in accordance with the provisions of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Goodwill is not amortized; instead goodwill is tested for impairment on an annual basis on December 31, or more frequently if the Company believes indicators of impairment exist.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determined that there are three reporting units for purposes of testing goodwill for impairment: (i) the Americas reporting unit,</w:t>
      </w:r>
    </w:p>
    <w:p>
      <w:pPr>
        <w:spacing w:after="0" w:line="16" w:lineRule="exact"/>
        <w:rPr>
          <w:sz w:val="20"/>
          <w:szCs w:val="20"/>
          <w:color w:val="auto"/>
        </w:rPr>
      </w:pPr>
    </w:p>
    <w:p>
      <w:pPr>
        <w:ind w:right="180" w:firstLine="8"/>
        <w:spacing w:after="0" w:line="242"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 reporting unit, and (iii) the Asia reporting unit. All of the Company’s goodwill is allocated to the Americas reporting unit.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86" w:lineRule="exact"/>
        <w:rPr>
          <w:sz w:val="20"/>
          <w:szCs w:val="20"/>
          <w:color w:val="auto"/>
        </w:rPr>
      </w:pPr>
    </w:p>
    <w:p>
      <w:pPr>
        <w:ind w:right="20" w:firstLine="551"/>
        <w:spacing w:after="0" w:line="243" w:lineRule="auto"/>
        <w:rPr>
          <w:sz w:val="20"/>
          <w:szCs w:val="20"/>
          <w:color w:val="auto"/>
        </w:rPr>
      </w:pPr>
      <w:r>
        <w:rPr>
          <w:rFonts w:ascii="Times New Roman" w:cs="Times New Roman" w:eastAsia="Times New Roman" w:hAnsi="Times New Roman"/>
          <w:sz w:val="18"/>
          <w:szCs w:val="18"/>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the Company’s industry, and require to make certain assumptions and estimates regarding industry economic factors and future profitability of the Company’s business. It is the Company’s policy to conduct impairment testing based on its most current business plans, projected future revenues and cash flows,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which reflect changes anticipated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the Company’s reporting unit. The Company will recognize an impairment for the amount by which the carrying amount exceeds a reporting unit’s fair value. For the years ended December 31, 2024, 2023, and 2022, there were no impairments recorded.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Advances</w:t>
      </w:r>
    </w:p>
    <w:p>
      <w:pPr>
        <w:spacing w:after="0" w:line="106" w:lineRule="exact"/>
        <w:rPr>
          <w:sz w:val="20"/>
          <w:szCs w:val="20"/>
          <w:color w:val="auto"/>
        </w:rPr>
      </w:pPr>
    </w:p>
    <w:p>
      <w:pPr>
        <w:ind w:right="160" w:firstLine="551"/>
        <w:spacing w:after="0" w:line="251" w:lineRule="auto"/>
        <w:rPr>
          <w:sz w:val="20"/>
          <w:szCs w:val="20"/>
          <w:color w:val="auto"/>
        </w:rPr>
      </w:pPr>
      <w:r>
        <w:rPr>
          <w:rFonts w:ascii="Times New Roman" w:cs="Times New Roman" w:eastAsia="Times New Roman" w:hAnsi="Times New Roman"/>
          <w:sz w:val="18"/>
          <w:szCs w:val="18"/>
          <w:color w:val="auto"/>
        </w:rPr>
        <w:t>The Company issues advances to certain manufacturers with interest at rates between 0% and 4% with terms extending to February 2028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advances are assessed for collectability and an allowance for credit losses is recognized when it is probable that the Company will be unable to collect all amounts due according to the contractual terms. The Company recorded an allowance of $1,557 and $345 as of December 31, 2024 and December 31,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40" w:firstLine="551"/>
        <w:spacing w:after="0" w:line="246" w:lineRule="auto"/>
        <w:rPr>
          <w:sz w:val="20"/>
          <w:szCs w:val="20"/>
          <w:color w:val="auto"/>
        </w:rPr>
      </w:pPr>
      <w:r>
        <w:rPr>
          <w:rFonts w:ascii="Times New Roman" w:cs="Times New Roman" w:eastAsia="Times New Roman" w:hAnsi="Times New Roman"/>
          <w:sz w:val="18"/>
          <w:szCs w:val="18"/>
          <w:color w:val="auto"/>
        </w:rPr>
        <w:t>The Company’s reporting currency is the U.S. dollar. The Company maintains the financial statements of each entity within the group in its local currency, which is also the entity’s functional currency. Gains and losses on transactions denominated in currencies other than the functional currency are included in determining net income for the period. All assets and liabilities denominated in a foreign currency are translated into U.S. dollars at the exchange rate on the balance sheet date. Revenue and expenses are translated at the average exchange rate applicable during the period. Translation gains and losses are included as a component of accumulated other comprehensive income in stockholders’ equity.</w:t>
      </w:r>
    </w:p>
    <w:p>
      <w:pPr>
        <w:spacing w:after="0" w:line="181" w:lineRule="exact"/>
        <w:rPr>
          <w:sz w:val="20"/>
          <w:szCs w:val="20"/>
          <w:color w:val="auto"/>
        </w:rPr>
      </w:pPr>
    </w:p>
    <w:p>
      <w:pPr>
        <w:ind w:firstLine="551"/>
        <w:spacing w:after="0" w:line="282" w:lineRule="auto"/>
        <w:rPr>
          <w:sz w:val="20"/>
          <w:szCs w:val="20"/>
          <w:color w:val="auto"/>
        </w:rPr>
      </w:pPr>
      <w:r>
        <w:rPr>
          <w:rFonts w:ascii="Times New Roman" w:cs="Times New Roman" w:eastAsia="Times New Roman" w:hAnsi="Times New Roman"/>
          <w:sz w:val="18"/>
          <w:szCs w:val="18"/>
          <w:color w:val="auto"/>
        </w:rPr>
        <w:t>Transaction gains and losses that arise from exchange rate fluctuations on transactions denominated in a currency other than the functional currency are included as a component of other income (expense) in the accompanying consolidated statements of operations when incurred.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08" w:lineRule="exact"/>
        <w:rPr>
          <w:sz w:val="20"/>
          <w:szCs w:val="20"/>
          <w:color w:val="auto"/>
        </w:rPr>
      </w:pPr>
    </w:p>
    <w:p>
      <w:pPr>
        <w:ind w:right="60" w:firstLine="551"/>
        <w:spacing w:after="0" w:line="250" w:lineRule="auto"/>
        <w:rPr>
          <w:sz w:val="20"/>
          <w:szCs w:val="20"/>
          <w:color w:val="auto"/>
        </w:rPr>
      </w:pPr>
      <w:r>
        <w:rPr>
          <w:rFonts w:ascii="Times New Roman" w:cs="Times New Roman" w:eastAsia="Times New Roman" w:hAnsi="Times New Roman"/>
          <w:sz w:val="18"/>
          <w:szCs w:val="18"/>
          <w:color w:val="auto"/>
        </w:rPr>
        <w:t>The Company periodically enters into forward foreign currency exchange contracts to hedge its foreign currency exposure. The fair value of these contracts is recorded in the consolidated balance sheets with a corresponding adjustment to the consolidated statements of operations for the change in fair value of the derivative instruments, as the contracts have not been designated as a hedge instrument. Refer to Note 12, Derivative Instruments, for more information.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08" w:lineRule="exact"/>
        <w:rPr>
          <w:sz w:val="20"/>
          <w:szCs w:val="20"/>
          <w:color w:val="auto"/>
        </w:rPr>
      </w:pPr>
    </w:p>
    <w:p>
      <w:pPr>
        <w:jc w:val="both"/>
        <w:ind w:right="200" w:firstLine="551"/>
        <w:spacing w:after="0" w:line="258" w:lineRule="auto"/>
        <w:rPr>
          <w:sz w:val="20"/>
          <w:szCs w:val="20"/>
          <w:color w:val="auto"/>
        </w:rPr>
      </w:pPr>
      <w:r>
        <w:rPr>
          <w:rFonts w:ascii="Times New Roman" w:cs="Times New Roman" w:eastAsia="Times New Roman" w:hAnsi="Times New Roman"/>
          <w:sz w:val="18"/>
          <w:szCs w:val="18"/>
          <w:color w:val="auto"/>
        </w:rPr>
        <w:t>The Company operates as two operating and reportable segments: (i) Americas segment, which is comprised of the Company’s operations in the Americas region, primarily in the U.S. and Canada, and (ii) International segment, which is comprised of the Company’s operations primarily in Europe, Middle East, Africa and the Asia Pacific regions.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jc w:val="both"/>
        <w:ind w:right="180" w:firstLine="551"/>
        <w:spacing w:after="0" w:line="250"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financial institutions and any excess cash above a certain minimum balance could be invested in overnight money market treasury deposits in widely diversified accounts.</w:t>
      </w:r>
    </w:p>
    <w:p>
      <w:pPr>
        <w:spacing w:after="0" w:line="83" w:lineRule="exact"/>
        <w:rPr>
          <w:sz w:val="20"/>
          <w:szCs w:val="20"/>
          <w:color w:val="auto"/>
        </w:rPr>
      </w:pPr>
    </w:p>
    <w:p>
      <w:pPr>
        <w:ind w:firstLine="551"/>
        <w:spacing w:after="0" w:line="244" w:lineRule="auto"/>
        <w:rPr>
          <w:sz w:val="20"/>
          <w:szCs w:val="20"/>
          <w:color w:val="auto"/>
        </w:rPr>
      </w:pPr>
      <w:r>
        <w:rPr>
          <w:rFonts w:ascii="Times New Roman" w:cs="Times New Roman" w:eastAsia="Times New Roman" w:hAnsi="Times New Roman"/>
          <w:sz w:val="18"/>
          <w:szCs w:val="18"/>
          <w:color w:val="auto"/>
        </w:rPr>
        <w:t>Substantially, all of the Company’s customers are either wholesalers or retailers of beverages. A material default in payment, a material reduction in purchase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represented 48%, 53%, and 54% of total net sales during the years ended December 31, 2024, 2023, and 2022, respectively. In addition, the two customers also accounted for 30% and 36% of total accounts receivable as of December 31, 2024 and 2023, respectively. The Company has not experienced credit issues with these customers.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w:t>
      </w:r>
      <w:r>
        <w:rPr>
          <w:rFonts w:ascii="Times New Roman" w:cs="Times New Roman" w:eastAsia="Times New Roman" w:hAnsi="Times New Roman"/>
          <w:sz w:val="18"/>
          <w:szCs w:val="18"/>
          <w:i w:val="1"/>
          <w:iCs w:val="1"/>
          <w:color w:val="auto"/>
        </w:rPr>
        <w:t>ASU 2023-07</w:t>
      </w:r>
      <w:r>
        <w:rPr>
          <w:rFonts w:ascii="Times New Roman" w:cs="Times New Roman" w:eastAsia="Times New Roman" w:hAnsi="Times New Roman"/>
          <w:sz w:val="18"/>
          <w:szCs w:val="18"/>
          <w:color w:val="auto"/>
        </w:rPr>
        <w:t xml:space="preserve">,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2023-07</w:t>
      </w:r>
      <w:r>
        <w:rPr>
          <w:rFonts w:ascii="Times New Roman" w:cs="Times New Roman" w:eastAsia="Times New Roman" w:hAnsi="Times New Roman"/>
          <w:sz w:val="18"/>
          <w:szCs w:val="18"/>
          <w:color w:val="auto"/>
        </w:rPr>
        <w:t>, as well as all existing segment disclosures and reconciliation requirements in</w:t>
      </w:r>
      <w:r>
        <w:rPr>
          <w:rFonts w:ascii="Times New Roman" w:cs="Times New Roman" w:eastAsia="Times New Roman" w:hAnsi="Times New Roman"/>
          <w:sz w:val="18"/>
          <w:szCs w:val="18"/>
          <w:i w:val="1"/>
          <w:iCs w:val="1"/>
          <w:color w:val="auto"/>
        </w:rPr>
        <w:t xml:space="preserve"> ASC 280 </w:t>
      </w:r>
      <w:r>
        <w:rPr>
          <w:rFonts w:ascii="Times New Roman" w:cs="Times New Roman" w:eastAsia="Times New Roman" w:hAnsi="Times New Roman"/>
          <w:sz w:val="18"/>
          <w:szCs w:val="18"/>
          <w:color w:val="auto"/>
        </w:rPr>
        <w:t>on an interim and annual basis.</w:t>
      </w:r>
      <w:r>
        <w:rPr>
          <w:rFonts w:ascii="Times New Roman" w:cs="Times New Roman" w:eastAsia="Times New Roman" w:hAnsi="Times New Roman"/>
          <w:sz w:val="18"/>
          <w:szCs w:val="18"/>
          <w:i w:val="1"/>
          <w:iCs w:val="1"/>
          <w:color w:val="auto"/>
        </w:rPr>
        <w:t xml:space="preserve"> ASU 2023-07 </w:t>
      </w:r>
      <w:r>
        <w:rPr>
          <w:rFonts w:ascii="Times New Roman" w:cs="Times New Roman" w:eastAsia="Times New Roman" w:hAnsi="Times New Roman"/>
          <w:sz w:val="18"/>
          <w:szCs w:val="18"/>
          <w:color w:val="auto"/>
        </w:rPr>
        <w:t>is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years beginning after December 15, 2023, and for interim periods within fiscal years beginning after December 15, 2024, with early adoption permitted. The Company adopted the standard for the year ended December 31, 2024. The adoption of the standard did not have a material impact on the Company’s consolidated statements of operations and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leases certain office space and machinery and equipment, which are primarily classified as operating leases. These leases expire at various dates through 2025. The Company's lease agreements do not contain any material restrictive covenants. Operating leases are included within right-of-use assets, net, accrued expenses, and other long-term liabilities within our Consolidated Balance Sheets. Finance leases are included within Property, plant and equipment, net, Accrued expenses, and Other long-term liabilities. Leases with an initial term of 12 months or less are not recognized on the Consolidated Balance Sheets.</w:t>
      </w:r>
    </w:p>
    <w:p>
      <w:pPr>
        <w:spacing w:after="0" w:line="7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2016-02</w:t>
      </w:r>
      <w:r>
        <w:rPr>
          <w:rFonts w:ascii="Times New Roman" w:cs="Times New Roman" w:eastAsia="Times New Roman" w:hAnsi="Times New Roman"/>
          <w:sz w:val="18"/>
          <w:szCs w:val="18"/>
          <w:color w:val="auto"/>
        </w:rPr>
        <w:t xml:space="preserve">, Leases (Topic 842), which was amended by subsequent Accounting Standard Updates ("ASUs"), to enhance the comparability and usefulness of financial reporting around leasing activity. The new standard supersedes the existing authoritative literature for lease accounting under </w:t>
      </w:r>
      <w:r>
        <w:rPr>
          <w:rFonts w:ascii="Times New Roman" w:cs="Times New Roman" w:eastAsia="Times New Roman" w:hAnsi="Times New Roman"/>
          <w:sz w:val="18"/>
          <w:szCs w:val="18"/>
          <w:i w:val="1"/>
          <w:iCs w:val="1"/>
          <w:color w:val="auto"/>
        </w:rPr>
        <w:t>ASC 840</w:t>
      </w:r>
      <w:r>
        <w:rPr>
          <w:rFonts w:ascii="Times New Roman" w:cs="Times New Roman" w:eastAsia="Times New Roman" w:hAnsi="Times New Roman"/>
          <w:sz w:val="18"/>
          <w:szCs w:val="18"/>
          <w:color w:val="auto"/>
        </w:rPr>
        <w:t xml:space="preserve">, with a focus on applying a “right-of-use model.” The guidance for leases under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results in a right-of-use asset (“ROU asset”) and lease liability being reported on the balance sheet for leases with a lease term greater than twelve months. In June 2020, the FASB issued </w:t>
      </w:r>
      <w:r>
        <w:rPr>
          <w:rFonts w:ascii="Times New Roman" w:cs="Times New Roman" w:eastAsia="Times New Roman" w:hAnsi="Times New Roman"/>
          <w:sz w:val="18"/>
          <w:szCs w:val="18"/>
          <w:i w:val="1"/>
          <w:iCs w:val="1"/>
          <w:color w:val="auto"/>
        </w:rPr>
        <w:t>ASU 2020-05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and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Effective Dates for certain entities, which deferred the effective date of </w:t>
      </w:r>
      <w:r>
        <w:rPr>
          <w:rFonts w:ascii="Times New Roman" w:cs="Times New Roman" w:eastAsia="Times New Roman" w:hAnsi="Times New Roman"/>
          <w:sz w:val="18"/>
          <w:szCs w:val="18"/>
          <w:i w:val="1"/>
          <w:iCs w:val="1"/>
          <w:color w:val="auto"/>
        </w:rPr>
        <w:t>ASU 2016-02</w:t>
      </w:r>
      <w:r>
        <w:rPr>
          <w:rFonts w:ascii="Times New Roman" w:cs="Times New Roman" w:eastAsia="Times New Roman" w:hAnsi="Times New Roman"/>
          <w:sz w:val="18"/>
          <w:szCs w:val="18"/>
          <w:color w:val="auto"/>
        </w:rPr>
        <w:t xml:space="preserve"> for certain entities.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was effective for the Company, as an Emerging Growth Company (“EGC”), for annual reporting periods beginning after December 15, 2021 and for interim periods beginning after December 15, 2022.</w:t>
      </w:r>
    </w:p>
    <w:p>
      <w:pPr>
        <w:spacing w:after="0" w:line="7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adopted the standard on January 1, 2022 using the alternative modified retrospective transition approach in accordance with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2018-11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(Topic 842): Targeted Improvements, where the adoption date represents the initial date of application. As part of its adoption,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permits the exclusion of leases considered to be short-term. Under the alternative modified retrospective transition approach, the reported results for 2022 reflect the application of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guidance, whereas comparative periods and the respective disclosures prior to the adoption of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are presented using the legacy guidance of </w:t>
      </w:r>
      <w:r>
        <w:rPr>
          <w:rFonts w:ascii="Times New Roman" w:cs="Times New Roman" w:eastAsia="Times New Roman" w:hAnsi="Times New Roman"/>
          <w:sz w:val="18"/>
          <w:szCs w:val="18"/>
          <w:i w:val="1"/>
          <w:iCs w:val="1"/>
          <w:color w:val="auto"/>
        </w:rPr>
        <w:t>ASC 840</w:t>
      </w:r>
      <w:r>
        <w:rPr>
          <w:rFonts w:ascii="Times New Roman" w:cs="Times New Roman" w:eastAsia="Times New Roman" w:hAnsi="Times New Roman"/>
          <w:sz w:val="18"/>
          <w:szCs w:val="18"/>
          <w:color w:val="auto"/>
        </w:rPr>
        <w:t>. As a result of adopting the new standard, the Company recognized right-of-use assets and lease liabilities of $1,866 and $2,097, respectively, on the Company’s consolidated balance sheet as of January 1, 2022. The difference of $231 between the operating lease right-of-use assets and operating lease liabilities represents reclassification of deferred rent liability from other liabilities to operating lease right-to-use assets at the adoption date. The adoption of the standard did not have a material impact on the Company’s consolidated statements of operations, or consolidated statements of cash flows.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Expected Credit Losses</w:t>
      </w:r>
    </w:p>
    <w:p>
      <w:pPr>
        <w:spacing w:after="0" w:line="11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2016-13</w:t>
      </w:r>
      <w:r>
        <w:rPr>
          <w:rFonts w:ascii="Times New Roman" w:cs="Times New Roman" w:eastAsia="Times New Roman" w:hAnsi="Times New Roman"/>
          <w:sz w:val="18"/>
          <w:szCs w:val="18"/>
          <w:color w:val="auto"/>
        </w:rPr>
        <w:t>, Financial Instruments - Credit Losses (Topic 326): Measurement of Credit Losses on Financial Instruments ("</w:t>
      </w:r>
      <w:r>
        <w:rPr>
          <w:rFonts w:ascii="Times New Roman" w:cs="Times New Roman" w:eastAsia="Times New Roman" w:hAnsi="Times New Roman"/>
          <w:sz w:val="18"/>
          <w:szCs w:val="18"/>
          <w:i w:val="1"/>
          <w:iCs w:val="1"/>
          <w:color w:val="auto"/>
        </w:rPr>
        <w:t>ASU 2016-13</w:t>
      </w:r>
      <w:r>
        <w:rPr>
          <w:rFonts w:ascii="Times New Roman" w:cs="Times New Roman" w:eastAsia="Times New Roman" w:hAnsi="Times New Roman"/>
          <w:sz w:val="18"/>
          <w:szCs w:val="18"/>
          <w:color w:val="auto"/>
        </w:rPr>
        <w:t xml:space="preserve">").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w:t>
      </w:r>
      <w:r>
        <w:rPr>
          <w:rFonts w:ascii="Times New Roman" w:cs="Times New Roman" w:eastAsia="Times New Roman" w:hAnsi="Times New Roman"/>
          <w:sz w:val="18"/>
          <w:szCs w:val="18"/>
          <w:i w:val="1"/>
          <w:iCs w:val="1"/>
          <w:color w:val="auto"/>
        </w:rPr>
        <w:t>ASU 2016-13</w:t>
      </w:r>
      <w:r>
        <w:rPr>
          <w:rFonts w:ascii="Times New Roman" w:cs="Times New Roman" w:eastAsia="Times New Roman" w:hAnsi="Times New Roman"/>
          <w:sz w:val="18"/>
          <w:szCs w:val="18"/>
          <w:color w:val="auto"/>
        </w:rPr>
        <w:t xml:space="preserve"> was effective for the Company, as an EGC, for annual and interim reporting periods beginning after December 15, 2022. The Company adopted the standard on January 1, 2023 using the modified retrospective method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all financial assets in scope. The amounts for reporting periods beginning after January 1, 2023 are presented under ASC 326 methodology, while prior period amounts continue to be reported in accordance with previously applicable U.S. GAAP.</w:t>
      </w:r>
    </w:p>
    <w:p>
      <w:pPr>
        <w:spacing w:after="0" w:line="297"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a part of the adoption, the Company selected to apply roll-rate method to estimate current expected credit losses for its accounts receivable population and weighted average remaining maturity ("WARM") method for supplier advances.</w:t>
      </w:r>
    </w:p>
    <w:p>
      <w:pPr>
        <w:spacing w:after="0" w:line="1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w:t>
      </w:r>
      <w:r>
        <w:rPr>
          <w:rFonts w:ascii="Times New Roman" w:cs="Times New Roman" w:eastAsia="Times New Roman" w:hAnsi="Times New Roman"/>
          <w:sz w:val="18"/>
          <w:szCs w:val="18"/>
          <w:i w:val="1"/>
          <w:iCs w:val="1"/>
          <w:color w:val="auto"/>
        </w:rPr>
        <w:t>ASC 326</w:t>
      </w:r>
      <w:r>
        <w:rPr>
          <w:rFonts w:ascii="Times New Roman" w:cs="Times New Roman" w:eastAsia="Times New Roman" w:hAnsi="Times New Roman"/>
          <w:sz w:val="18"/>
          <w:szCs w:val="18"/>
          <w:color w:val="auto"/>
        </w:rPr>
        <w:t xml:space="preserve"> adoption. The adoption of the standard did not have a material impact on the Company’s consolidated statements of operations, or consolidated statements of cash flows. The following table illustrates the impact of </w:t>
      </w:r>
      <w:r>
        <w:rPr>
          <w:rFonts w:ascii="Times New Roman" w:cs="Times New Roman" w:eastAsia="Times New Roman" w:hAnsi="Times New Roman"/>
          <w:sz w:val="18"/>
          <w:szCs w:val="18"/>
          <w:i w:val="1"/>
          <w:iCs w:val="1"/>
          <w:color w:val="auto"/>
        </w:rPr>
        <w:t>ASC 326</w:t>
      </w:r>
      <w:r>
        <w:rPr>
          <w:rFonts w:ascii="Times New Roman" w:cs="Times New Roman" w:eastAsia="Times New Roman" w:hAnsi="Times New Roman"/>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As reported under</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Pre-ASC 326 adoption</w:t>
            </w:r>
          </w:p>
        </w:tc>
        <w:tc>
          <w:tcPr>
            <w:tcW w:w="120" w:type="dxa"/>
            <w:vAlign w:val="bottom"/>
          </w:tcPr>
          <w:p>
            <w:pPr>
              <w:spacing w:after="0"/>
              <w:rPr>
                <w:sz w:val="11"/>
                <w:szCs w:val="11"/>
                <w:color w:val="auto"/>
              </w:rPr>
            </w:pPr>
          </w:p>
        </w:tc>
        <w:tc>
          <w:tcPr>
            <w:tcW w:w="136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Impact of ASC 326</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ASC 326</w:t>
            </w:r>
          </w:p>
        </w:tc>
        <w:tc>
          <w:tcPr>
            <w:tcW w:w="15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accounts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supplier advances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5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Income Statement—Reporting Comprehensive Income—Expense Disaggregation Disclosures (Subtopic 220-40): Disaggregation of Income Statement Expenses, which requires expenses in the consolidated statement of operations to be disaggregated into functional categories and separate significant individual expense items that are material to the understanding of the financial statements.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is effective for fiscal years beginning after December 15, 2026. The Company is currently evaluating the impact of adopting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w:t>
      </w:r>
      <w:r>
        <w:rPr>
          <w:rFonts w:ascii="Times New Roman" w:cs="Times New Roman" w:eastAsia="Times New Roman" w:hAnsi="Times New Roman"/>
          <w:sz w:val="18"/>
          <w:szCs w:val="18"/>
          <w:color w:val="auto"/>
        </w:rPr>
        <w:t xml:space="preserve">, Income Taxes (Topic 740): Improvements to Income Tax Disclosures, which requires public entities to provide disclosure of specific categories in the rate reconciliation, detail out reconciling items that are equal to or greater than 5% of income from continuing operations before income tax expense multiplied by the applicable statutory income tax rate, and break out income taxes by jurisdiction. ASU 2023-09 is effective for fiscal years beginning after December 15, 2024, with early adoption permitted. The Company will adopt the guidance on a prospective basis when it becomes effective. The Company is currently evaluating the impact of adopting </w:t>
      </w:r>
      <w:r>
        <w:rPr>
          <w:rFonts w:ascii="Times New Roman" w:cs="Times New Roman" w:eastAsia="Times New Roman" w:hAnsi="Times New Roman"/>
          <w:sz w:val="18"/>
          <w:szCs w:val="18"/>
          <w:i w:val="1"/>
          <w:iCs w:val="1"/>
          <w:color w:val="auto"/>
        </w:rPr>
        <w:t>ASU 2023-09</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are accounted for in accordance with ASC 606. The Company disaggregates revenue into the following product categories:</w:t>
      </w:r>
    </w:p>
    <w:p>
      <w:pPr>
        <w:spacing w:after="0" w:line="100" w:lineRule="exact"/>
        <w:rPr>
          <w:sz w:val="20"/>
          <w:szCs w:val="20"/>
          <w:color w:val="auto"/>
        </w:rPr>
      </w:pPr>
    </w:p>
    <w:p>
      <w:pPr>
        <w:ind w:left="820" w:right="20" w:hanging="245"/>
        <w:spacing w:after="0" w:line="247"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Vita Coco Coconut Water </w:t>
      </w:r>
      <w:r>
        <w:rPr>
          <w:rFonts w:ascii="Times New Roman" w:cs="Times New Roman" w:eastAsia="Times New Roman" w:hAnsi="Times New Roman"/>
          <w:sz w:val="18"/>
          <w:szCs w:val="18"/>
          <w:color w:val="auto"/>
        </w:rPr>
        <w:t>– 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82" w:lineRule="exact"/>
        <w:rPr>
          <w:rFonts w:ascii="Times New Roman" w:cs="Times New Roman" w:eastAsia="Times New Roman" w:hAnsi="Times New Roman"/>
          <w:sz w:val="18"/>
          <w:szCs w:val="18"/>
          <w:color w:val="auto"/>
        </w:rPr>
      </w:pPr>
    </w:p>
    <w:p>
      <w:pPr>
        <w:ind w:left="820" w:right="260" w:hanging="245"/>
        <w:spacing w:after="0" w:line="247"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 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820" w:right="200" w:hanging="245"/>
        <w:spacing w:after="0" w:line="25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 </w:t>
      </w:r>
      <w:r>
        <w:rPr>
          <w:rFonts w:ascii="Times New Roman" w:cs="Times New Roman" w:eastAsia="Times New Roman" w:hAnsi="Times New Roman"/>
          <w:sz w:val="18"/>
          <w:szCs w:val="18"/>
          <w:color w:val="auto"/>
        </w:rPr>
        <w:t>This product category consists of all other products, which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 and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Ever &amp; Ever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PWR LIFT </w:t>
      </w:r>
      <w:r>
        <w:rPr>
          <w:rFonts w:ascii="Times New Roman" w:cs="Times New Roman" w:eastAsia="Times New Roman" w:hAnsi="Times New Roman"/>
          <w:sz w:val="18"/>
          <w:szCs w:val="18"/>
          <w:color w:val="auto"/>
        </w:rPr>
        <w:t>product offerings and</w:t>
      </w:r>
      <w:r>
        <w:rPr>
          <w:rFonts w:ascii="Times New Roman" w:cs="Times New Roman" w:eastAsia="Times New Roman" w:hAnsi="Times New Roman"/>
          <w:sz w:val="18"/>
          <w:szCs w:val="18"/>
          <w:i w:val="1"/>
          <w:iCs w:val="1"/>
          <w:color w:val="auto"/>
        </w:rPr>
        <w:t xml:space="preserve"> Vita Coco </w:t>
      </w:r>
      <w:r>
        <w:rPr>
          <w:rFonts w:ascii="Times New Roman" w:cs="Times New Roman" w:eastAsia="Times New Roman" w:hAnsi="Times New Roman"/>
          <w:sz w:val="18"/>
          <w:szCs w:val="18"/>
          <w:color w:val="auto"/>
        </w:rPr>
        <w:t>product extensions beyond coconut water, coconut milk products,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recently launched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and other revenue transactions (e.g., bulk product sales). For these products, control is transferred upon customer receipt, at which point the Company recognizes the transaction price for the product as revenue.</w:t>
      </w:r>
    </w:p>
    <w:p>
      <w:pPr>
        <w:spacing w:after="0" w:line="201" w:lineRule="exact"/>
        <w:rPr>
          <w:sz w:val="20"/>
          <w:szCs w:val="20"/>
          <w:color w:val="auto"/>
        </w:rPr>
      </w:pPr>
    </w:p>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343,288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393,606</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109,224</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442,343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516,013</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37"/>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317,221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359,050</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121,879</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12,683</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430,245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493,612</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08"/>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314,534</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101,029</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w:t>
            </w:r>
          </w:p>
        </w:tc>
      </w:tr>
      <w:tr>
        <w:trPr>
          <w:trHeight w:val="24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427,787</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08" w:lineRule="exact"/>
        <w:rPr>
          <w:sz w:val="20"/>
          <w:szCs w:val="20"/>
          <w:color w:val="auto"/>
        </w:rPr>
      </w:pPr>
    </w:p>
    <w:p>
      <w:pPr>
        <w:ind w:right="480" w:firstLine="551"/>
        <w:spacing w:after="0" w:line="266" w:lineRule="auto"/>
        <w:rPr>
          <w:sz w:val="20"/>
          <w:szCs w:val="20"/>
          <w:color w:val="auto"/>
        </w:rPr>
      </w:pPr>
      <w:r>
        <w:rPr>
          <w:rFonts w:ascii="Times New Roman" w:cs="Times New Roman" w:eastAsia="Times New Roman" w:hAnsi="Times New Roman"/>
          <w:sz w:val="18"/>
          <w:szCs w:val="18"/>
          <w:color w:val="auto"/>
        </w:rPr>
        <w:t>Accounts receivable, net was $63,450 and $50,086 as of December 31, 2024 and 2023, respectively. The Company recorded an allowance for current expected credit losses of $2,255 and $2,486 as of December 31, 2024 and 2023, respectively.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the allowance for current expected credit losses for the periods presented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8"/>
              </w:rPr>
              <w:t>3,552</w:t>
            </w:r>
          </w:p>
        </w:tc>
      </w:tr>
      <w:tr>
        <w:trPr>
          <w:trHeight w:val="250"/>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charged to operating results</w:t>
            </w:r>
          </w:p>
        </w:tc>
        <w:tc>
          <w:tcPr>
            <w:tcW w:w="520" w:type="dxa"/>
            <w:vAlign w:val="bottom"/>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3,135</w:t>
            </w:r>
          </w:p>
        </w:tc>
      </w:tr>
      <w:tr>
        <w:trPr>
          <w:trHeight w:val="263"/>
        </w:trPr>
        <w:tc>
          <w:tcPr>
            <w:tcW w:w="9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 write-offs and other deductions, net of recoveries</w:t>
            </w:r>
          </w:p>
        </w:tc>
        <w:tc>
          <w:tcPr>
            <w:tcW w:w="5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rPr>
              <w:t>(4,201)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2,486</w:t>
            </w:r>
          </w:p>
        </w:tc>
      </w:tr>
      <w:tr>
        <w:trPr>
          <w:trHeight w:val="263"/>
        </w:trPr>
        <w:tc>
          <w:tcPr>
            <w:tcW w:w="9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Current period provision for expected credit losses</w:t>
            </w:r>
          </w:p>
        </w:tc>
        <w:tc>
          <w:tcPr>
            <w:tcW w:w="520" w:type="dxa"/>
            <w:vAlign w:val="bottom"/>
            <w:shd w:val="clear" w:color="auto" w:fill="CFF0FC"/>
          </w:tcPr>
          <w:p>
            <w:pPr>
              <w:spacing w:after="0"/>
              <w:rPr>
                <w:sz w:val="22"/>
                <w:szCs w:val="22"/>
                <w:color w:val="auto"/>
              </w:rPr>
            </w:pPr>
          </w:p>
        </w:tc>
        <w:tc>
          <w:tcPr>
            <w:tcW w:w="96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8"/>
              </w:rPr>
              <w:t>2,966</w:t>
            </w:r>
          </w:p>
        </w:tc>
      </w:tr>
      <w:tr>
        <w:trPr>
          <w:trHeight w:val="250"/>
        </w:trPr>
        <w:tc>
          <w:tcPr>
            <w:tcW w:w="97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Account write-offs and other deductions, net of recoveries</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(3,197)</w:t>
            </w:r>
          </w:p>
        </w:tc>
      </w:tr>
      <w:tr>
        <w:trPr>
          <w:trHeight w:val="275"/>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8"/>
              </w:rPr>
              <w:t>2,255</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50"/>
        </w:trPr>
        <w:tc>
          <w:tcPr>
            <w:tcW w:w="7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80,064</w:t>
            </w:r>
          </w:p>
        </w:tc>
        <w:tc>
          <w:tcPr>
            <w:tcW w:w="1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47,397</w:t>
            </w:r>
          </w:p>
        </w:tc>
      </w:tr>
      <w:tr>
        <w:trPr>
          <w:trHeight w:val="275"/>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50,757</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560" w:right="5900" w:hanging="552"/>
        <w:spacing w:after="0" w:line="450" w:lineRule="auto"/>
        <w:tabs>
          <w:tab w:leader="none" w:pos="189"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PREPAID EXPENSES AND OTHER CURRENT ASSETS </w:t>
      </w:r>
      <w:r>
        <w:rPr>
          <w:rFonts w:ascii="Times New Roman" w:cs="Times New Roman" w:eastAsia="Times New Roman" w:hAnsi="Times New Roman"/>
          <w:sz w:val="17"/>
          <w:szCs w:val="17"/>
          <w:color w:val="auto"/>
        </w:rPr>
        <w:t>Prepaid expenses and other current assets consist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prepaid</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VAT receivables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incentives receivable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GST/HST receivable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68"/>
        </w:trPr>
        <w:tc>
          <w:tcPr>
            <w:tcW w:w="81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57"/>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90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320" w:firstLine="551"/>
        <w:spacing w:after="0" w:line="266" w:lineRule="auto"/>
        <w:rPr>
          <w:sz w:val="20"/>
          <w:szCs w:val="20"/>
          <w:color w:val="auto"/>
        </w:rPr>
      </w:pPr>
      <w:r>
        <w:rPr>
          <w:rFonts w:ascii="Times New Roman" w:cs="Times New Roman" w:eastAsia="Times New Roman" w:hAnsi="Times New Roman"/>
          <w:sz w:val="18"/>
          <w:szCs w:val="18"/>
          <w:color w:val="auto"/>
        </w:rPr>
        <w:t>Depreciation expense related to property and equipment, net for the years ended December 31, 2024, 2023, and 2022 was $745, $660 and $681, respectively.</w:t>
      </w:r>
    </w:p>
    <w:p>
      <w:pPr>
        <w:spacing w:after="0" w:line="280" w:lineRule="exact"/>
        <w:rPr>
          <w:sz w:val="20"/>
          <w:szCs w:val="20"/>
          <w:color w:val="auto"/>
        </w:rPr>
      </w:pPr>
    </w:p>
    <w:p>
      <w:pPr>
        <w:ind w:left="500" w:right="7680" w:hanging="492"/>
        <w:spacing w:after="0" w:line="433" w:lineRule="auto"/>
        <w:tabs>
          <w:tab w:leader="none" w:pos="19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w:t>
      </w:r>
      <w:r>
        <w:rPr>
          <w:rFonts w:ascii="Times New Roman" w:cs="Times New Roman" w:eastAsia="Times New Roman" w:hAnsi="Times New Roman"/>
          <w:sz w:val="17"/>
          <w:szCs w:val="17"/>
          <w:color w:val="auto"/>
        </w:rPr>
        <w:t>Goodwill consists of the following:</w:t>
      </w:r>
    </w:p>
    <w:p>
      <w:pPr>
        <w:spacing w:after="0" w:line="116"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33655</wp:posOffset>
            </wp:positionV>
            <wp:extent cx="1954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9" w:lineRule="exact"/>
        <w:rPr>
          <w:sz w:val="20"/>
          <w:szCs w:val="20"/>
          <w:color w:val="auto"/>
        </w:rPr>
      </w:pPr>
    </w:p>
    <w:p>
      <w:pPr>
        <w:ind w:left="876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160" w:val="left"/>
          <w:tab w:leader="none" w:pos="916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Goodwill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7,791</w:t>
        <w:tab/>
        <w:t>$</w:t>
      </w:r>
      <w:r>
        <w:rPr>
          <w:sz w:val="20"/>
          <w:szCs w:val="20"/>
          <w:color w:val="auto"/>
        </w:rPr>
        <w:tab/>
      </w:r>
      <w:r>
        <w:rPr>
          <w:rFonts w:ascii="Times New Roman" w:cs="Times New Roman" w:eastAsia="Times New Roman" w:hAnsi="Times New Roman"/>
          <w:sz w:val="17"/>
          <w:szCs w:val="17"/>
          <w:color w:val="auto"/>
        </w:rPr>
        <w:t>7,791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60325</wp:posOffset>
            </wp:positionV>
            <wp:extent cx="1954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Goodwill Impairment Testing</w:t>
      </w:r>
    </w:p>
    <w:p>
      <w:pPr>
        <w:spacing w:after="0" w:line="104" w:lineRule="exact"/>
        <w:rPr>
          <w:sz w:val="20"/>
          <w:szCs w:val="20"/>
          <w:color w:val="auto"/>
        </w:rPr>
      </w:pPr>
    </w:p>
    <w:p>
      <w:pPr>
        <w:ind w:right="380" w:firstLine="551"/>
        <w:spacing w:after="0" w:line="250" w:lineRule="auto"/>
        <w:rPr>
          <w:sz w:val="20"/>
          <w:szCs w:val="20"/>
          <w:color w:val="auto"/>
        </w:rPr>
      </w:pPr>
      <w:r>
        <w:rPr>
          <w:rFonts w:ascii="Times New Roman" w:cs="Times New Roman" w:eastAsia="Times New Roman" w:hAnsi="Times New Roman"/>
          <w:sz w:val="18"/>
          <w:szCs w:val="18"/>
          <w:color w:val="auto"/>
        </w:rPr>
        <w:t>The Company’s goodwill is allocated to the Americas reporting unit and is tax deductible. In December 31, 2024, the Company performed the qualitative assessment only, which did not indicate that it is more likely than not that the carrying value of each of the reporting units exceeds their fair value, resulting in no further quantitative testing. Based on the results of the annual impairment test, the Company concluded that no impairment to goodwill existed as of December 31, 2024, 2023, and 2022.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w:t>
      </w:r>
      <w:r>
        <w:rPr>
          <w:rFonts w:ascii="Times New Roman" w:cs="Times New Roman" w:eastAsia="Times New Roman" w:hAnsi="Times New Roman"/>
          <w:sz w:val="18"/>
          <w:szCs w:val="18"/>
          <w:color w:val="auto"/>
        </w:rPr>
        <w:t>t</w:t>
      </w:r>
    </w:p>
    <w:p>
      <w:pPr>
        <w:spacing w:after="0" w:line="117" w:lineRule="exact"/>
        <w:rPr>
          <w:sz w:val="20"/>
          <w:szCs w:val="20"/>
          <w:color w:val="auto"/>
        </w:rPr>
      </w:pPr>
    </w:p>
    <w:p>
      <w:pPr>
        <w:ind w:right="60" w:firstLine="551"/>
        <w:spacing w:after="0" w:line="245" w:lineRule="auto"/>
        <w:rPr>
          <w:sz w:val="20"/>
          <w:szCs w:val="20"/>
          <w:color w:val="auto"/>
        </w:rPr>
      </w:pPr>
      <w:r>
        <w:rPr>
          <w:rFonts w:ascii="Times New Roman" w:cs="Times New Roman" w:eastAsia="Times New Roman" w:hAnsi="Times New Roman"/>
          <w:sz w:val="18"/>
          <w:szCs w:val="18"/>
          <w:color w:val="auto"/>
        </w:rPr>
        <w:t>Long-lived intangible assets are amortized over their useful life. Since the intangibles are subject to amortization, they are reviewed for impairment in accordance with ASC 360, Property, Plant, and Equipment. Under ASC 360, long-lived assets are tested for recoverability at the asset group level whenever events or changes in circumstances indicate that their carrying amounts may not be recoverable. In step 1, the entity determines recoverability of the asset group by comparing its carrying value with the sum of its undiscounted cash flows expected to result from the use and eventual disposition of the asset group. If the sum of the undiscounted cash flows is less than the carrying value of the asset group, then step 2 must be performed, in which the entity compares the fair value of the asset group to its carrying amount. The excess of the carrying value of the asset group over its fair value, if any, would be recognized as an impairment loss.</w:t>
      </w:r>
    </w:p>
    <w:p>
      <w:pPr>
        <w:spacing w:after="0" w:line="73" w:lineRule="exact"/>
        <w:rPr>
          <w:sz w:val="20"/>
          <w:szCs w:val="20"/>
          <w:color w:val="auto"/>
        </w:rPr>
      </w:pPr>
    </w:p>
    <w:p>
      <w:pPr>
        <w:ind w:firstLine="551"/>
        <w:spacing w:after="0" w:line="243" w:lineRule="auto"/>
        <w:rPr>
          <w:sz w:val="20"/>
          <w:szCs w:val="20"/>
          <w:color w:val="auto"/>
        </w:rPr>
      </w:pPr>
      <w:r>
        <w:rPr>
          <w:rFonts w:ascii="Times New Roman" w:cs="Times New Roman" w:eastAsia="Times New Roman" w:hAnsi="Times New Roman"/>
          <w:sz w:val="18"/>
          <w:szCs w:val="18"/>
          <w:color w:val="auto"/>
        </w:rPr>
        <w:t xml:space="preserve">In 2022, the Company identified facts and circumstances indicating the carrying value of the intangible assets associated with the acquisition of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including the trade names and distributor relationships, may not be recoverable, resulting in the determination that a triggering event had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performed step 1 and determined that the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intangible assets were not recoverable based on a test of recoverability using expected undiscounted future cash flows for the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brand in the Americas. For both trade names and distributor relationships, the Company applied step 2, by determining the fair value of these intangible assets, which concluded that the fair value was significantly below the carrying amount. Accordingly, the total net book value of these intangible assets of $6,714 was impaired in the year ended December 31, 2022 and was recorded in selling, general and administrative expenses on the Company’s consolidated statements of operations. Intangible assets, net was $0 as of December 31, 2024 and December 31, 2023.</w:t>
      </w:r>
    </w:p>
    <w:p>
      <w:pPr>
        <w:spacing w:after="0" w:line="92" w:lineRule="exact"/>
        <w:rPr>
          <w:sz w:val="20"/>
          <w:szCs w:val="20"/>
          <w:color w:val="auto"/>
        </w:rPr>
      </w:pPr>
    </w:p>
    <w:p>
      <w:pPr>
        <w:ind w:right="300" w:firstLine="551"/>
        <w:spacing w:after="0" w:line="266" w:lineRule="auto"/>
        <w:rPr>
          <w:sz w:val="20"/>
          <w:szCs w:val="20"/>
          <w:color w:val="auto"/>
        </w:rPr>
      </w:pPr>
      <w:r>
        <w:rPr>
          <w:rFonts w:ascii="Times New Roman" w:cs="Times New Roman" w:eastAsia="Times New Roman" w:hAnsi="Times New Roman"/>
          <w:sz w:val="18"/>
          <w:szCs w:val="18"/>
          <w:color w:val="auto"/>
        </w:rPr>
        <w:t>Amortization expense for the years ended December 31, 2024. December 31, 2023 and December 31, 2022 was $0, $0 and $1,220, respectively, and was recorded in selling, general and administrative expenses on the Company's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promotions and marketing</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22,380</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 related expenses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VAT payable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trade payable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5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w:t>
            </w:r>
          </w:p>
        </w:tc>
      </w:tr>
      <w:tr>
        <w:trPr>
          <w:trHeight w:val="250"/>
        </w:trPr>
        <w:tc>
          <w:tcPr>
            <w:tcW w:w="8160" w:type="dxa"/>
            <w:vAlign w:val="bottom"/>
          </w:tcPr>
          <w:p>
            <w:pPr>
              <w:spacing w:after="0"/>
              <w:rPr>
                <w:sz w:val="21"/>
                <w:szCs w:val="21"/>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59,533</w:t>
            </w:r>
          </w:p>
        </w:tc>
      </w:tr>
      <w:tr>
        <w:trPr>
          <w:trHeight w:val="27"/>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credit facility and notes payable as of December 31, 2024 and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6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0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50"/>
        </w:trPr>
        <w:tc>
          <w:tcPr>
            <w:tcW w:w="81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Vehicle loans</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5"/>
        </w:trPr>
        <w:tc>
          <w:tcPr>
            <w:tcW w:w="81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r>
        <w:trPr>
          <w:trHeight w:val="224"/>
        </w:trPr>
        <w:tc>
          <w:tcPr>
            <w:tcW w:w="8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6"/>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w:t>
            </w:r>
          </w:p>
        </w:tc>
        <w:tc>
          <w:tcPr>
            <w:tcW w:w="10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Credit Facility</w:t>
      </w:r>
    </w:p>
    <w:p>
      <w:pPr>
        <w:spacing w:after="0" w:line="108" w:lineRule="exact"/>
        <w:rPr>
          <w:sz w:val="20"/>
          <w:szCs w:val="20"/>
          <w:color w:val="auto"/>
        </w:rPr>
      </w:pPr>
    </w:p>
    <w:p>
      <w:pPr>
        <w:ind w:right="100" w:firstLine="551"/>
        <w:spacing w:after="0" w:line="258" w:lineRule="auto"/>
        <w:rPr>
          <w:sz w:val="20"/>
          <w:szCs w:val="20"/>
          <w:color w:val="auto"/>
        </w:rPr>
      </w:pPr>
      <w:r>
        <w:rPr>
          <w:rFonts w:ascii="Times New Roman" w:cs="Times New Roman" w:eastAsia="Times New Roman" w:hAnsi="Times New Roman"/>
          <w:sz w:val="18"/>
          <w:szCs w:val="18"/>
          <w:color w:val="auto"/>
        </w:rPr>
        <w:t>In May 2020, the Company entered into the five-year credit facility (the "2020 Credit Facility") with Wells Fargo Bank, National Association consisting of a revolving line of credit, which currently provides for committed borrowings of $60 million. As of December 31, 2024, the maturity date on the 2020 Credit Facility was May 12, 2026.</w:t>
      </w:r>
    </w:p>
    <w:p>
      <w:pPr>
        <w:spacing w:after="0" w:line="61" w:lineRule="exact"/>
        <w:rPr>
          <w:sz w:val="20"/>
          <w:szCs w:val="20"/>
          <w:color w:val="auto"/>
        </w:rPr>
      </w:pPr>
    </w:p>
    <w:p>
      <w:pPr>
        <w:ind w:right="40" w:firstLine="551"/>
        <w:spacing w:after="0" w:line="247"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72" w:lineRule="exact"/>
        <w:rPr>
          <w:sz w:val="20"/>
          <w:szCs w:val="20"/>
          <w:color w:val="auto"/>
        </w:rPr>
      </w:pPr>
    </w:p>
    <w:p>
      <w:pPr>
        <w:ind w:right="40" w:firstLine="551"/>
        <w:spacing w:after="0" w:line="261" w:lineRule="auto"/>
        <w:rPr>
          <w:sz w:val="20"/>
          <w:szCs w:val="20"/>
          <w:color w:val="auto"/>
        </w:rPr>
      </w:pPr>
      <w:r>
        <w:rPr>
          <w:rFonts w:ascii="Times New Roman" w:cs="Times New Roman" w:eastAsia="Times New Roman" w:hAnsi="Times New Roman"/>
          <w:sz w:val="18"/>
          <w:szCs w:val="18"/>
          <w:color w:val="auto"/>
        </w:rPr>
        <w:t>The borrowings made before December 2022 bore interest at rates based on either: 1) London Interbank Offered Rate ("LIBOR"); or 2) a specified base rate (determined by reference to the greatest of the prime rate published by Wells Fargo, the federal funds effective rate plus 1.5% and one-month LIBOR plus 1.5%), as selected periodically by the Company. The LIBOR-based loans bore interest at LIBOR plus the Spread. The unused commitment fee prior to the December 2022 amendment was the same.</w:t>
      </w:r>
    </w:p>
    <w:p>
      <w:pPr>
        <w:spacing w:after="0" w:line="180" w:lineRule="exact"/>
        <w:rPr>
          <w:sz w:val="20"/>
          <w:szCs w:val="20"/>
          <w:color w:val="auto"/>
        </w:rPr>
      </w:pPr>
    </w:p>
    <w:p>
      <w:pPr>
        <w:jc w:val="both"/>
        <w:ind w:right="54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December 31, 2023, the Company had no outstanding balance and $60,000 undrawn and available under its amended 2020 Credit Facility. Unused commitment fee for the 2020 Credit Facility amounted to $61 for the year ended December 31, 2024. Interest expense and unused commitment fee for the 2020 Credit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Facility amounted to $14 and $46, respectively, for the year ended December 31, 2023. Interest expense and unused commitment fee for the 2020 Credit Facility amounted to $255 and $51, respectively, for the year ended December 31, 2022. The effective interest rate was 0.10%, 0.10%, and 2.53%, respectively, as of December 31, 2024, 2023, and 2022.</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Credit Facility is collateralized by substantially all of the Company’s assets.</w:t>
      </w:r>
    </w:p>
    <w:p>
      <w:pPr>
        <w:spacing w:after="0" w:line="212" w:lineRule="exact"/>
        <w:rPr>
          <w:sz w:val="20"/>
          <w:szCs w:val="20"/>
          <w:color w:val="auto"/>
        </w:rPr>
      </w:pPr>
    </w:p>
    <w:p>
      <w:pPr>
        <w:ind w:right="160" w:firstLine="551"/>
        <w:spacing w:after="0" w:line="247" w:lineRule="auto"/>
        <w:rPr>
          <w:sz w:val="20"/>
          <w:szCs w:val="20"/>
          <w:color w:val="auto"/>
        </w:rPr>
      </w:pPr>
      <w:r>
        <w:rPr>
          <w:rFonts w:ascii="Times New Roman" w:cs="Times New Roman" w:eastAsia="Times New Roman" w:hAnsi="Times New Roman"/>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December 31, 2024, the Company was compliant with all financial covenants.</w:t>
      </w:r>
    </w:p>
    <w:p>
      <w:pPr>
        <w:spacing w:after="0" w:line="72" w:lineRule="exact"/>
        <w:rPr>
          <w:sz w:val="20"/>
          <w:szCs w:val="20"/>
          <w:color w:val="auto"/>
        </w:rPr>
      </w:pPr>
    </w:p>
    <w:p>
      <w:pPr>
        <w:ind w:right="320" w:firstLine="551"/>
        <w:spacing w:after="0" w:line="282" w:lineRule="auto"/>
        <w:rPr>
          <w:sz w:val="20"/>
          <w:szCs w:val="20"/>
          <w:color w:val="auto"/>
        </w:rPr>
      </w:pPr>
      <w:r>
        <w:rPr>
          <w:rFonts w:ascii="Times New Roman" w:cs="Times New Roman" w:eastAsia="Times New Roman" w:hAnsi="Times New Roman"/>
          <w:sz w:val="18"/>
          <w:szCs w:val="18"/>
          <w:color w:val="auto"/>
        </w:rPr>
        <w:t>On February 14, 2025, the 2020 Credit Facility was amended, extending the maturity five years to February 13, 2030, and amending the unused commitment fees to range from 0.125% to 0.225%.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240" w:firstLine="551"/>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vehicle loans. Interest rate on these vehicle loans range from 4.56% to 5.68%. The Company is required to make principal payments of $2 on a monthly basis.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future principal payments on the notes payable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9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2"/>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04" w:lineRule="exact"/>
        <w:rPr>
          <w:sz w:val="20"/>
          <w:szCs w:val="20"/>
          <w:color w:val="auto"/>
        </w:rPr>
      </w:pPr>
    </w:p>
    <w:p>
      <w:pPr>
        <w:ind w:right="120" w:firstLine="55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in the ordinary course of business. The Company intends to vigorously defend itself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matters and management, based upon the advice of legal counsel, is of the opinion that the resolution of these matters will not have a material effect on the consolidated financial statements. The Company records a liability when it is probable that a loss has been incurred and the amount is reasonably estimable. The Company also discloses when it is reasonably possible that a material loss may be incurred. As of December 31, 2024 and 2023, the Company did not record liabilities relating to such legal matters.</w:t>
      </w:r>
    </w:p>
    <w:p>
      <w:pPr>
        <w:spacing w:after="0" w:line="190" w:lineRule="exact"/>
        <w:rPr>
          <w:sz w:val="20"/>
          <w:szCs w:val="20"/>
          <w:color w:val="auto"/>
        </w:rPr>
      </w:pPr>
    </w:p>
    <w:p>
      <w:pPr>
        <w:ind w:right="700" w:firstLine="55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Southeast Asian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countries. The Company may be subject to certain business risks due to potential instability in these regions.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attributable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reportable segment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94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4"/>
        </w:trPr>
        <w:tc>
          <w:tcPr>
            <w:tcW w:w="3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4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62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52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316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18"/>
          <w:szCs w:val="18"/>
          <w:color w:val="auto"/>
        </w:rPr>
        <w:t>One of the customers acquired less than 5% ownership in the Company upon consummation of the IPO. The same customer also vested in 100,000 restricted stock awards during the period ended March 31, 2023 as discussed in Note 10, Stockholders' Equity. The customer continues to hold less than 5% ownership in the Company as of December 31, 2024.</w:t>
      </w:r>
    </w:p>
    <w:p>
      <w:pPr>
        <w:spacing w:after="0" w:line="156" w:lineRule="exact"/>
        <w:rPr>
          <w:sz w:val="20"/>
          <w:szCs w:val="20"/>
          <w:color w:val="auto"/>
        </w:rPr>
      </w:pPr>
    </w:p>
    <w:p>
      <w:pPr>
        <w:ind w:right="240" w:firstLine="486"/>
        <w:spacing w:after="0" w:line="236" w:lineRule="auto"/>
        <w:rPr>
          <w:sz w:val="20"/>
          <w:szCs w:val="20"/>
          <w:color w:val="auto"/>
        </w:rPr>
      </w:pPr>
      <w:r>
        <w:rPr>
          <w:rFonts w:ascii="Times New Roman" w:cs="Times New Roman" w:eastAsia="Times New Roman" w:hAnsi="Times New Roman"/>
          <w:sz w:val="18"/>
          <w:szCs w:val="18"/>
          <w:color w:val="auto"/>
        </w:rPr>
        <w:t>In 2023, the Company agreed to start to discontinue the private label coconut water and coconut oil supply relationship with one of the significant customers as the terms required to retain the business were contrary to the long term margin targets. However, at the request of this customer, the supply relationship continued for a significant portion of their private label coconut water needs in 2024. The Company expects the number of regions that the Company services for private label to decrease in 2025.</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4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33655</wp:posOffset>
            </wp:positionV>
            <wp:extent cx="2100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4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Company accounts for derivative instruments in accordance with the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These principles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that all derivative instruments be recognized at fair value on each balance sheet date unless they qualify for a scope exclusion as a normal purchase</w:t>
      </w:r>
    </w:p>
    <w:p>
      <w:pPr>
        <w:spacing w:after="0" w:line="234" w:lineRule="auto"/>
        <w:rPr>
          <w:sz w:val="20"/>
          <w:szCs w:val="20"/>
          <w:color w:val="auto"/>
        </w:rPr>
      </w:pPr>
      <w:r>
        <w:rPr>
          <w:rFonts w:ascii="Times New Roman" w:cs="Times New Roman" w:eastAsia="Times New Roman" w:hAnsi="Times New Roman"/>
          <w:sz w:val="18"/>
          <w:szCs w:val="18"/>
          <w:color w:val="auto"/>
        </w:rPr>
        <w:t>or sale transaction, which is accounted for under the accrual method of accounting. In addition, these principles permit derivative instruments that qualify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hedge accounting to reflect the changes in the fair value of the derivative instruments through earnings or stockholders’ equity as other comprehensive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on a net basis until the hedged item is settled and recognized in earnings, depending on whether the derivative is being used to hedge changes in</w:t>
      </w:r>
    </w:p>
    <w:p>
      <w:pPr>
        <w:spacing w:after="0" w:line="234" w:lineRule="auto"/>
        <w:rPr>
          <w:sz w:val="20"/>
          <w:szCs w:val="20"/>
          <w:color w:val="auto"/>
        </w:rPr>
      </w:pPr>
      <w:r>
        <w:rPr>
          <w:rFonts w:ascii="Times New Roman" w:cs="Times New Roman" w:eastAsia="Times New Roman" w:hAnsi="Times New Roman"/>
          <w:sz w:val="18"/>
          <w:szCs w:val="18"/>
          <w:color w:val="auto"/>
        </w:rPr>
        <w:t>fair value or cash flows. The ineffective portion of a derivative instrument’s change in fair value is immediately recognized in earnings.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2023, the Company did not have any derivative instruments that it had designated as fair value or cash flow hedges,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therefore all changes in fair value were immediately recognized in earnings.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Inventory purchases from Brazilian, Thai and Malaysian manufacturers—</w:t>
      </w:r>
      <w:r>
        <w:rPr>
          <w:rFonts w:ascii="Times New Roman" w:cs="Times New Roman" w:eastAsia="Times New Roman" w:hAnsi="Times New Roman"/>
          <w:sz w:val="18"/>
          <w:szCs w:val="18"/>
          <w:color w:val="auto"/>
        </w:rPr>
        <w:t>In order to mitigate the currency risk on inventory purchases from its</w:t>
      </w:r>
    </w:p>
    <w:p>
      <w:pPr>
        <w:spacing w:after="0" w:line="29" w:lineRule="exact"/>
        <w:rPr>
          <w:sz w:val="20"/>
          <w:szCs w:val="20"/>
          <w:color w:val="auto"/>
        </w:rPr>
      </w:pPr>
    </w:p>
    <w:p>
      <w:pPr>
        <w:ind w:right="700"/>
        <w:spacing w:after="0" w:line="245" w:lineRule="auto"/>
        <w:rPr>
          <w:sz w:val="20"/>
          <w:szCs w:val="20"/>
          <w:color w:val="auto"/>
        </w:rPr>
      </w:pPr>
      <w:r>
        <w:rPr>
          <w:rFonts w:ascii="Times New Roman" w:cs="Times New Roman" w:eastAsia="Times New Roman" w:hAnsi="Times New Roman"/>
          <w:sz w:val="18"/>
          <w:szCs w:val="18"/>
          <w:color w:val="auto"/>
        </w:rPr>
        <w:t>Brazilian, Malaysian and Thai manufacturers, which are settled in Brazilian real ("BRL"), Malaysian ringgit ("MYR") and Thai baht ("THB"), the Company's subsidiary, All Market Singapore Pte. Ltd. ("AMS"), enters a series of forward currency swaps to buy BRL, MYR and THB.</w:t>
      </w:r>
    </w:p>
    <w:p>
      <w:pPr>
        <w:spacing w:after="0" w:line="178" w:lineRule="exact"/>
        <w:rPr>
          <w:sz w:val="20"/>
          <w:szCs w:val="20"/>
          <w:color w:val="auto"/>
        </w:rPr>
      </w:pPr>
    </w:p>
    <w:p>
      <w:pPr>
        <w:ind w:right="14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 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AMS enters into foreign currency swaps to sell British pound ("GBP").</w:t>
      </w:r>
    </w:p>
    <w:p>
      <w:pPr>
        <w:spacing w:after="0" w:line="145" w:lineRule="exact"/>
        <w:rPr>
          <w:sz w:val="20"/>
          <w:szCs w:val="20"/>
          <w:color w:val="auto"/>
        </w:rPr>
      </w:pPr>
    </w:p>
    <w:p>
      <w:pPr>
        <w:ind w:right="18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consolidated balance sheets consist of the following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hedging instruments under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8"/>
                <w:szCs w:val="18"/>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rPr>
                <w:sz w:val="1"/>
                <w:szCs w:val="1"/>
                <w:color w:val="auto"/>
              </w:rPr>
            </w:pPr>
          </w:p>
        </w:tc>
      </w:tr>
      <w:tr>
        <w:trPr>
          <w:trHeight w:val="196"/>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color w:val="auto"/>
              </w:rPr>
              <w:t>ASC 815-20</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jc w:val="center"/>
              <w:ind w:right="1275"/>
              <w:spacing w:after="0"/>
              <w:rPr>
                <w:sz w:val="20"/>
                <w:szCs w:val="20"/>
                <w:color w:val="auto"/>
              </w:rPr>
            </w:pPr>
            <w:r>
              <w:rPr>
                <w:rFonts w:ascii="Times New Roman" w:cs="Times New Roman" w:eastAsia="Times New Roman" w:hAnsi="Times New Roman"/>
                <w:sz w:val="18"/>
                <w:szCs w:val="18"/>
                <w:color w:val="auto"/>
                <w:w w:val="99"/>
              </w:rPr>
              <w:t>Receive USD/pay EUR</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2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Receive USD/pay GBP</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jc w:val="center"/>
              <w:ind w:right="1255"/>
              <w:spacing w:after="0"/>
              <w:rPr>
                <w:sz w:val="20"/>
                <w:szCs w:val="20"/>
                <w:color w:val="auto"/>
              </w:rPr>
            </w:pPr>
            <w:r>
              <w:rPr>
                <w:rFonts w:ascii="Times New Roman" w:cs="Times New Roman" w:eastAsia="Times New Roman" w:hAnsi="Times New Roman"/>
                <w:sz w:val="18"/>
                <w:szCs w:val="18"/>
                <w:color w:val="auto"/>
                <w:w w:val="99"/>
              </w:rPr>
              <w:t>Receive USD/pay CAD</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9"/>
                <w:szCs w:val="19"/>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2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Receive THB/sell USD</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jc w:val="center"/>
              <w:ind w:right="1295"/>
              <w:spacing w:after="0"/>
              <w:rPr>
                <w:sz w:val="20"/>
                <w:szCs w:val="20"/>
                <w:color w:val="auto"/>
              </w:rPr>
            </w:pPr>
            <w:r>
              <w:rPr>
                <w:rFonts w:ascii="Times New Roman" w:cs="Times New Roman" w:eastAsia="Times New Roman" w:hAnsi="Times New Roman"/>
                <w:sz w:val="18"/>
                <w:szCs w:val="18"/>
                <w:color w:val="auto"/>
                <w:w w:val="99"/>
              </w:rPr>
              <w:t>Receive BRL/sell USD</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463"/>
        </w:trPr>
        <w:tc>
          <w:tcPr>
            <w:tcW w:w="4420" w:type="dxa"/>
            <w:vAlign w:val="bottom"/>
          </w:tcPr>
          <w:p>
            <w:pPr>
              <w:spacing w:after="0"/>
              <w:rPr>
                <w:sz w:val="24"/>
                <w:szCs w:val="24"/>
                <w:color w:val="auto"/>
              </w:rPr>
            </w:pPr>
          </w:p>
        </w:tc>
        <w:tc>
          <w:tcPr>
            <w:tcW w:w="1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color w:val="auto"/>
              </w:rPr>
              <w:t>hedging instruments under</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420" w:type="dxa"/>
            <w:vAlign w:val="bottom"/>
            <w:vMerge w:val="restart"/>
          </w:tcPr>
          <w:p>
            <w:pPr>
              <w:jc w:val="center"/>
              <w:ind w:left="1275"/>
              <w:spacing w:after="0"/>
              <w:rPr>
                <w:sz w:val="20"/>
                <w:szCs w:val="20"/>
                <w:color w:val="auto"/>
              </w:rPr>
            </w:pPr>
            <w:r>
              <w:rPr>
                <w:rFonts w:ascii="Times New Roman" w:cs="Times New Roman" w:eastAsia="Times New Roman" w:hAnsi="Times New Roman"/>
                <w:sz w:val="14"/>
                <w:szCs w:val="14"/>
                <w:color w:val="auto"/>
              </w:rPr>
              <w:t>ASC 815-20</w:t>
            </w: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line="20" w:lineRule="exact"/>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2180" w:type="dxa"/>
            <w:vAlign w:val="bottom"/>
            <w:tcBorders>
              <w:top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jc w:val="center"/>
              <w:ind w:right="1255"/>
              <w:spacing w:after="0"/>
              <w:rPr>
                <w:sz w:val="20"/>
                <w:szCs w:val="20"/>
                <w:color w:val="auto"/>
              </w:rPr>
            </w:pPr>
            <w:r>
              <w:rPr>
                <w:rFonts w:ascii="Times New Roman" w:cs="Times New Roman" w:eastAsia="Times New Roman" w:hAnsi="Times New Roman"/>
                <w:sz w:val="18"/>
                <w:szCs w:val="18"/>
                <w:color w:val="auto"/>
                <w:w w:val="99"/>
              </w:rPr>
              <w:t>Receive BRL/sell USD</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jc w:val="center"/>
              <w:ind w:right="1255"/>
              <w:spacing w:after="0"/>
              <w:rPr>
                <w:sz w:val="20"/>
                <w:szCs w:val="20"/>
                <w:color w:val="auto"/>
              </w:rPr>
            </w:pPr>
            <w:r>
              <w:rPr>
                <w:rFonts w:ascii="Times New Roman" w:cs="Times New Roman" w:eastAsia="Times New Roman" w:hAnsi="Times New Roman"/>
                <w:sz w:val="18"/>
                <w:szCs w:val="18"/>
                <w:color w:val="auto"/>
                <w:w w:val="99"/>
              </w:rPr>
              <w:t>Receive THB/sell USD</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USD/pay EUR</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50"/>
        </w:trPr>
        <w:tc>
          <w:tcPr>
            <w:tcW w:w="4420" w:type="dxa"/>
            <w:vAlign w:val="bottom"/>
          </w:tcPr>
          <w:p>
            <w:pPr>
              <w:jc w:val="center"/>
              <w:ind w:right="1255"/>
              <w:spacing w:after="0"/>
              <w:rPr>
                <w:sz w:val="20"/>
                <w:szCs w:val="20"/>
                <w:color w:val="auto"/>
              </w:rPr>
            </w:pPr>
            <w:r>
              <w:rPr>
                <w:rFonts w:ascii="Times New Roman" w:cs="Times New Roman" w:eastAsia="Times New Roman" w:hAnsi="Times New Roman"/>
                <w:sz w:val="18"/>
                <w:szCs w:val="18"/>
                <w:color w:val="auto"/>
                <w:w w:val="99"/>
              </w:rPr>
              <w:t>Receive USD/pay GBP</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63"/>
        </w:trPr>
        <w:tc>
          <w:tcPr>
            <w:tcW w:w="4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Receive USD/pay CAD</w:t>
            </w: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2"/>
                <w:szCs w:val="22"/>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560" w:firstLine="551"/>
        <w:spacing w:after="0" w:line="282" w:lineRule="auto"/>
        <w:rPr>
          <w:sz w:val="20"/>
          <w:szCs w:val="20"/>
          <w:color w:val="auto"/>
        </w:rPr>
      </w:pPr>
      <w:r>
        <w:rPr>
          <w:rFonts w:ascii="Times New Roman" w:cs="Times New Roman" w:eastAsia="Times New Roman" w:hAnsi="Times New Roman"/>
          <w:sz w:val="18"/>
          <w:szCs w:val="18"/>
          <w:color w:val="auto"/>
        </w:rPr>
        <w:t>The amount of realized and unrealized gains and losses and consolidated statements of operations and comprehensive income location of the derivative instruments as of December 31, 2024 and 2023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 instruments</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 (loss)</w:t>
            </w: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7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The Company applies recurring fair value measurements to its derivative instruments in accordance with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08" w:lineRule="exact"/>
        <w:rPr>
          <w:sz w:val="20"/>
          <w:szCs w:val="20"/>
          <w:color w:val="auto"/>
        </w:rPr>
      </w:pPr>
    </w:p>
    <w:p>
      <w:pPr>
        <w:ind w:right="80" w:firstLine="551"/>
        <w:spacing w:after="0" w:line="250"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observability of the inputs used in valuation techniques, the Company’s assets and liabilities are classified as follows:</w:t>
      </w:r>
    </w:p>
    <w:p>
      <w:pPr>
        <w:spacing w:after="0" w:line="210" w:lineRule="exact"/>
        <w:rPr>
          <w:sz w:val="20"/>
          <w:szCs w:val="20"/>
          <w:color w:val="auto"/>
        </w:rPr>
      </w:pPr>
    </w:p>
    <w:p>
      <w:pPr>
        <w:ind w:left="1300" w:hanging="417"/>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540" w:firstLine="223"/>
        <w:spacing w:after="0" w:line="268" w:lineRule="auto"/>
        <w:tabs>
          <w:tab w:leader="none" w:pos="13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w:t>
      </w:r>
    </w:p>
    <w:p>
      <w:pPr>
        <w:spacing w:after="0" w:line="158" w:lineRule="exact"/>
        <w:rPr>
          <w:rFonts w:ascii="Times New Roman" w:cs="Times New Roman" w:eastAsia="Times New Roman" w:hAnsi="Times New Roman"/>
          <w:sz w:val="18"/>
          <w:szCs w:val="18"/>
          <w:color w:val="auto"/>
        </w:rPr>
      </w:pPr>
    </w:p>
    <w:p>
      <w:pPr>
        <w:ind w:left="660" w:right="300" w:firstLine="223"/>
        <w:spacing w:after="0" w:line="284" w:lineRule="auto"/>
        <w:tabs>
          <w:tab w:leader="none" w:pos="13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This includes internally developed models and methodologies utilizing significant unobservable inputs.</w:t>
      </w:r>
    </w:p>
    <w:p>
      <w:pPr>
        <w:spacing w:after="0" w:line="145" w:lineRule="exact"/>
        <w:rPr>
          <w:sz w:val="20"/>
          <w:szCs w:val="20"/>
          <w:color w:val="auto"/>
        </w:rPr>
      </w:pPr>
    </w:p>
    <w:p>
      <w:pPr>
        <w:ind w:right="94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Forward currency swap contracts—</w:t>
      </w:r>
      <w:r>
        <w:rPr>
          <w:rFonts w:ascii="Times New Roman" w:cs="Times New Roman" w:eastAsia="Times New Roman" w:hAnsi="Times New Roman"/>
          <w:sz w:val="18"/>
          <w:szCs w:val="18"/>
          <w:color w:val="auto"/>
        </w:rPr>
        <w:t>See Note 12, Derivative Instruments, for a description of these contracts. The Company’s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174" w:lineRule="exact"/>
        <w:rPr>
          <w:sz w:val="20"/>
          <w:szCs w:val="20"/>
          <w:color w:val="auto"/>
        </w:rPr>
      </w:pPr>
    </w:p>
    <w:p>
      <w:pPr>
        <w:ind w:right="260" w:firstLine="551"/>
        <w:spacing w:after="0" w:line="266"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December 31, 2024 and 2023,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spacing w:after="0"/>
              <w:rPr>
                <w:sz w:val="13"/>
                <w:szCs w:val="13"/>
                <w:color w:val="auto"/>
              </w:rPr>
            </w:pPr>
          </w:p>
        </w:tc>
        <w:tc>
          <w:tcPr>
            <w:tcW w:w="15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60" w:type="dxa"/>
            <w:vAlign w:val="bottom"/>
          </w:tcPr>
          <w:p>
            <w:pPr>
              <w:spacing w:after="0"/>
              <w:rPr>
                <w:sz w:val="11"/>
                <w:szCs w:val="11"/>
                <w:color w:val="auto"/>
              </w:rPr>
            </w:pPr>
          </w:p>
        </w:tc>
        <w:tc>
          <w:tcPr>
            <w:tcW w:w="19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160" w:type="dxa"/>
            <w:vAlign w:val="bottom"/>
          </w:tcPr>
          <w:p>
            <w:pPr>
              <w:spacing w:after="0"/>
              <w:rPr>
                <w:sz w:val="16"/>
                <w:szCs w:val="16"/>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60" w:type="dxa"/>
            <w:vAlign w:val="bottom"/>
            <w:tcBorders>
              <w:bottom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gridSpan w:val="2"/>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940" w:type="dxa"/>
            <w:vAlign w:val="bottom"/>
            <w:tcBorders>
              <w:top w:val="single" w:sz="8" w:color="CFF0FC"/>
              <w:bottom w:val="single" w:sz="8" w:color="auto"/>
            </w:tcBorders>
            <w:gridSpan w:val="2"/>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vMerge w:val="continue"/>
          </w:tcPr>
          <w:p>
            <w:pPr>
              <w:spacing w:after="0"/>
              <w:rPr>
                <w:sz w:val="20"/>
                <w:szCs w:val="20"/>
                <w:color w:val="auto"/>
              </w:rPr>
            </w:pP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17" w:lineRule="exact"/>
        <w:rPr>
          <w:sz w:val="20"/>
          <w:szCs w:val="20"/>
          <w:color w:val="auto"/>
        </w:rPr>
      </w:pPr>
    </w:p>
    <w:p>
      <w:pPr>
        <w:jc w:val="both"/>
        <w:ind w:right="20" w:firstLine="55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Each share of common stock entitles its holder to one vote on matters required to be voted on by the stockholders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to receive dividends, when and if declared by the Company’s board of directors (the "Board").</w:t>
      </w:r>
    </w:p>
    <w:p>
      <w:pPr>
        <w:spacing w:after="0" w:line="293" w:lineRule="exact"/>
        <w:rPr>
          <w:sz w:val="20"/>
          <w:szCs w:val="20"/>
          <w:color w:val="auto"/>
        </w:rPr>
      </w:pPr>
    </w:p>
    <w:p>
      <w:pPr>
        <w:ind w:right="20" w:firstLine="551"/>
        <w:spacing w:after="0" w:line="243" w:lineRule="auto"/>
        <w:rPr>
          <w:sz w:val="20"/>
          <w:szCs w:val="20"/>
          <w:color w:val="auto"/>
        </w:rPr>
      </w:pPr>
      <w:r>
        <w:rPr>
          <w:rFonts w:ascii="Times New Roman" w:cs="Times New Roman" w:eastAsia="Times New Roman" w:hAnsi="Times New Roman"/>
          <w:sz w:val="18"/>
          <w:szCs w:val="18"/>
          <w:color w:val="auto"/>
        </w:rPr>
        <w:t>In May 2023, 5,000,000 of the Company’s common stock were sold by Verlinvest Beverages SA (the “Selling Stockholder”) at $23.00 per share (the “Closing”) pursuant to an underwriting agreement (the “May Underwriting Agreement”). Additionally, under the May Underwriting Agreement, the Selling Stockholder granted the underwriters an option exercisable to purchase up to an additional 750,000 shares from the Selling Shareholder at the public offering price which was exercised in full prior to the Closing. In November 2023, the Selling Stockholder sold an additional 4,000,000 shares of the Company’s common stock at $27.61 per share pursuant to an underwriting agreement (the “November Underwriting Agreement”). The Company did not receive proceeds from the sale of the shares under the May Underwriting Agreement or the November Underwriting Agreement. For the year ended December 31, 2023, the Company recorded $1,525 of administrative expenses related to the May and November Underwriting Agreements, net of legal fee waiver of $140 related to May 2023 secondary offering. These administrative expenses are included in Selling, general, and administrative expenses ("SG&amp;A") in the consolidated statement of operations. Additionally, the Selling Stockholder provided additional waiver of legal fees of $324 related to November 2023 secondary offering for the year ended December 31, 2024.</w:t>
      </w:r>
    </w:p>
    <w:p>
      <w:pPr>
        <w:spacing w:after="0" w:line="195" w:lineRule="exact"/>
        <w:rPr>
          <w:sz w:val="20"/>
          <w:szCs w:val="20"/>
          <w:color w:val="auto"/>
        </w:rPr>
      </w:pPr>
    </w:p>
    <w:p>
      <w:pPr>
        <w:ind w:right="20" w:firstLine="55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Treasury Stock </w:t>
      </w:r>
      <w:r>
        <w:rPr>
          <w:rFonts w:ascii="Times New Roman" w:cs="Times New Roman" w:eastAsia="Times New Roman" w:hAnsi="Times New Roman"/>
          <w:sz w:val="18"/>
          <w:szCs w:val="18"/>
          <w:color w:val="auto"/>
        </w:rPr>
        <w:t>- As of December 31, 2024 and 2023, the Company held 6,740,446 and 6,236,200 shares in treasury stock. In January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entered into a Stock Purchase Agreement with RW VC S.a.r.l, f/k/a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this Note 14.</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On October 30, 2023, the Board approved a share repurchase program ("Program") authorizing the Company to repurchase up to $40,000 of the Company's common stock. Shares of the Company's common stock may be repurchased under the Program from time to time through open market purchases, block trades, private transactions or accelerated or other structured share repurchase programs. To the extent not retired, shares of the Company's common stock repurchased under the Program will be placed in the Company's treasury shares. The extent to which the Company repurchases shares of the Company's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The Company repurchased 504,246 shares under this program at a cost of $12,030 during the year ended December 31, 2024. The Company repurchased 30,000 shares under this program at a cost of $773 during the year ended December 31, 2023</w:t>
      </w:r>
    </w:p>
    <w:p>
      <w:pPr>
        <w:spacing w:after="0" w:line="197" w:lineRule="exact"/>
        <w:rPr>
          <w:sz w:val="20"/>
          <w:szCs w:val="20"/>
          <w:color w:val="auto"/>
        </w:rPr>
      </w:pPr>
    </w:p>
    <w:p>
      <w:pPr>
        <w:ind w:right="20" w:firstLine="551"/>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stockholders of the Company approved the adoption of the Company’s 2014 Stock Option and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“2014 Plan”). The 2014 Plan allowed for a maximum of 8% of the sum of the Available Equity defined as the sum of (i) the total then outstanding shares of common shares and (ii) all available stock option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must contain exercise prices no less than the fair value of the Company’s common stock on the date of grant and have a ten-year contractual term.</w:t>
      </w:r>
    </w:p>
    <w:p>
      <w:pPr>
        <w:spacing w:after="0" w:line="193" w:lineRule="exact"/>
        <w:rPr>
          <w:sz w:val="20"/>
          <w:szCs w:val="20"/>
          <w:color w:val="auto"/>
        </w:rPr>
      </w:pPr>
    </w:p>
    <w:p>
      <w:pPr>
        <w:ind w:right="20" w:firstLine="551"/>
        <w:spacing w:after="0" w:line="243" w:lineRule="auto"/>
        <w:rPr>
          <w:sz w:val="20"/>
          <w:szCs w:val="20"/>
          <w:color w:val="auto"/>
        </w:rPr>
      </w:pPr>
      <w:r>
        <w:rPr>
          <w:rFonts w:ascii="Times New Roman" w:cs="Times New Roman" w:eastAsia="Times New Roman" w:hAnsi="Times New Roman"/>
          <w:sz w:val="18"/>
          <w:szCs w:val="18"/>
          <w:color w:val="auto"/>
        </w:rPr>
        <w:t>Subsequent to September 30, 2021, the stockholders of the Company approved the adoption of the 2021 Incentive Award Plan ("2021 Plan"), which became effective after the closing of the IPO. On and after closing of the offering and the effectiveness of the 2021 Incentive Award Plan, no further grants will be made under the 2014 Plan. The maximum number of shares of the Company's common stock available for issuance under the 2021 Plan is equal to the sum of (i) 3,431,312 shares of the Company's common stock and (ii) an annual increase on the first day of each year beginning in 2022 and ending in and including 2031, equal to the lesser of (A) two percent (2%) of the outstanding shares of the Company's common stock on the last day of the immediately preceding fiscal year and (B) such lesser amount as determined by the Board; provided, however, no more than 3,431,312 shares may be issued upon the exercise of incentive stock options, or ISOs. The 2021 Plan provides for the grant of stock options, including ISOs and nonqualified stock options, or NSOs, restricted stock, dividend equivalents, stock payments, restricted stock units, or RSUs, other incentive awards, SARs, and cash awards. Stock options, restricted stock, and RSU's were granted under 2021 Plan. As of December 31, 2024, there were 3,254,762 shares of the Company's common stock reserved for future issuance pursuant to the 2021 Plan.</w:t>
      </w:r>
    </w:p>
    <w:p>
      <w:pPr>
        <w:spacing w:after="0" w:line="186" w:lineRule="exact"/>
        <w:rPr>
          <w:sz w:val="20"/>
          <w:szCs w:val="20"/>
          <w:color w:val="auto"/>
        </w:rPr>
      </w:pPr>
    </w:p>
    <w:p>
      <w:pPr>
        <w:ind w:firstLine="551"/>
        <w:spacing w:after="0" w:line="24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$8,771, $7,805 and $6,134 for the years ended December 31, 2024, 2023 and 2022, respectively in selling, general, and administrative expenses. The Company also recognized a reduction of revenue of $151, $1,323 and $1,250 for the years ended December 31, 2024, 2023 and 2022 related to stock-based compensation awards granted to entities affiliated with a major customer that was accounted for as a stock-based sales incentive. The total impact to additional paid-in capital related to stock-based compensation arrangements in 2024 and 2023 were $8,922 and $9,128, respectively.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 with Service-based Vesting Conditions</w:t>
      </w:r>
    </w:p>
    <w:p>
      <w:pPr>
        <w:spacing w:after="0" w:line="108"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Most stock option awards granted under the 2014 and 2021 Plans vest based on the continuous service. The stock options awarded to the employees have different vesting schedules as specified in each grant agreement. The following table summarizes the service-based stock option activity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140" w:type="dxa"/>
            <w:vAlign w:val="bottom"/>
          </w:tcPr>
          <w:p>
            <w:pPr>
              <w:jc w:val="center"/>
              <w:ind w:left="3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ind w:left="3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80" w:type="dxa"/>
            <w:vAlign w:val="bottom"/>
            <w:tcBorders>
              <w:bottom w:val="single" w:sz="8" w:color="CFF0FC"/>
            </w:tcBorders>
          </w:tcPr>
          <w:p>
            <w:pPr>
              <w:spacing w:after="0"/>
              <w:rPr>
                <w:sz w:val="2"/>
                <w:szCs w:val="2"/>
                <w:color w:val="auto"/>
              </w:rPr>
            </w:pPr>
          </w:p>
        </w:tc>
        <w:tc>
          <w:tcPr>
            <w:tcW w:w="16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3,298,006</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12.23</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168,076</w:t>
            </w:r>
          </w:p>
        </w:tc>
        <w:tc>
          <w:tcPr>
            <w:tcW w:w="100" w:type="dxa"/>
            <w:vAlign w:val="bottom"/>
          </w:tcPr>
          <w:p>
            <w:pPr>
              <w:spacing w:after="0"/>
              <w:rPr>
                <w:sz w:val="22"/>
                <w:szCs w:val="22"/>
                <w:color w:val="auto"/>
              </w:rPr>
            </w:pPr>
          </w:p>
        </w:tc>
        <w:tc>
          <w:tcPr>
            <w:tcW w:w="114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26.18</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343,069</w:t>
            </w: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10.92</w:t>
            </w: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68,953</w:t>
            </w:r>
          </w:p>
        </w:tc>
        <w:tc>
          <w:tcPr>
            <w:tcW w:w="100" w:type="dxa"/>
            <w:vAlign w:val="bottom"/>
            <w:tcBorders>
              <w:bottom w:val="single" w:sz="8" w:color="CFF0FC"/>
            </w:tcBorders>
          </w:tcPr>
          <w:p>
            <w:pPr>
              <w:spacing w:after="0"/>
              <w:rPr>
                <w:sz w:val="22"/>
                <w:szCs w:val="22"/>
                <w:color w:val="auto"/>
              </w:rPr>
            </w:pPr>
          </w:p>
        </w:tc>
        <w:tc>
          <w:tcPr>
            <w:tcW w:w="114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12.33</w:t>
            </w:r>
          </w:p>
        </w:tc>
        <w:tc>
          <w:tcPr>
            <w:tcW w:w="100" w:type="dxa"/>
            <w:vAlign w:val="bottom"/>
            <w:tcBorders>
              <w:bottom w:val="single" w:sz="8" w:color="CFF0FC"/>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3,054,060</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13.14</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72,588</w:t>
            </w:r>
          </w:p>
        </w:tc>
        <w:tc>
          <w:tcPr>
            <w:tcW w:w="0" w:type="dxa"/>
            <w:vAlign w:val="bottom"/>
          </w:tcPr>
          <w:p>
            <w:pPr>
              <w:spacing w:after="0"/>
              <w:rPr>
                <w:sz w:val="1"/>
                <w:szCs w:val="1"/>
                <w:color w:val="auto"/>
              </w:rPr>
            </w:pPr>
          </w:p>
        </w:tc>
      </w:tr>
      <w:tr>
        <w:trPr>
          <w:trHeight w:val="22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2,261,544</w:t>
            </w:r>
          </w:p>
        </w:tc>
        <w:tc>
          <w:tcPr>
            <w:tcW w:w="100" w:type="dxa"/>
            <w:vAlign w:val="bottom"/>
          </w:tcPr>
          <w:p>
            <w:pPr>
              <w:spacing w:after="0"/>
              <w:rPr>
                <w:sz w:val="19"/>
                <w:szCs w:val="19"/>
                <w:color w:val="auto"/>
              </w:rPr>
            </w:pPr>
          </w:p>
        </w:tc>
        <w:tc>
          <w:tcPr>
            <w:tcW w:w="114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57,110</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The weighted average grant-date fair value of the service-based stock option awards granted during the years ended December 31, 2024 and 2023 was $10.52 per option and $7.29 per option, respectively. The aggregate intrinsic value of service-based stock options exercised was $8,921 and $10,826 for the years ended December 31, 2024 and 2023, respectively. The aggregate intrinsic value of stock options is calculated as the difference between the exercise price of the stock options and the fair value of the Company’s common stock for all stock options that had exercise prices lower than the fair value of the Company’s common stock.</w:t>
      </w:r>
    </w:p>
    <w:p>
      <w:pPr>
        <w:spacing w:after="0" w:line="177" w:lineRule="exact"/>
        <w:rPr>
          <w:sz w:val="20"/>
          <w:szCs w:val="20"/>
          <w:color w:val="auto"/>
        </w:rPr>
      </w:pPr>
    </w:p>
    <w:p>
      <w:pPr>
        <w:ind w:right="120" w:firstLine="551"/>
        <w:spacing w:after="0" w:line="258" w:lineRule="auto"/>
        <w:rPr>
          <w:sz w:val="20"/>
          <w:szCs w:val="20"/>
          <w:color w:val="auto"/>
        </w:rPr>
      </w:pPr>
      <w:r>
        <w:rPr>
          <w:rFonts w:ascii="Times New Roman" w:cs="Times New Roman" w:eastAsia="Times New Roman" w:hAnsi="Times New Roman"/>
          <w:sz w:val="18"/>
          <w:szCs w:val="18"/>
          <w:color w:val="auto"/>
        </w:rPr>
        <w:t>The fair value of the service-based stock options granted in 2024 and 2023 pursuant to the Stock Option Plan was estimated on a grant or on a modification date using the Black-Scholes option-pricing model. The weighted average assumptions used in the Black-Scholes option-pricing model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7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6.25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 years</w:t>
            </w: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6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31" w:lineRule="exact"/>
        <w:rPr>
          <w:sz w:val="20"/>
          <w:szCs w:val="20"/>
          <w:color w:val="auto"/>
        </w:rPr>
      </w:pPr>
    </w:p>
    <w:p>
      <w:pPr>
        <w:ind w:right="20" w:firstLine="55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Represents the period that the stock-based awards are expected to be outstanding based on a contractual term and service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for the awards. The Company estimated the expected term of the options with service conditions in accordance with the “simplified” method as defined in ASC 718, which enables the use of a practical expedient for “plain vanilla” share options.</w:t>
      </w:r>
    </w:p>
    <w:p>
      <w:pPr>
        <w:spacing w:after="0" w:line="188" w:lineRule="exact"/>
        <w:rPr>
          <w:sz w:val="20"/>
          <w:szCs w:val="20"/>
          <w:color w:val="auto"/>
        </w:rPr>
      </w:pPr>
    </w:p>
    <w:p>
      <w:pPr>
        <w:jc w:val="both"/>
        <w:ind w:right="60" w:firstLine="551"/>
        <w:spacing w:after="0" w:line="25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has historically been a private company and lacks company-specific historical and implied volatility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its stock. Therefore, the Company estimated volatility for option grants by evaluating the average historical volatility of a peer group of companies for the period immediately preceding the option grant for a term that is approximately equal to the expected term of the options.</w:t>
      </w:r>
    </w:p>
    <w:p>
      <w:pPr>
        <w:spacing w:after="0" w:line="188" w:lineRule="exact"/>
        <w:rPr>
          <w:sz w:val="20"/>
          <w:szCs w:val="20"/>
          <w:color w:val="auto"/>
        </w:rPr>
      </w:pPr>
    </w:p>
    <w:p>
      <w:pPr>
        <w:ind w:right="32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 as of the option valuation date, by reference to the U.S. Treasury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curve in effect at the time of the grant or the modification of the award for time periods equal to the expected term of the award.</w:t>
      </w:r>
    </w:p>
    <w:p>
      <w:pPr>
        <w:spacing w:after="0" w:line="159" w:lineRule="exact"/>
        <w:rPr>
          <w:sz w:val="20"/>
          <w:szCs w:val="20"/>
          <w:color w:val="auto"/>
        </w:rPr>
      </w:pPr>
    </w:p>
    <w:p>
      <w:pPr>
        <w:ind w:right="18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does not anticipate declaring a dividend over the expected term. As such, the dividend yield has been estimated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zero.</w:t>
      </w:r>
    </w:p>
    <w:p>
      <w:pPr>
        <w:spacing w:after="0" w:line="145" w:lineRule="exact"/>
        <w:rPr>
          <w:sz w:val="20"/>
          <w:szCs w:val="20"/>
          <w:color w:val="auto"/>
        </w:rPr>
      </w:pPr>
    </w:p>
    <w:p>
      <w:pPr>
        <w:ind w:right="260" w:firstLine="551"/>
        <w:spacing w:after="0" w:line="24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For stock awards granted subsequent to the IPO, the fair value of the Company's common stock assumed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of the awards will be based on the closing price of the Company's common stock as reported on the day of grant. Prior to the IPO in October 2021, because there has been no public market for the Company’s common stock, the Board has determined the estimated fair value of the Company's common stock at the time of grant of options by considering valuations performed by an independent third-party valuation specialist, which considers a number of objective and subjective factors including valuations of comparable companies, operating and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financial performance, the lack of liquidity of capital stock, the likelihood of achieving an initial public offering and general and industry specific economic outlook.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The third-party common stock valuations were prepared using a combination of the income approach and market approach.</w:t>
      </w:r>
    </w:p>
    <w:p>
      <w:pPr>
        <w:spacing w:after="0" w:line="177" w:lineRule="exact"/>
        <w:rPr>
          <w:sz w:val="20"/>
          <w:szCs w:val="20"/>
          <w:color w:val="auto"/>
        </w:rPr>
      </w:pPr>
    </w:p>
    <w:p>
      <w:pPr>
        <w:ind w:right="440" w:firstLine="551"/>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$2,103 of total unrecognized compensation cost related to unvested service-based stock options, which is expected to be recognized over a weighted-average service period of 1.8 years.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 with Performance and Market-based Vesting Conditions</w:t>
      </w:r>
    </w:p>
    <w:p>
      <w:pPr>
        <w:spacing w:after="0" w:line="108" w:lineRule="exact"/>
        <w:rPr>
          <w:sz w:val="20"/>
          <w:szCs w:val="20"/>
          <w:color w:val="auto"/>
        </w:rPr>
      </w:pPr>
    </w:p>
    <w:p>
      <w:pPr>
        <w:ind w:right="240" w:firstLine="551"/>
        <w:spacing w:after="0" w:line="256" w:lineRule="auto"/>
        <w:rPr>
          <w:sz w:val="20"/>
          <w:szCs w:val="20"/>
          <w:color w:val="auto"/>
        </w:rPr>
      </w:pPr>
      <w:r>
        <w:rPr>
          <w:rFonts w:ascii="Times New Roman" w:cs="Times New Roman" w:eastAsia="Times New Roman" w:hAnsi="Times New Roman"/>
          <w:sz w:val="18"/>
          <w:szCs w:val="18"/>
          <w:color w:val="auto"/>
        </w:rPr>
        <w:t>There are also stock option awards containing performance-based vesting conditions, subject to achievement of various performance goals by a future period, such as revenue and adjusted EBITDA targets. There are also stock option awards containing performance and market vesting conditions, such as options vesting upon occurrence of an IPO or other qualifying liquidity event and upon achieving a predetermined equity value of the Company. This award was granted to the current CEO in 2019 that vest upon occurrence of an IPO or other qualifying liquidity event and upon achieving a predetermined equity value of the Company. As of July 31, 2023, the performance and market vesting conditions were achieved and the remaining stock compensation expense of $762 for this award was accelerated and recognized in the year ended December 31, 2023.</w:t>
      </w:r>
    </w:p>
    <w:p>
      <w:pPr>
        <w:spacing w:after="0" w:line="7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December 31, 2023, there were no modifications to these awards. During the year ended December 31, 2022, certain awards that contained a performance-based vesting condition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140" w:type="dxa"/>
            <w:vAlign w:val="bottom"/>
          </w:tcPr>
          <w:p>
            <w:pPr>
              <w:jc w:val="center"/>
              <w:ind w:left="40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ind w:left="381"/>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3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1,144,436</w:t>
            </w: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12.60</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1,144,436</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1140" w:type="dxa"/>
            <w:vAlign w:val="bottom"/>
            <w:tcBorders>
              <w:top w:val="single" w:sz="8" w:color="auto"/>
              <w:bottom w:val="single" w:sz="8" w:color="auto"/>
            </w:tcBorders>
            <w:shd w:val="clear" w:color="auto" w:fill="CFF0FC"/>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12.60</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1380" w:type="dxa"/>
            <w:vAlign w:val="bottom"/>
            <w:tcBorders>
              <w:top w:val="single" w:sz="8" w:color="auto"/>
              <w:bottom w:val="single" w:sz="8" w:color="auto"/>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6.1</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27,817</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653,609</w:t>
            </w:r>
          </w:p>
        </w:tc>
        <w:tc>
          <w:tcPr>
            <w:tcW w:w="100" w:type="dxa"/>
            <w:vAlign w:val="bottom"/>
          </w:tcPr>
          <w:p>
            <w:pPr>
              <w:spacing w:after="0"/>
              <w:rPr>
                <w:sz w:val="20"/>
                <w:szCs w:val="20"/>
                <w:color w:val="auto"/>
              </w:rPr>
            </w:pP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17,472</w:t>
            </w:r>
          </w:p>
        </w:tc>
        <w:tc>
          <w:tcPr>
            <w:tcW w:w="0" w:type="dxa"/>
            <w:vAlign w:val="bottom"/>
          </w:tcPr>
          <w:p>
            <w:pPr>
              <w:spacing w:after="0"/>
              <w:rPr>
                <w:sz w:val="1"/>
                <w:szCs w:val="1"/>
                <w:color w:val="auto"/>
              </w:rPr>
            </w:pPr>
          </w:p>
        </w:tc>
      </w:tr>
      <w:tr>
        <w:trPr>
          <w:trHeight w:val="29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The fair value of the awards with performance-based vesting conditions was estimated using the Black-Scholes option-pricing model used for the Company’s service-based stock options and assumed that performance goals will be achieved. If such performance conditions are not met, no compensation cost is recognized and any recognized compensation cost is reversed. The Company did not grant any performance based options for the year ended December 31, 2024.</w:t>
      </w:r>
    </w:p>
    <w:p>
      <w:pPr>
        <w:spacing w:after="0" w:line="177"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The Company uses Black-Scholes option-pricing model to assess the fair value of the awards with performance-based vesting conditions pursuant to the 2021 Plan. There were no performance based options grants for the year ended December 31,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2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the unvested stock option awards containing performance conditions was $1,525, which is expected to be recognized over the period of approximately 1.0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&amp; Performance Based Restricted Stock Awards ("RSUs")</w:t>
      </w:r>
    </w:p>
    <w:p>
      <w:pPr>
        <w:spacing w:after="0" w:line="11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RSUs were granted under the 2021 Plan. and primarily vest based on continuous service. The RSUs with service-based vesting conditions awarded to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twelve months ended December 31, 2024, the Company also granted RSUs that contained performance-based vesting conditions, subject to achievement of various performance goals by the end of 2025 or 2026, specifically net sales growth and Adjusted EBITDA targets. The following table summarizes the restricted stock and RSU activity for the year ended 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service based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performance</w:t>
            </w:r>
          </w:p>
        </w:tc>
        <w:tc>
          <w:tcPr>
            <w:tcW w:w="140" w:type="dxa"/>
            <w:vAlign w:val="bottom"/>
          </w:tcPr>
          <w:p>
            <w:pPr>
              <w:spacing w:after="0"/>
              <w:rPr>
                <w:sz w:val="13"/>
                <w:szCs w:val="13"/>
                <w:color w:val="auto"/>
              </w:rPr>
            </w:pPr>
          </w:p>
        </w:tc>
        <w:tc>
          <w:tcPr>
            <w:tcW w:w="1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37"/>
        </w:trPr>
        <w:tc>
          <w:tcPr>
            <w:tcW w:w="3760" w:type="dxa"/>
            <w:vAlign w:val="bottom"/>
          </w:tcPr>
          <w:p>
            <w:pPr>
              <w:spacing w:after="0"/>
              <w:rPr>
                <w:sz w:val="11"/>
                <w:szCs w:val="11"/>
                <w:color w:val="auto"/>
              </w:rPr>
            </w:pPr>
          </w:p>
        </w:tc>
        <w:tc>
          <w:tcPr>
            <w:tcW w:w="194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Restricted Stock or RSU</w:t>
            </w:r>
          </w:p>
        </w:tc>
        <w:tc>
          <w:tcPr>
            <w:tcW w:w="158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based Restricted Stock or</w:t>
            </w:r>
          </w:p>
        </w:tc>
        <w:tc>
          <w:tcPr>
            <w:tcW w:w="140" w:type="dxa"/>
            <w:vAlign w:val="bottom"/>
          </w:tcPr>
          <w:p>
            <w:pPr>
              <w:spacing w:after="0"/>
              <w:rPr>
                <w:sz w:val="11"/>
                <w:szCs w:val="11"/>
                <w:color w:val="auto"/>
              </w:rPr>
            </w:pPr>
          </w:p>
        </w:tc>
        <w:tc>
          <w:tcPr>
            <w:tcW w:w="170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90"/>
        </w:trPr>
        <w:tc>
          <w:tcPr>
            <w:tcW w:w="3760" w:type="dxa"/>
            <w:vAlign w:val="bottom"/>
          </w:tcPr>
          <w:p>
            <w:pPr>
              <w:spacing w:after="0"/>
              <w:rPr>
                <w:sz w:val="16"/>
                <w:szCs w:val="16"/>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 based)</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40" w:type="dxa"/>
            <w:vAlign w:val="bottom"/>
          </w:tcPr>
          <w:p>
            <w:pPr>
              <w:spacing w:after="0"/>
              <w:rPr>
                <w:sz w:val="16"/>
                <w:szCs w:val="16"/>
                <w:color w:val="auto"/>
              </w:rPr>
            </w:pPr>
          </w:p>
        </w:tc>
        <w:tc>
          <w:tcPr>
            <w:tcW w:w="1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(performance based)</w:t>
            </w:r>
          </w:p>
        </w:tc>
      </w:tr>
      <w:tr>
        <w:trPr>
          <w:trHeight w:val="23"/>
        </w:trPr>
        <w:tc>
          <w:tcPr>
            <w:tcW w:w="37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628,129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5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266,514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6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223,729</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82"/>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634,803</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18"/>
          <w:szCs w:val="18"/>
          <w:color w:val="auto"/>
        </w:rPr>
        <w:t>Also included in these awards are $3 million of shares of restricted common stock granted to entities affiliated with a significant customer, granted at the IPO price per share of $15.00, or 200,000 restricted shares, in exchange for an amendment to extend the distributor agreement term to June 10, 2026. Since the distribution agreement has not been terminated by either party for cause as of March 31, 2023, 50% of the shares were released on March 31, 2023. The remaining 50% were released on March 31, 2024. The grant was accounted for as a stock-based sales incentive based on guidance in ASC 606 and is reflected as a reduction in the transaction price of revenue on the basis of the grant-date fair-value measure in accordance with the stock compensation guidance in ASC 718.</w:t>
      </w:r>
    </w:p>
    <w:p>
      <w:pPr>
        <w:spacing w:after="0" w:line="198"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The aggregate grant date fair value of service and performance based RSUs granted during 2024 and 2023 was $8,609 and $4,169, respectively. At December 31, 2024, there was $5,886 of unrecognized stock compensation expense related to non-vested service-based RSUs, which is expected to be recognized over a weighted average period of 1.9 years. At December 31, 2024, there was $1,196 of unrecognized stock compensation expense related to non-vested performance based RSUs, which is expected to be recognized over a weighted average period of 2.1 years. At December 31, 2023, there was $5,259 of unrecognized stock compensation expense related to non-vested service-based RSUs, which is expected to be recognized over a weighted average period of 2.0 years. At December 31, 2023, there was $219 of unrecognized stock compensation expense related to non-vested performance based RSUs, which is expected to be recognized over a weighted average period of 2.2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domestic and foreign components of the Company’s income before income taxes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w:t>
            </w:r>
          </w:p>
        </w:tc>
      </w:tr>
      <w:tr>
        <w:trPr>
          <w:trHeight w:val="250"/>
        </w:trPr>
        <w:tc>
          <w:tcPr>
            <w:tcW w:w="6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26,306</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7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income tax expense for the years ended December 31, 2024, 2023, and 2022 consist of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5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63"/>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50"/>
        </w:trPr>
        <w:tc>
          <w:tcPr>
            <w:tcW w:w="658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57"/>
        </w:trPr>
        <w:tc>
          <w:tcPr>
            <w:tcW w:w="658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r>
      <w:tr>
        <w:trPr>
          <w:trHeight w:val="25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57"/>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50"/>
        </w:trPr>
        <w:tc>
          <w:tcPr>
            <w:tcW w:w="65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7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 of the U.S. federal statutory rate to the Company’s effective rate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2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1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using U.S. federal statutory rate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U.S. federal income tax benefit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Officer's compensation limitation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7"/>
        </w:trPr>
        <w:tc>
          <w:tcPr>
            <w:tcW w:w="7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tax assets and liabilities at December 31, 2024 and 2023,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and accruals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Charitable contributions carryforward</w:t>
            </w:r>
          </w:p>
        </w:tc>
        <w:tc>
          <w:tcPr>
            <w:tcW w:w="9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4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r>
      <w:tr>
        <w:trPr>
          <w:trHeight w:val="243"/>
        </w:trPr>
        <w:tc>
          <w:tcPr>
            <w:tcW w:w="81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0"/>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Other—Net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7"/>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4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7"/>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120" w:firstLine="551"/>
        <w:spacing w:after="0" w:line="250" w:lineRule="auto"/>
        <w:rPr>
          <w:sz w:val="20"/>
          <w:szCs w:val="20"/>
          <w:color w:val="auto"/>
        </w:rPr>
      </w:pPr>
      <w:r>
        <w:rPr>
          <w:rFonts w:ascii="Times New Roman" w:cs="Times New Roman" w:eastAsia="Times New Roman" w:hAnsi="Times New Roman"/>
          <w:sz w:val="18"/>
          <w:szCs w:val="18"/>
          <w:color w:val="auto"/>
        </w:rPr>
        <w:t>A valuation allowance of $3,587 and $4,374 was recorded against the non-US deferred tax asset balance as of December 31, 2024 and 2023, respectively. As of each reporting date, management considers new evidence, both positive and negative, that could affect its view of the future realization of deferred tax assets. As of December 31, 2024 and 2023, management determined that there is sufficient positive evidence to conclude that it is more likely than not that the US deferred taxes are realizable. A valuation allowance has been established against the net operating loss carryforwards which have been generated by our foreign jurisdictions.</w:t>
      </w:r>
    </w:p>
    <w:p>
      <w:pPr>
        <w:spacing w:after="0" w:line="177" w:lineRule="exact"/>
        <w:rPr>
          <w:sz w:val="20"/>
          <w:szCs w:val="20"/>
          <w:color w:val="auto"/>
        </w:rPr>
      </w:pPr>
    </w:p>
    <w:p>
      <w:pPr>
        <w:ind w:right="320" w:firstLine="551"/>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had no U.S. state and federal net operating loss carryforwards. As of December 31, 2024 and 2023, the Company had net operating loss carryforwards related to foreign operations of $18,309 and $21,548, respectively. These net operating loss carryforwards have various lives ranging from 10 years to indefinite carryforward periods.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income tax uncertainties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as of January 1, 2024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on tax positions related to prior years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9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8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40" w:firstLine="551"/>
        <w:spacing w:after="0" w:line="250" w:lineRule="auto"/>
        <w:rPr>
          <w:sz w:val="20"/>
          <w:szCs w:val="20"/>
          <w:color w:val="auto"/>
        </w:rPr>
      </w:pPr>
      <w:r>
        <w:rPr>
          <w:rFonts w:ascii="Times New Roman" w:cs="Times New Roman" w:eastAsia="Times New Roman" w:hAnsi="Times New Roman"/>
          <w:sz w:val="18"/>
          <w:szCs w:val="18"/>
          <w:color w:val="auto"/>
        </w:rPr>
        <w:t>As of December 31, 2024 and 2023, there were $106 and $106 liabilities for income tax uncertainties recorded in the Company’s consolidated balance sheets. The Company recognized interest and penalties related to income tax uncertainties of $37 and $37 in its consolidated balance sheets for years ended December 31, 2024 and 2023, respectively. The Company is subject to income tax examinations by the IRS and various state and local jurisdictions for the open tax years between December 31, 2022 and December 31, 2024.</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20" w:firstLine="551"/>
        <w:spacing w:after="0" w:line="258" w:lineRule="auto"/>
        <w:rPr>
          <w:sz w:val="20"/>
          <w:szCs w:val="20"/>
          <w:color w:val="auto"/>
        </w:rPr>
      </w:pPr>
      <w:r>
        <w:rPr>
          <w:rFonts w:ascii="Times New Roman" w:cs="Times New Roman" w:eastAsia="Times New Roman" w:hAnsi="Times New Roman"/>
          <w:sz w:val="18"/>
          <w:szCs w:val="18"/>
          <w:color w:val="auto"/>
        </w:rPr>
        <w:t>As of December 31, 2024 and 2023, income taxes on undistributed earnings of the Company’s foreign subsidiaries have not been provided for as the Company plans to indefinitely reinvest these amounts. The cumulative undistributed foreign earnings were not material as of December 31, 2024 and 2023.</w:t>
      </w:r>
    </w:p>
    <w:p>
      <w:pPr>
        <w:spacing w:after="0" w:line="169" w:lineRule="exact"/>
        <w:rPr>
          <w:sz w:val="20"/>
          <w:szCs w:val="20"/>
          <w:color w:val="auto"/>
        </w:rPr>
      </w:pPr>
    </w:p>
    <w:p>
      <w:pPr>
        <w:ind w:right="60" w:firstLine="551"/>
        <w:spacing w:after="0" w:line="258" w:lineRule="auto"/>
        <w:rPr>
          <w:sz w:val="20"/>
          <w:szCs w:val="20"/>
          <w:color w:val="auto"/>
        </w:rPr>
      </w:pPr>
      <w:r>
        <w:rPr>
          <w:rFonts w:ascii="Times New Roman" w:cs="Times New Roman" w:eastAsia="Times New Roman" w:hAnsi="Times New Roman"/>
          <w:sz w:val="18"/>
          <w:szCs w:val="18"/>
          <w:color w:val="auto"/>
        </w:rPr>
        <w:t>During 2021, the Finance Act 2021 (the "Finance Act") was enacted in the U.K. The Finance Act increases the corporate income tax rate from 19% to 25% effective April 1, 2023 and enhances the first-year capital allowance on qualifying new plant and machinery assets effective April 1, 2021. The effects on the Company’s existing deferred tax balances have been recorded.</w:t>
      </w:r>
    </w:p>
    <w:p>
      <w:pPr>
        <w:spacing w:after="0" w:line="196" w:lineRule="exact"/>
        <w:rPr>
          <w:sz w:val="20"/>
          <w:szCs w:val="20"/>
          <w:color w:val="auto"/>
        </w:rPr>
      </w:pPr>
    </w:p>
    <w:p>
      <w:pPr>
        <w:ind w:right="200" w:firstLine="551"/>
        <w:spacing w:after="0" w:line="246"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by the Biden Administration, with tax provisions primarily focused on implementing a 15% corporate alternative minimum tax (“CAMT”) on global adjusted financial statement income and a 1% excise tax on share repurchases. On December 12, 2022, the European Union member states also reached an agreement to implement the Organization for Economic Cooperation and Development's ("OECD") reform of international taxation known as GloBE, which broadly mirrors the Inflation Reduction Act by imposing a 15% global minimum tax on multinational companies. The impact of these changes was not material as of December 31,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earnings per share is calculated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57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Numerator:</w:t>
            </w:r>
          </w:p>
        </w:tc>
        <w:tc>
          <w:tcPr>
            <w:tcW w:w="57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The Vita Coco Company, Inc.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56,729,370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56,427,890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55,732,619</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5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Effect of conversion of stock options and RSU's</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2,557,192</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2,319,448</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391,042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59,286,562</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58,747,338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56,123,661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57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FF0FC"/>
            </w:tcBorders>
            <w:shd w:val="clear" w:color="auto" w:fill="CFF0FC"/>
          </w:tcPr>
          <w:p>
            <w:pPr>
              <w:spacing w:after="0"/>
              <w:rPr>
                <w:sz w:val="23"/>
                <w:szCs w:val="23"/>
                <w:color w:val="auto"/>
              </w:rPr>
            </w:pPr>
          </w:p>
        </w:tc>
        <w:tc>
          <w:tcPr>
            <w:tcW w:w="6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share—basic</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560" w:type="dxa"/>
            <w:vAlign w:val="bottom"/>
            <w:gridSpan w:val="2"/>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number of common shares outstanding, as they would be anti-dilutive: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5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8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awards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210,933</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310,953</w:t>
            </w: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1,880,904</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21" w:lineRule="exact"/>
        <w:rPr>
          <w:sz w:val="20"/>
          <w:szCs w:val="20"/>
          <w:color w:val="auto"/>
        </w:rPr>
      </w:pPr>
    </w:p>
    <w:p>
      <w:pPr>
        <w:ind w:right="160" w:firstLine="551"/>
        <w:spacing w:after="0" w:line="250" w:lineRule="auto"/>
        <w:rPr>
          <w:sz w:val="20"/>
          <w:szCs w:val="20"/>
          <w:color w:val="auto"/>
        </w:rPr>
      </w:pPr>
      <w:r>
        <w:rPr>
          <w:rFonts w:ascii="Times New Roman" w:cs="Times New Roman" w:eastAsia="Times New Roman" w:hAnsi="Times New Roman"/>
          <w:sz w:val="18"/>
          <w:szCs w:val="18"/>
          <w:color w:val="auto"/>
        </w:rPr>
        <w:t>Employees of the Company may participate in a defined contribution plan which qualifies under Section 401(k) of the Internal Revenue Code. Participating employees may contribute into a traditional plan with pretax salary or into a Roth plan with after tax salary up to statutory limits. The Company matches contributions up to 3% of each employee’s earnings, which vest over two years. Matching contributions were $845, $616 and $592 for the years ended December 31, 2024, 2023, and 2022,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820" w:right="60" w:hanging="245"/>
        <w:spacing w:after="0" w:line="250"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guayusa leaf products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aluminum bottle canned water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and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are or were, in the case of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marketed only in the Americas segment. As of December 2023, we ceased offering the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brand.</w:t>
      </w:r>
    </w:p>
    <w:p>
      <w:pPr>
        <w:spacing w:after="0" w:line="69" w:lineRule="exact"/>
        <w:rPr>
          <w:rFonts w:ascii="Times New Roman" w:cs="Times New Roman" w:eastAsia="Times New Roman" w:hAnsi="Times New Roman"/>
          <w:sz w:val="18"/>
          <w:szCs w:val="18"/>
          <w:color w:val="auto"/>
        </w:rPr>
      </w:pPr>
    </w:p>
    <w:p>
      <w:pPr>
        <w:ind w:left="820" w:right="80" w:hanging="245"/>
        <w:spacing w:after="0" w:line="258"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 which in some cases may be shipped directly to customers outside of Asia Pacific regions.</w:t>
      </w:r>
    </w:p>
    <w:p>
      <w:pPr>
        <w:spacing w:after="0" w:line="169" w:lineRule="exact"/>
        <w:rPr>
          <w:sz w:val="20"/>
          <w:szCs w:val="20"/>
          <w:color w:val="auto"/>
        </w:rPr>
      </w:pPr>
    </w:p>
    <w:p>
      <w:pPr>
        <w:ind w:right="240" w:firstLine="551"/>
        <w:spacing w:after="0" w:line="247"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and manages and allocates resources between the Americas and International segments. Consistent with this decision-making process, the CODM uses financial information disaggregated between the Americas and International segment for purposes of evaluating performance, forecasting future period financial results, allocating resources and setting incentive targets. The CODM evaluates segment business performance based primarily on net sales and gross profit. The CODM considers budget-to-actual variances on a monthly basis for both profit measures when making decisions about allocating capital and personnel to the segments and also uses segment gross profit for evaluating product pricing.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intercompany transactions between the segments have been eliminated.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about the Company’s operations by operating segment as of and for the years ended December 31, 2024, 2023, and 2022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442,343</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73,670</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516,013</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317,230</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173,556</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198,783</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362,381</w:t>
            </w:r>
          </w:p>
        </w:tc>
      </w:tr>
      <w:tr>
        <w:trPr>
          <w:trHeight w:val="570"/>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430,245</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493,612</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312,883</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162,262</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180,729</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285,682</w:t>
            </w:r>
          </w:p>
        </w:tc>
      </w:tr>
      <w:tr>
        <w:trPr>
          <w:trHeight w:val="530"/>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427,787</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324,426</w:t>
            </w:r>
          </w:p>
        </w:tc>
      </w:tr>
      <w:tr>
        <w:trPr>
          <w:trHeight w:val="26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103,361</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156,588</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880" w:type="dxa"/>
            <w:vAlign w:val="bottom"/>
            <w:tcBorders>
              <w:top w:val="single" w:sz="8" w:color="auto"/>
              <w:bottom w:val="single" w:sz="8" w:color="CFF0FC"/>
            </w:tcBorders>
          </w:tcPr>
          <w:p>
            <w:pPr>
              <w:spacing w:after="0"/>
              <w:rPr>
                <w:sz w:val="2"/>
                <w:szCs w:val="2"/>
                <w:color w:val="auto"/>
              </w:rPr>
            </w:pPr>
          </w:p>
        </w:tc>
        <w:tc>
          <w:tcPr>
            <w:tcW w:w="5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198,783</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121" w:lineRule="exact"/>
        <w:rPr>
          <w:sz w:val="20"/>
          <w:szCs w:val="20"/>
          <w:color w:val="auto"/>
        </w:rPr>
      </w:pPr>
    </w:p>
    <w:p>
      <w:pPr>
        <w:ind w:right="380" w:firstLine="551"/>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revenues by country, which is presented on the basis of the location that revenue from customers is recorded: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360" w:type="dxa"/>
            <w:vAlign w:val="bottom"/>
          </w:tcPr>
          <w:p>
            <w:pPr>
              <w:spacing w:after="0"/>
              <w:rPr>
                <w:sz w:val="13"/>
                <w:szCs w:val="13"/>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4"/>
        </w:trPr>
        <w:tc>
          <w:tcPr>
            <w:tcW w:w="20" w:type="dxa"/>
            <w:vAlign w:val="bottom"/>
            <w:tcBorders>
              <w:bottom w:val="single" w:sz="8" w:color="CFF0FC"/>
            </w:tcBorders>
          </w:tcPr>
          <w:p>
            <w:pPr>
              <w:spacing w:after="0"/>
              <w:rPr>
                <w:sz w:val="2"/>
                <w:szCs w:val="2"/>
                <w:color w:val="auto"/>
              </w:rPr>
            </w:pPr>
          </w:p>
        </w:tc>
        <w:tc>
          <w:tcPr>
            <w:tcW w:w="1200" w:type="dxa"/>
            <w:vAlign w:val="bottom"/>
            <w:tcBorders>
              <w:top w:val="single" w:sz="8" w:color="auto"/>
              <w:bottom w:val="single" w:sz="8" w:color="CFF0FC"/>
            </w:tcBorders>
          </w:tcPr>
          <w:p>
            <w:pPr>
              <w:spacing w:after="0"/>
              <w:rPr>
                <w:sz w:val="2"/>
                <w:szCs w:val="2"/>
                <w:color w:val="auto"/>
              </w:rPr>
            </w:pPr>
          </w:p>
        </w:tc>
        <w:tc>
          <w:tcPr>
            <w:tcW w:w="1060" w:type="dxa"/>
            <w:vAlign w:val="bottom"/>
            <w:tcBorders>
              <w:top w:val="single" w:sz="8" w:color="auto"/>
              <w:bottom w:val="single" w:sz="8" w:color="CFF0FC"/>
            </w:tcBorders>
          </w:tcPr>
          <w:p>
            <w:pPr>
              <w:spacing w:after="0"/>
              <w:rPr>
                <w:sz w:val="2"/>
                <w:szCs w:val="2"/>
                <w:color w:val="auto"/>
              </w:rPr>
            </w:pPr>
          </w:p>
        </w:tc>
        <w:tc>
          <w:tcPr>
            <w:tcW w:w="4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6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414,350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401,974</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352,731</w:t>
            </w:r>
          </w:p>
        </w:tc>
      </w:tr>
      <w:tr>
        <w:trPr>
          <w:trHeight w:val="256"/>
        </w:trPr>
        <w:tc>
          <w:tcPr>
            <w:tcW w:w="20" w:type="dxa"/>
            <w:vAlign w:val="bottom"/>
          </w:tcPr>
          <w:p>
            <w:pPr>
              <w:spacing w:after="0"/>
              <w:rPr>
                <w:sz w:val="22"/>
                <w:szCs w:val="22"/>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44,330</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36,648</w:t>
            </w:r>
          </w:p>
        </w:tc>
      </w:tr>
      <w:tr>
        <w:trPr>
          <w:trHeight w:val="257"/>
        </w:trPr>
        <w:tc>
          <w:tcPr>
            <w:tcW w:w="20" w:type="dxa"/>
            <w:vAlign w:val="bottom"/>
            <w:shd w:val="clear" w:color="auto" w:fill="CFF0FC"/>
          </w:tcPr>
          <w:p>
            <w:pPr>
              <w:spacing w:after="0"/>
              <w:rPr>
                <w:sz w:val="22"/>
                <w:szCs w:val="22"/>
                <w:color w:val="auto"/>
              </w:rPr>
            </w:pPr>
          </w:p>
        </w:tc>
        <w:tc>
          <w:tcPr>
            <w:tcW w:w="6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countries(1)</w:t>
            </w: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48,387</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47,308</w:t>
            </w:r>
          </w:p>
        </w:tc>
        <w:tc>
          <w:tcPr>
            <w:tcW w:w="16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38,408</w:t>
            </w:r>
          </w:p>
        </w:tc>
      </w:tr>
      <w:tr>
        <w:trPr>
          <w:trHeight w:val="243"/>
        </w:trPr>
        <w:tc>
          <w:tcPr>
            <w:tcW w:w="20" w:type="dxa"/>
            <w:vAlign w:val="bottom"/>
          </w:tcPr>
          <w:p>
            <w:pPr>
              <w:spacing w:after="0"/>
              <w:rPr>
                <w:sz w:val="21"/>
                <w:szCs w:val="21"/>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1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427,787</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76" w:lineRule="exact"/>
        <w:rPr>
          <w:sz w:val="20"/>
          <w:szCs w:val="20"/>
          <w:color w:val="auto"/>
        </w:rPr>
      </w:pPr>
    </w:p>
    <w:p>
      <w:pPr>
        <w:ind w:left="560" w:right="2300" w:hanging="552"/>
        <w:spacing w:after="0" w:line="527" w:lineRule="auto"/>
        <w:tabs>
          <w:tab w:leader="none" w:pos="568" w:val="left"/>
        </w:tabs>
        <w:numPr>
          <w:ilvl w:val="0"/>
          <w:numId w:val="30"/>
        </w:numPr>
        <w:rPr>
          <w:rFonts w:ascii="Calibri" w:cs="Calibri" w:eastAsia="Calibri" w:hAnsi="Calibri"/>
          <w:sz w:val="16"/>
          <w:szCs w:val="16"/>
          <w:color w:val="auto"/>
        </w:rPr>
      </w:pPr>
      <w:r>
        <w:rPr>
          <w:rFonts w:ascii="Times New Roman" w:cs="Times New Roman" w:eastAsia="Times New Roman" w:hAnsi="Times New Roman"/>
          <w:sz w:val="18"/>
          <w:szCs w:val="18"/>
          <w:color w:val="auto"/>
        </w:rPr>
        <w:t>No individual country is greater than 10% of total net sales for the years ended December 31, 2024, 2023, and 2022. The following table provides information related to the Company’s property and equipment, net by country: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1220" w:type="dxa"/>
            <w:vAlign w:val="bottom"/>
            <w:tcBorders>
              <w:bottom w:val="single" w:sz="8" w:color="CFF0FC"/>
            </w:tcBorders>
          </w:tcPr>
          <w:p>
            <w:pPr>
              <w:spacing w:after="0"/>
              <w:rPr>
                <w:sz w:val="2"/>
                <w:szCs w:val="2"/>
                <w:color w:val="auto"/>
              </w:rPr>
            </w:pPr>
          </w:p>
        </w:tc>
        <w:tc>
          <w:tcPr>
            <w:tcW w:w="694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7"/>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9"/>
        </w:trPr>
        <w:tc>
          <w:tcPr>
            <w:tcW w:w="1220" w:type="dxa"/>
            <w:vAlign w:val="bottom"/>
            <w:tcBorders>
              <w:bottom w:val="single" w:sz="8" w:color="auto"/>
            </w:tcBorders>
          </w:tcPr>
          <w:p>
            <w:pPr>
              <w:spacing w:after="0"/>
              <w:rPr>
                <w:sz w:val="14"/>
                <w:szCs w:val="14"/>
                <w:color w:val="auto"/>
              </w:rPr>
            </w:pPr>
          </w:p>
        </w:tc>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76" w:lineRule="exact"/>
        <w:rPr>
          <w:sz w:val="20"/>
          <w:szCs w:val="20"/>
          <w:color w:val="auto"/>
        </w:rPr>
      </w:pPr>
    </w:p>
    <w:p>
      <w:pPr>
        <w:ind w:left="560" w:hanging="552"/>
        <w:spacing w:after="0"/>
        <w:tabs>
          <w:tab w:leader="none" w:pos="560" w:val="left"/>
        </w:tabs>
        <w:numPr>
          <w:ilvl w:val="0"/>
          <w:numId w:val="31"/>
        </w:numPr>
        <w:rPr>
          <w:rFonts w:ascii="Calibri" w:cs="Calibri" w:eastAsia="Calibri" w:hAnsi="Calibri"/>
          <w:sz w:val="16"/>
          <w:szCs w:val="16"/>
          <w:color w:val="auto"/>
        </w:rPr>
      </w:pPr>
      <w:r>
        <w:rPr>
          <w:rFonts w:ascii="Times New Roman" w:cs="Times New Roman" w:eastAsia="Times New Roman" w:hAnsi="Times New Roman"/>
          <w:sz w:val="18"/>
          <w:szCs w:val="18"/>
          <w:color w:val="auto"/>
        </w:rPr>
        <w:t>No individual country is greater than 10% of total property and equipment, net as of December 31, 2024 and 2023.</w:t>
      </w:r>
    </w:p>
    <w:p>
      <w:pPr>
        <w:spacing w:after="0" w:line="200" w:lineRule="exact"/>
        <w:rPr>
          <w:rFonts w:ascii="Calibri" w:cs="Calibri" w:eastAsia="Calibri" w:hAnsi="Calibri"/>
          <w:sz w:val="16"/>
          <w:szCs w:val="16"/>
          <w:color w:val="auto"/>
        </w:rPr>
      </w:pPr>
    </w:p>
    <w:p>
      <w:pPr>
        <w:spacing w:after="0" w:line="200" w:lineRule="exact"/>
        <w:rPr>
          <w:rFonts w:ascii="Calibri" w:cs="Calibri" w:eastAsia="Calibri" w:hAnsi="Calibri"/>
          <w:sz w:val="16"/>
          <w:szCs w:val="16"/>
          <w:color w:val="auto"/>
        </w:rPr>
      </w:pPr>
    </w:p>
    <w:p>
      <w:pPr>
        <w:spacing w:after="0" w:line="239" w:lineRule="exact"/>
        <w:rPr>
          <w:rFonts w:ascii="Calibri" w:cs="Calibri" w:eastAsia="Calibri" w:hAnsi="Calibri"/>
          <w:sz w:val="16"/>
          <w:szCs w:val="16"/>
          <w:color w:val="auto"/>
        </w:rPr>
      </w:pPr>
    </w:p>
    <w:p>
      <w:pPr>
        <w:ind w:left="5540"/>
        <w:spacing w:after="0"/>
        <w:rPr>
          <w:rFonts w:ascii="Calibri" w:cs="Calibri" w:eastAsia="Calibri" w:hAnsi="Calibri"/>
          <w:sz w:val="16"/>
          <w:szCs w:val="16"/>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RELATED-PARTY TRANSACTIONS</w:t>
      </w:r>
    </w:p>
    <w:p>
      <w:pPr>
        <w:spacing w:after="0" w:line="10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Director Nominee Agreements </w:t>
      </w:r>
      <w:r>
        <w:rPr>
          <w:rFonts w:ascii="Times New Roman" w:cs="Times New Roman" w:eastAsia="Times New Roman" w:hAnsi="Times New Roman"/>
          <w:sz w:val="18"/>
          <w:szCs w:val="18"/>
          <w:color w:val="auto"/>
        </w:rPr>
        <w:t>- On May 24, 2022, two members of the Board appointed as nominees under the Investor Rights Agreement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Verlinvest Beverages SA, a stockholder of the Company, entered into nominee agreements instructing the Company to pay all cash and equity compensation earned in connection with their board of director services to Verlinvest Beverages SA. Based on the aforementioned nominee agreements, RSUs granted to these two directors will be held by them as nominees for Verlinvest Beverages SA and, upon vesting of the RSUs, the shares will be transferred to Verlinvest Beverages SA. The nominee agreements are primarily between the directors and Verlinvest Beverages SA. The Company is a party to this arrangement solely to agree to the manner in which it would satisfy the compensation obligations to these directors. As of December 31, 2024, there is only one active member of the Board that is subject to this nominee agreement.</w:t>
      </w:r>
    </w:p>
    <w:p>
      <w:pPr>
        <w:spacing w:after="0" w:line="61" w:lineRule="exact"/>
        <w:rPr>
          <w:sz w:val="20"/>
          <w:szCs w:val="20"/>
          <w:color w:val="auto"/>
        </w:rPr>
      </w:pPr>
    </w:p>
    <w:p>
      <w:pPr>
        <w:ind w:right="80" w:firstLine="486"/>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Beverages 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("Verlinvest") and certain 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offerings by Verlinvest in May 2023 and November 2023, Verlinvest agreed to waive its right to reimbursement of legal fees for its counsel, and those expenses, in the amounts of $140 and $324, respectively, were not reimbursed by the Company.</w:t>
      </w:r>
    </w:p>
    <w:p>
      <w:pPr>
        <w:spacing w:after="0" w:line="89" w:lineRule="exact"/>
        <w:rPr>
          <w:sz w:val="20"/>
          <w:szCs w:val="20"/>
          <w:color w:val="auto"/>
        </w:rPr>
      </w:pPr>
    </w:p>
    <w:p>
      <w:pPr>
        <w:ind w:firstLine="551"/>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Distribution Agreement with Stockholder </w:t>
      </w:r>
      <w:r>
        <w:rPr>
          <w:rFonts w:ascii="Times New Roman" w:cs="Times New Roman" w:eastAsia="Times New Roman" w:hAnsi="Times New Roman"/>
          <w:sz w:val="18"/>
          <w:szCs w:val="18"/>
          <w:color w:val="auto"/>
        </w:rPr>
        <w:t>– On October 1, 2019 the Company entered into a distribution agreement with one of its stockholders.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agreement granted the stockholder the right to sell, resell and distribute designated products supplied by the Company within a specified territory. During the year ended December 31, 2023, the stockholder's ownership in the Company became less than 5%. Additionally, the distribution agreement with this stockholder ended during 2024. Revenue recognized related to this distribution agreement was $1,642, $4,048, and $6,375 for the years ended December 31, 2024, 2023, and 2022, respectively. The amounts due from the stockholder in Accounts Receivable, net were $83 and $244 as of December 31, 2024 and 2023 respectively. There were $0 amounts payable to the stockholder in Accounts payable as of December 31, 2024 and 2023. Related to this distribution arrangement, the Company and the stockholder had a service agreement in which the Company shared in the compensation costs of the stockholder’s employee managing the China market. The Company recorded $181, $151 and $234 for the years ended December 31, 2024, 2023, and 2022, respectively, in selling, general, and administrative expenses for this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5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ASSET HELD FOR SALE</w:t>
      </w:r>
    </w:p>
    <w:p>
      <w:pPr>
        <w:spacing w:after="0" w:line="30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 xml:space="preserve">The asset group held for sale consists of a farm in Ecuador which was the source of guayusa leaves for our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products. Because the Company was able to source guayusa through alternative means to produce the Runa products before the Company ceased offering this brand, as of September 30, 2022, the Company committed to a plan for disposal through sale. The Company performed a fair value assessment on the asset group held for sale consisting of land, a production plant, equipment and inventory. The Company obtained a valuation of the assets and adjusted the carrying amount down to their fair value less costs to sell, which resulted in a $619 impairment loss recorded in SG&amp;A during the third quarter of 2022. These assets held for sale did not qualify for discontinued operations reporting. As of September 30, 2023, since the asset had been held for sale beyond one year, the Company has reclassified it as held and used within property, plant and equipment and remeasured it at its fair value of $140, which resulted in an additional $363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 The remaining carrying amount was $0 as of December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0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space and machinery and equipment. Leases with an initial term of 12 months or less are not recognized on the Consolidated Balance Sheets.</w:t>
      </w:r>
    </w:p>
    <w:p>
      <w:pPr>
        <w:spacing w:after="0" w:line="54"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In January 2016, the Company entered into an operating lease for office space in New York, New York, which was set to expire in January 2023. In June 2022, the Company extended its lease agreement for the New York office to April 30, 2025 and remeasured the lease liability and right-of-use asset as of June 30, 2022. The Company pays for its proportionate share of building operating costs such as maintenance, utilities, and insurance that are treated as variable costs and excluded from the measurement of the lease.</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August 2024, the Company signed a lease agreement for a new office in New York, New York. The operating lease will commence in fiscal year 2025, ending in 2034 with an option to extend for an additional two years. Total undiscounted future payments for this new office lease are $15,766. Additionally, upon signing the agreement, the Company was required to establish a letter of credit of $920 which may be used in case of delinquency. As of December 31, 2024, the Company accounted for the letter of credit for $920 as restricted cash included in Prepaid and other current assets on the consolidated balance sheet. In addition, the Company signed a lease agreement for a new office in London, United Kingdom. The operating lease will</w:t>
      </w:r>
    </w:p>
    <w:p>
      <w:pPr>
        <w:spacing w:after="0" w:line="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commence in fiscal year 2025, ending in 2030. Total undiscounted future payments for this new office lease are $1,554</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Additionally, the Company agreed to establish a security deposit of $109, which is refundable at the end of the lease period.</w:t>
      </w:r>
    </w:p>
    <w:p>
      <w:pPr>
        <w:spacing w:after="0" w:line="1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maintains additional leases for office space and equipment in London and Singapore, which are operating leases. On March 31, 2022, the Company renewed the lease for the Singapore office, extending it through June 30, 2025, which is reflected in the lease term.</w:t>
      </w:r>
    </w:p>
    <w:p>
      <w:pPr>
        <w:spacing w:after="0" w:line="16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did not have any additional operating leases that have not yet commenced with future undiscounted lease payments.</w:t>
      </w:r>
    </w:p>
    <w:p>
      <w:pPr>
        <w:spacing w:after="0" w:line="16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lease cost, which are included within operating expenses in the accompanying consolidated statements of operations, are summarized in the following table (in thousands). Any variable lease costs are immaterial.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
        </w:trPr>
        <w:tc>
          <w:tcPr>
            <w:tcW w:w="5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for the Company’s operating leases: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Balance Sheet</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60" w:type="dxa"/>
            <w:vAlign w:val="bottom"/>
            <w:vMerge w:val="continue"/>
          </w:tcPr>
          <w:p>
            <w:pPr>
              <w:spacing w:after="0"/>
              <w:rPr>
                <w:sz w:val="22"/>
                <w:szCs w:val="22"/>
                <w:color w:val="auto"/>
              </w:rPr>
            </w:pPr>
          </w:p>
        </w:tc>
        <w:tc>
          <w:tcPr>
            <w:tcW w:w="2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9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liabilities:</w:t>
            </w: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9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following summarizes the weighted average remaining lease term and weighted average discount rate related to the Company’s right-of-use assets and lease liabilities recorded on the balance sheet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THE VITA COCO COMPANY, INC. AND SUBSIDIARIES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3"/>
        </w:trPr>
        <w:tc>
          <w:tcPr>
            <w:tcW w:w="8340" w:type="dxa"/>
            <w:vAlign w:val="bottom"/>
          </w:tcPr>
          <w:p>
            <w:pPr>
              <w:jc w:val="center"/>
              <w:ind w:left="28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7"/>
        </w:trPr>
        <w:tc>
          <w:tcPr>
            <w:tcW w:w="834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2024, 2023 AND 2022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834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94"/>
        </w:trPr>
        <w:tc>
          <w:tcPr>
            <w:tcW w:w="8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r>
      <w:tr>
        <w:trPr>
          <w:trHeight w:val="763"/>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3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792"/>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for the Company’s operating leases: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7"/>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bl>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maturity of the Company’s operating lease liabilities as of December 31,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Maturity of Lease Payments</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5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4"/>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5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50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50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5020" w:type="dxa"/>
            <w:vAlign w:val="bottom"/>
            <w:vMerge w:val="restart"/>
          </w:tcPr>
          <w:p>
            <w:pPr>
              <w:jc w:val="right"/>
              <w:ind w:right="299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50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78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80" w:type="dxa"/>
            <w:vAlign w:val="bottom"/>
            <w:tcBorders>
              <w:bottom w:val="single" w:sz="8" w:color="9A9A9A"/>
            </w:tcBorders>
          </w:tcPr>
          <w:p>
            <w:pPr>
              <w:spacing w:after="0"/>
              <w:rPr>
                <w:sz w:val="7"/>
                <w:szCs w:val="7"/>
                <w:color w:val="auto"/>
              </w:rPr>
            </w:pPr>
          </w:p>
        </w:tc>
        <w:tc>
          <w:tcPr>
            <w:tcW w:w="5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INVESTMENT IN UNCONSOLIDATED JOINT VENTURE</w:t>
      </w:r>
    </w:p>
    <w:p>
      <w:pPr>
        <w:spacing w:after="0" w:line="229"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consolidated statements of operations.</w:t>
      </w:r>
    </w:p>
    <w:p>
      <w:pPr>
        <w:spacing w:after="0" w:line="197" w:lineRule="exact"/>
        <w:rPr>
          <w:sz w:val="20"/>
          <w:szCs w:val="20"/>
          <w:color w:val="auto"/>
        </w:rPr>
      </w:pPr>
    </w:p>
    <w:p>
      <w:pPr>
        <w:ind w:right="140" w:firstLine="648"/>
        <w:spacing w:after="0" w:line="231" w:lineRule="auto"/>
        <w:rPr>
          <w:sz w:val="20"/>
          <w:szCs w:val="20"/>
          <w:color w:val="auto"/>
        </w:rPr>
      </w:pPr>
      <w:r>
        <w:rPr>
          <w:rFonts w:ascii="Times New Roman" w:cs="Times New Roman" w:eastAsia="Times New Roman" w:hAnsi="Times New Roman"/>
          <w:sz w:val="18"/>
          <w:szCs w:val="18"/>
          <w:color w:val="auto"/>
        </w:rPr>
        <w:t>Through one of its subsidiaries, the Company has a 60% joint venture interest in a company, Coco Ventures Limited, which provides for the development, marketing, distribution and branding of coconut water-based products under the Vita Coco brand in China. It is anticipated that Coco Ventures will initially purchase coconut water products from the Company. The Company acquired this interest on August 2, 2024, the date on which the Company obtained significant influence, for $0.6 million to be paid in cash within one year. The Company will record the initial investment in the joint venture upon cash payment. Since the Company is deemed not to have a controlling interest in Coco Ventures Limited, the Company’s investment will be accounted using the equity method of accounting in accordance with ASC 323. As of December 31, 2024, Coco Ventures Limited had not completed any activity and had no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w:t>
      </w:r>
    </w:p>
    <w:p>
      <w:pPr>
        <w:spacing w:after="0" w:line="2"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right="340" w:firstLine="648"/>
        <w:spacing w:after="0" w:line="236"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w:t>
      </w:r>
    </w:p>
    <w:p>
      <w:pPr>
        <w:ind w:right="60"/>
        <w:spacing w:after="0" w:line="226" w:lineRule="auto"/>
        <w:rPr>
          <w:sz w:val="20"/>
          <w:szCs w:val="20"/>
          <w:color w:val="auto"/>
        </w:rPr>
      </w:pPr>
      <w:r>
        <w:rPr>
          <w:rFonts w:ascii="Times New Roman" w:cs="Times New Roman" w:eastAsia="Times New Roman" w:hAnsi="Times New Roman"/>
          <w:sz w:val="18"/>
          <w:szCs w:val="18"/>
          <w:color w:val="auto"/>
        </w:rPr>
        <w:t>under the Exchange Act). Based on that evaluation, our principal executive officer and principal financial officer concluded that, as of December 31, 2024, our disclosure controls and procedures were effective at the reasonable assurance level.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in accordance with accounting principles generally accepted in the United States of America.</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assessment of the</w:t>
      </w:r>
    </w:p>
    <w:p>
      <w:pPr>
        <w:spacing w:after="0" w:line="1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effectiveness of the Company’s internal control over financial reporting based on criteria established in “Internal Control—Integrated Framework (2013)” issued by the Committee of Sponsoring Organizations of the Treadway Commission ("COSO"). Based on this assessment, the management of the Company concluded that the Company’s internal control over financial reporting was effective as of December 31, 2024. The Company's internal control over financial reporting as of December 31, 2024 has been audited by Deloitte &amp; Touche LLP as stated in their report which appears 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w:t>
      </w: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accordance with the disclosure requirements set forth in Item 408(a) of Regulation S-K, the following table discloses any officer (as defined in Rule 16a-1(f) under the Exchange Act), director, or entity controlled by such officer or director who adopted or terminated a contract, instruction, or written plan for the sale of securities of the Company intended to satisfy the affirmative defense of Rule 10b5-1(c) during the quarterly period ended December 31, 2024:</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Action Taken</w:t>
            </w:r>
          </w:p>
        </w:tc>
        <w:tc>
          <w:tcPr>
            <w:tcW w:w="1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3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Duration of Trading Aggregate Number of</w:t>
            </w:r>
          </w:p>
        </w:tc>
      </w:tr>
      <w:tr>
        <w:trPr>
          <w:trHeight w:val="245"/>
        </w:trPr>
        <w:tc>
          <w:tcPr>
            <w:tcW w:w="11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 Sold</w:t>
            </w:r>
          </w:p>
        </w:tc>
      </w:tr>
      <w:tr>
        <w:trPr>
          <w:trHeight w:val="198"/>
        </w:trPr>
        <w:tc>
          <w:tcPr>
            <w:tcW w:w="1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The Michael</w:t>
            </w:r>
          </w:p>
        </w:tc>
        <w:tc>
          <w:tcPr>
            <w:tcW w:w="18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 trust for the</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December 13, 2024</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14, 2025 to</w:t>
            </w:r>
          </w:p>
        </w:tc>
        <w:tc>
          <w:tcPr>
            <w:tcW w:w="1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100,000 shares</w:t>
            </w: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Kirban 2010</w:t>
            </w:r>
          </w:p>
        </w:tc>
        <w:tc>
          <w:tcPr>
            <w:tcW w:w="18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children of Michael</w:t>
            </w:r>
          </w:p>
        </w:tc>
        <w:tc>
          <w:tcPr>
            <w:tcW w:w="1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March 31, 2026</w:t>
            </w: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of Common Stock</w:t>
            </w: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Trust</w:t>
            </w:r>
          </w:p>
        </w:tc>
        <w:tc>
          <w:tcPr>
            <w:tcW w:w="18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Kirban (Executive</w:t>
            </w:r>
          </w:p>
        </w:tc>
        <w:tc>
          <w:tcPr>
            <w:tcW w:w="1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w:t>
            </w: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90"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such required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8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such information is incorporated herein by reference.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listing of the consolidated financial statements included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Separate financial schedules have been omitted because such information is inapplicable or is included in the financial statements or notes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23"/>
        </w:trPr>
        <w:tc>
          <w:tcPr>
            <w:tcW w:w="102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80" w:type="dxa"/>
            <w:vAlign w:val="bottom"/>
            <w:gridSpan w:val="3"/>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vMerge w:val="restart"/>
          </w:tcPr>
          <w:p>
            <w:pPr>
              <w:spacing w:after="0"/>
              <w:rPr>
                <w:sz w:val="10"/>
                <w:szCs w:val="10"/>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0"/>
                <w:szCs w:val="10"/>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vMerge w:val="restart"/>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 Herewith</w:t>
            </w: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4"/>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Second Amended and Restated Certificate of</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001-40950</w:t>
            </w:r>
          </w:p>
        </w:tc>
        <w:tc>
          <w:tcPr>
            <w:tcW w:w="100" w:type="dxa"/>
            <w:vAlign w:val="bottom"/>
          </w:tcPr>
          <w:p>
            <w:pPr>
              <w:spacing w:after="0"/>
              <w:rPr>
                <w:sz w:val="24"/>
                <w:szCs w:val="24"/>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99"/>
              </w:rPr>
              <w:t>10/25/21</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gridSpan w:val="4"/>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Incorporation of The Vita Coco Company, Inc.</w:t>
              </w:r>
            </w:hyperlink>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100" w:type="dxa"/>
            <w:vAlign w:val="bottom"/>
            <w:gridSpan w:val="32"/>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Bylaws of The Vita Coco</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10/25/21</w:t>
            </w:r>
          </w:p>
        </w:tc>
        <w:tc>
          <w:tcPr>
            <w:tcW w:w="0" w:type="dxa"/>
            <w:vAlign w:val="bottom"/>
          </w:tcPr>
          <w:p>
            <w:pPr>
              <w:spacing w:after="0"/>
              <w:rPr>
                <w:sz w:val="1"/>
                <w:szCs w:val="1"/>
                <w:color w:val="auto"/>
              </w:rPr>
            </w:pPr>
          </w:p>
        </w:tc>
      </w:tr>
      <w:tr>
        <w:trPr>
          <w:trHeight w:val="156"/>
        </w:trPr>
        <w:tc>
          <w:tcPr>
            <w:tcW w:w="10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Company, Inc.</w:t>
              </w:r>
            </w:hyperlink>
          </w:p>
        </w:tc>
        <w:tc>
          <w:tcPr>
            <w:tcW w:w="24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gridSpan w:val="3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Specimen Common Stock Certificate of The Vita Coco</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10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Company, Inc.</w:t>
              </w:r>
            </w:hyperlink>
          </w:p>
        </w:tc>
        <w:tc>
          <w:tcPr>
            <w:tcW w:w="29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1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Description of Capital Stock.</w:t>
              </w:r>
            </w:hyperlink>
          </w:p>
        </w:tc>
        <w:tc>
          <w:tcPr>
            <w:tcW w:w="2000" w:type="dxa"/>
            <w:vAlign w:val="bottom"/>
            <w:gridSpan w:val="22"/>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3/14/23</w:t>
            </w:r>
          </w:p>
        </w:tc>
        <w:tc>
          <w:tcPr>
            <w:tcW w:w="0" w:type="dxa"/>
            <w:vAlign w:val="bottom"/>
          </w:tcPr>
          <w:p>
            <w:pPr>
              <w:spacing w:after="0"/>
              <w:rPr>
                <w:sz w:val="1"/>
                <w:szCs w:val="1"/>
                <w:color w:val="auto"/>
              </w:rPr>
            </w:pPr>
          </w:p>
        </w:tc>
      </w:tr>
      <w:tr>
        <w:trPr>
          <w:trHeight w:val="223"/>
        </w:trPr>
        <w:tc>
          <w:tcPr>
            <w:tcW w:w="4100" w:type="dxa"/>
            <w:vAlign w:val="bottom"/>
            <w:gridSpan w:val="3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Registration Rights Agreement, by and among The Vita</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10/25/21</w:t>
            </w:r>
          </w:p>
        </w:tc>
        <w:tc>
          <w:tcPr>
            <w:tcW w:w="0" w:type="dxa"/>
            <w:vAlign w:val="bottom"/>
          </w:tcPr>
          <w:p>
            <w:pPr>
              <w:spacing w:after="0"/>
              <w:rPr>
                <w:sz w:val="1"/>
                <w:szCs w:val="1"/>
                <w:color w:val="auto"/>
              </w:rPr>
            </w:pPr>
          </w:p>
        </w:tc>
      </w:tr>
      <w:tr>
        <w:trPr>
          <w:trHeight w:val="155"/>
        </w:trPr>
        <w:tc>
          <w:tcPr>
            <w:tcW w:w="402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Coco Company, Inc. and certain security holders of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Vita Coco Company, Inc., dated as of October 20, 2021.</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gridSpan w:val="3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Investor Rights Agreement, among The Vita Coco</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10/25/21</w:t>
            </w:r>
          </w:p>
        </w:tc>
        <w:tc>
          <w:tcPr>
            <w:tcW w:w="0" w:type="dxa"/>
            <w:vAlign w:val="bottom"/>
          </w:tcPr>
          <w:p>
            <w:pPr>
              <w:spacing w:after="0"/>
              <w:rPr>
                <w:sz w:val="1"/>
                <w:szCs w:val="1"/>
                <w:color w:val="auto"/>
              </w:rPr>
            </w:pPr>
          </w:p>
        </w:tc>
      </w:tr>
      <w:tr>
        <w:trPr>
          <w:trHeight w:val="156"/>
        </w:trPr>
        <w:tc>
          <w:tcPr>
            <w:tcW w:w="36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Company, Inc., Verlinvest Beverages SA, Michael</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Kirban and Ira Liran, dated as of October 20, 2021.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Form of Indenture</w:t>
              </w:r>
            </w:hyperlink>
          </w:p>
        </w:tc>
        <w:tc>
          <w:tcPr>
            <w:tcW w:w="2780" w:type="dxa"/>
            <w:vAlign w:val="bottom"/>
            <w:gridSpan w:val="25"/>
          </w:tcPr>
          <w:p>
            <w:pPr>
              <w:spacing w:after="0"/>
              <w:rPr>
                <w:sz w:val="19"/>
                <w:szCs w:val="19"/>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333-271583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5/2/23</w:t>
            </w:r>
          </w:p>
        </w:tc>
        <w:tc>
          <w:tcPr>
            <w:tcW w:w="0" w:type="dxa"/>
            <w:vAlign w:val="bottom"/>
          </w:tcPr>
          <w:p>
            <w:pPr>
              <w:spacing w:after="0"/>
              <w:rPr>
                <w:sz w:val="1"/>
                <w:szCs w:val="1"/>
                <w:color w:val="auto"/>
              </w:rPr>
            </w:pPr>
          </w:p>
        </w:tc>
      </w:tr>
      <w:tr>
        <w:trPr>
          <w:trHeight w:val="237"/>
        </w:trPr>
        <w:tc>
          <w:tcPr>
            <w:tcW w:w="4100" w:type="dxa"/>
            <w:vAlign w:val="bottom"/>
            <w:gridSpan w:val="3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Amendment to Credit Agreement, by and between All</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w:t>
            </w: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39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Market Inc., the Guarantors, and Wells Fargo Bank,</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National Association, dated as of January 11, 2021.</w:t>
              </w:r>
            </w:hyperlink>
          </w:p>
        </w:tc>
        <w:tc>
          <w:tcPr>
            <w:tcW w:w="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gridSpan w:val="3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Second Amendment to Credit Agreement, by and</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w:t>
            </w: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32"/>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between All Market Inc., the Guarantors, and Wells</w:t>
              </w:r>
            </w:hyperlink>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Fargo Bank, National Association, dated as of May</w:t>
              </w:r>
            </w:hyperlink>
          </w:p>
        </w:tc>
        <w:tc>
          <w:tcPr>
            <w:tcW w:w="260" w:type="dxa"/>
            <w:vAlign w:val="bottom"/>
            <w:gridSpan w:val="7"/>
          </w:tcPr>
          <w:p>
            <w:pPr>
              <w:jc w:val="right"/>
              <w:ind w:right="20"/>
              <w:spacing w:after="0" w:line="156"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21,</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3"/>
              </w:rPr>
            </w:pPr>
            <w:hyperlink r:id="rId165">
              <w:r>
                <w:rPr>
                  <w:rFonts w:ascii="Times New Roman" w:cs="Times New Roman" w:eastAsia="Times New Roman" w:hAnsi="Times New Roman"/>
                  <w:sz w:val="18"/>
                  <w:szCs w:val="18"/>
                  <w:color w:val="0000FF"/>
                  <w:w w:val="93"/>
                </w:rPr>
                <w:t>2021.</w:t>
              </w:r>
            </w:hyperlink>
          </w:p>
        </w:tc>
        <w:tc>
          <w:tcPr>
            <w:tcW w:w="4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Third Amendment to Credit Agreement, by and</w:t>
              </w:r>
            </w:hyperlink>
          </w:p>
        </w:tc>
        <w:tc>
          <w:tcPr>
            <w:tcW w:w="660" w:type="dxa"/>
            <w:vAlign w:val="bottom"/>
            <w:gridSpan w:val="19"/>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001-10950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c>
          <w:tcPr>
            <w:tcW w:w="0" w:type="dxa"/>
            <w:vAlign w:val="bottom"/>
          </w:tcPr>
          <w:p>
            <w:pPr>
              <w:spacing w:after="0"/>
              <w:rPr>
                <w:sz w:val="1"/>
                <w:szCs w:val="1"/>
                <w:color w:val="auto"/>
              </w:rPr>
            </w:pPr>
          </w:p>
        </w:tc>
      </w:tr>
      <w:tr>
        <w:trPr>
          <w:trHeight w:val="156"/>
        </w:trPr>
        <w:tc>
          <w:tcPr>
            <w:tcW w:w="4100" w:type="dxa"/>
            <w:vAlign w:val="bottom"/>
            <w:gridSpan w:val="32"/>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between The Vita Coco Company, Inc., the Guarantors,</w:t>
              </w:r>
            </w:hyperlink>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and Wells Fargo Bank, National Association, dated as</w:t>
              </w:r>
            </w:hyperlink>
          </w:p>
        </w:tc>
        <w:tc>
          <w:tcPr>
            <w:tcW w:w="1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of November 2, 2021</w:t>
              </w:r>
              <w:r>
                <w:rPr>
                  <w:rFonts w:ascii="Times New Roman" w:cs="Times New Roman" w:eastAsia="Times New Roman" w:hAnsi="Times New Roman"/>
                  <w:sz w:val="18"/>
                  <w:szCs w:val="18"/>
                  <w:color w:val="000000"/>
                </w:rPr>
                <w:t>.</w:t>
              </w:r>
            </w:hyperlink>
          </w:p>
        </w:tc>
        <w:tc>
          <w:tcPr>
            <w:tcW w:w="100" w:type="dxa"/>
            <w:vAlign w:val="bottom"/>
            <w:gridSpan w:val="3"/>
          </w:tcPr>
          <w:p>
            <w:pPr>
              <w:spacing w:after="0"/>
              <w:rPr>
                <w:sz w:val="14"/>
                <w:szCs w:val="14"/>
                <w:color w:val="auto"/>
              </w:rPr>
            </w:pPr>
          </w:p>
        </w:tc>
        <w:tc>
          <w:tcPr>
            <w:tcW w:w="120" w:type="dxa"/>
            <w:vAlign w:val="bottom"/>
            <w:gridSpan w:val="5"/>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Fourth Amendment to the Credit Agreement, by and</w:t>
              </w:r>
            </w:hyperlink>
          </w:p>
        </w:tc>
        <w:tc>
          <w:tcPr>
            <w:tcW w:w="320" w:type="dxa"/>
            <w:vAlign w:val="bottom"/>
            <w:gridSpan w:val="10"/>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3/14/23</w:t>
            </w:r>
          </w:p>
        </w:tc>
        <w:tc>
          <w:tcPr>
            <w:tcW w:w="0" w:type="dxa"/>
            <w:vAlign w:val="bottom"/>
          </w:tcPr>
          <w:p>
            <w:pPr>
              <w:spacing w:after="0"/>
              <w:rPr>
                <w:sz w:val="1"/>
                <w:szCs w:val="1"/>
                <w:color w:val="auto"/>
              </w:rPr>
            </w:pPr>
          </w:p>
        </w:tc>
      </w:tr>
      <w:tr>
        <w:trPr>
          <w:trHeight w:val="155"/>
        </w:trPr>
        <w:tc>
          <w:tcPr>
            <w:tcW w:w="4100" w:type="dxa"/>
            <w:vAlign w:val="bottom"/>
            <w:gridSpan w:val="32"/>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between The Vita Coco Company, Inc., the Guarantors,</w:t>
              </w:r>
            </w:hyperlink>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and Wells Fargo Bank, National Association, dated as</w:t>
              </w:r>
            </w:hyperlink>
          </w:p>
        </w:tc>
        <w:tc>
          <w:tcPr>
            <w:tcW w:w="1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of December 5, 2022.</w:t>
              </w:r>
            </w:hyperlink>
          </w:p>
        </w:tc>
        <w:tc>
          <w:tcPr>
            <w:tcW w:w="100" w:type="dxa"/>
            <w:vAlign w:val="bottom"/>
            <w:gridSpan w:val="3"/>
          </w:tcPr>
          <w:p>
            <w:pPr>
              <w:spacing w:after="0"/>
              <w:rPr>
                <w:sz w:val="14"/>
                <w:szCs w:val="14"/>
                <w:color w:val="auto"/>
              </w:rPr>
            </w:pPr>
          </w:p>
        </w:tc>
        <w:tc>
          <w:tcPr>
            <w:tcW w:w="120" w:type="dxa"/>
            <w:vAlign w:val="bottom"/>
            <w:gridSpan w:val="5"/>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vMerge w:val="restart"/>
          </w:tcPr>
          <w:p>
            <w:pPr>
              <w:ind w:left="224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Fifth Amendment to the Credit Agreement, by and</w:t>
            </w:r>
          </w:p>
        </w:tc>
        <w:tc>
          <w:tcPr>
            <w:tcW w:w="440" w:type="dxa"/>
            <w:vAlign w:val="bottom"/>
            <w:gridSpan w:val="14"/>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100" w:type="dxa"/>
            <w:vAlign w:val="bottom"/>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between The Vita Coco Company, Inc., the Guarantors,</w:t>
            </w: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80" w:type="dxa"/>
            <w:vAlign w:val="bottom"/>
            <w:tcBorders>
              <w:top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and Wells Fargo Bank, National Association, dated as</w:t>
            </w:r>
          </w:p>
        </w:tc>
        <w:tc>
          <w:tcPr>
            <w:tcW w:w="12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8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of February 14, 2025.</w:t>
            </w:r>
          </w:p>
        </w:tc>
        <w:tc>
          <w:tcPr>
            <w:tcW w:w="220" w:type="dxa"/>
            <w:vAlign w:val="bottom"/>
            <w:gridSpan w:val="8"/>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gridSpan w:val="3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All Market Inc. 2014 Stock Option And Restricted</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10/12/21</w:t>
            </w:r>
          </w:p>
        </w:tc>
        <w:tc>
          <w:tcPr>
            <w:tcW w:w="0" w:type="dxa"/>
            <w:vAlign w:val="bottom"/>
          </w:tcPr>
          <w:p>
            <w:pPr>
              <w:spacing w:after="0"/>
              <w:rPr>
                <w:sz w:val="1"/>
                <w:szCs w:val="1"/>
                <w:color w:val="auto"/>
              </w:rPr>
            </w:pPr>
          </w:p>
        </w:tc>
      </w:tr>
      <w:tr>
        <w:trPr>
          <w:trHeight w:val="156"/>
        </w:trPr>
        <w:tc>
          <w:tcPr>
            <w:tcW w:w="8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Stock Plan.</w:t>
              </w:r>
            </w:hyperlink>
          </w:p>
        </w:tc>
        <w:tc>
          <w:tcPr>
            <w:tcW w:w="2840" w:type="dxa"/>
            <w:vAlign w:val="bottom"/>
            <w:tcBorders>
              <w:top w:val="single" w:sz="8" w:color="0000FF"/>
            </w:tcBorders>
            <w:gridSpan w:val="15"/>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9"/>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gridSpan w:val="3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Vita Coco Company, Inc. 2021 Incentive Award</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c>
          <w:tcPr>
            <w:tcW w:w="0" w:type="dxa"/>
            <w:vAlign w:val="bottom"/>
          </w:tcPr>
          <w:p>
            <w:pPr>
              <w:spacing w:after="0"/>
              <w:rPr>
                <w:sz w:val="1"/>
                <w:szCs w:val="1"/>
                <w:color w:val="auto"/>
              </w:rPr>
            </w:pPr>
          </w:p>
        </w:tc>
      </w:tr>
      <w:tr>
        <w:trPr>
          <w:trHeight w:val="155"/>
        </w:trPr>
        <w:tc>
          <w:tcPr>
            <w:tcW w:w="38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Plan</w:t>
              </w:r>
              <w:r>
                <w:rPr>
                  <w:rFonts w:ascii="Times New Roman" w:cs="Times New Roman" w:eastAsia="Times New Roman" w:hAnsi="Times New Roman"/>
                  <w:sz w:val="18"/>
                  <w:szCs w:val="18"/>
                  <w:color w:val="000000"/>
                </w:rPr>
                <w:t>.</w:t>
              </w:r>
            </w:hyperlink>
          </w:p>
        </w:tc>
        <w:tc>
          <w:tcPr>
            <w:tcW w:w="300" w:type="dxa"/>
            <w:vAlign w:val="bottom"/>
            <w:gridSpan w:val="9"/>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3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The Vita Coco Company, Inc. 2021 Employee Stock</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10/12/21</w:t>
            </w:r>
          </w:p>
        </w:tc>
        <w:tc>
          <w:tcPr>
            <w:tcW w:w="0" w:type="dxa"/>
            <w:vAlign w:val="bottom"/>
          </w:tcPr>
          <w:p>
            <w:pPr>
              <w:spacing w:after="0"/>
              <w:rPr>
                <w:sz w:val="1"/>
                <w:szCs w:val="1"/>
                <w:color w:val="auto"/>
              </w:rPr>
            </w:pPr>
          </w:p>
        </w:tc>
      </w:tr>
      <w:tr>
        <w:trPr>
          <w:trHeight w:val="155"/>
        </w:trPr>
        <w:tc>
          <w:tcPr>
            <w:tcW w:w="37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Purchase Plan</w:t>
              </w:r>
              <w:r>
                <w:rPr>
                  <w:rFonts w:ascii="Times New Roman" w:cs="Times New Roman" w:eastAsia="Times New Roman" w:hAnsi="Times New Roman"/>
                  <w:sz w:val="18"/>
                  <w:szCs w:val="18"/>
                  <w:color w:val="000000"/>
                </w:rPr>
                <w:t>.</w:t>
              </w:r>
            </w:hyperlink>
          </w:p>
        </w:tc>
        <w:tc>
          <w:tcPr>
            <w:tcW w:w="320" w:type="dxa"/>
            <w:vAlign w:val="bottom"/>
            <w:gridSpan w:val="10"/>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4"/>
            <w:shd w:val="clear" w:color="auto" w:fill="0000FF"/>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3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Stock Option Grant Notice</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c>
          <w:tcPr>
            <w:tcW w:w="0" w:type="dxa"/>
            <w:vAlign w:val="bottom"/>
          </w:tcPr>
          <w:p>
            <w:pPr>
              <w:spacing w:after="0"/>
              <w:rPr>
                <w:sz w:val="1"/>
                <w:szCs w:val="1"/>
                <w:color w:val="auto"/>
              </w:rPr>
            </w:pPr>
          </w:p>
        </w:tc>
      </w:tr>
      <w:tr>
        <w:trPr>
          <w:trHeight w:val="20"/>
        </w:trPr>
        <w:tc>
          <w:tcPr>
            <w:tcW w:w="2560" w:type="dxa"/>
            <w:vAlign w:val="bottom"/>
            <w:gridSpan w:val="11"/>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Form of Restricted Stock Grant Notice</w:t>
              </w:r>
            </w:hyperlink>
          </w:p>
        </w:tc>
        <w:tc>
          <w:tcPr>
            <w:tcW w:w="1300" w:type="dxa"/>
            <w:vAlign w:val="bottom"/>
            <w:gridSpan w:val="20"/>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c>
          <w:tcPr>
            <w:tcW w:w="0" w:type="dxa"/>
            <w:vAlign w:val="bottom"/>
          </w:tcPr>
          <w:p>
            <w:pPr>
              <w:spacing w:after="0"/>
              <w:rPr>
                <w:sz w:val="1"/>
                <w:szCs w:val="1"/>
                <w:color w:val="auto"/>
              </w:rPr>
            </w:pPr>
          </w:p>
        </w:tc>
      </w:tr>
    </w:tbl>
    <w:p>
      <w:pPr>
        <w:spacing w:after="0" w:line="204" w:lineRule="exact"/>
        <w:rPr>
          <w:sz w:val="20"/>
          <w:szCs w:val="20"/>
          <w:color w:val="auto"/>
        </w:rPr>
      </w:pPr>
    </w:p>
    <w:p>
      <w:pPr>
        <w:sectPr>
          <w:pgSz w:w="11900" w:h="16838" w:orient="portrait"/>
          <w:cols w:equalWidth="0" w:num="2">
            <w:col w:w="520" w:space="520"/>
            <w:col w:w="10200"/>
          </w:cols>
          <w:pgMar w:left="320" w:top="108"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120" w:type="dxa"/>
            <w:vAlign w:val="bottom"/>
            <w:gridSpan w:val="1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Employment Agreement, by and</w:t>
              </w:r>
            </w:hyperlink>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001-40950</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11/17/21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between The Vita Coco Company, Inc. and Michael</w:t>
              </w:r>
            </w:hyperlink>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72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Kirban, dated October 20, 2021.</w:t>
              </w:r>
            </w:hyperlink>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120" w:type="dxa"/>
            <w:vAlign w:val="bottom"/>
            <w:gridSpan w:val="13"/>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First Amendment to Employment Agreement, by and</w:t>
              </w:r>
            </w:hyperlink>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001-40950</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11/10/22</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8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between The Vita Coco Company, Inc. and Michael</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72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Kirban, effective as of May 2, 2022.</w:t>
              </w:r>
            </w:hyperlink>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120" w:type="dxa"/>
            <w:vAlign w:val="bottom"/>
            <w:gridSpan w:val="1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Second Amendment to Amended and Restated</w:t>
              </w:r>
            </w:hyperlink>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001-40950</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05/02/2024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Employment Agreement, by and between The</w:t>
              </w:r>
            </w:hyperlink>
          </w:p>
        </w:tc>
        <w:tc>
          <w:tcPr>
            <w:tcW w:w="3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0"/>
              </w:rPr>
            </w:pPr>
            <w:hyperlink r:id="rId176">
              <w:r>
                <w:rPr>
                  <w:rFonts w:ascii="Times New Roman" w:cs="Times New Roman" w:eastAsia="Times New Roman" w:hAnsi="Times New Roman"/>
                  <w:sz w:val="18"/>
                  <w:szCs w:val="18"/>
                  <w:color w:val="0000FF"/>
                  <w:w w:val="90"/>
                </w:rPr>
                <w:t>Vita</w:t>
              </w:r>
            </w:hyperlink>
          </w:p>
        </w:tc>
        <w:tc>
          <w:tcPr>
            <w:tcW w:w="460" w:type="dxa"/>
            <w:vAlign w:val="bottom"/>
            <w:gridSpan w:val="6"/>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20" w:type="dxa"/>
            <w:vAlign w:val="bottom"/>
            <w:gridSpan w:val="13"/>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Coco Company, Inc. and Michael Kirban, dated March</w:t>
              </w:r>
            </w:hyperlink>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76">
              <w:r>
                <w:rPr>
                  <w:rFonts w:ascii="Times New Roman" w:cs="Times New Roman" w:eastAsia="Times New Roman" w:hAnsi="Times New Roman"/>
                  <w:sz w:val="18"/>
                  <w:szCs w:val="18"/>
                  <w:color w:val="0000FF"/>
                  <w:w w:val="95"/>
                </w:rPr>
                <w:t>4, 2024.</w:t>
              </w:r>
            </w:hyperlink>
          </w:p>
        </w:tc>
        <w:tc>
          <w:tcPr>
            <w:tcW w:w="10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120" w:type="dxa"/>
            <w:vAlign w:val="bottom"/>
            <w:gridSpan w:val="13"/>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and Restated Employment Agreement, by and</w:t>
              </w:r>
            </w:hyperlink>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001-40950</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11/17/21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between The Vita Coco Company, Inc. and Martin</w:t>
              </w:r>
            </w:hyperlink>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Roper, dated October 20, 2021.</w:t>
              </w:r>
            </w:hyperlink>
          </w:p>
        </w:tc>
        <w:tc>
          <w:tcPr>
            <w:tcW w:w="1300" w:type="dxa"/>
            <w:vAlign w:val="bottom"/>
            <w:tcBorders>
              <w:top w:val="single" w:sz="8" w:color="0000FF"/>
            </w:tcBorders>
            <w:gridSpan w:val="3"/>
          </w:tcPr>
          <w:p>
            <w:pPr>
              <w:spacing w:after="0"/>
              <w:rPr>
                <w:sz w:val="14"/>
                <w:szCs w:val="14"/>
                <w:color w:val="auto"/>
              </w:rPr>
            </w:pPr>
          </w:p>
        </w:tc>
        <w:tc>
          <w:tcPr>
            <w:tcW w:w="320" w:type="dxa"/>
            <w:vAlign w:val="bottom"/>
            <w:gridSpan w:val="4"/>
          </w:tcPr>
          <w:p>
            <w:pPr>
              <w:spacing w:after="0"/>
              <w:rPr>
                <w:sz w:val="14"/>
                <w:szCs w:val="14"/>
                <w:color w:val="auto"/>
              </w:rPr>
            </w:pPr>
          </w:p>
        </w:tc>
        <w:tc>
          <w:tcPr>
            <w:tcW w:w="18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vMerge w:val="restart"/>
          </w:tcPr>
          <w:p>
            <w:pPr>
              <w:ind w:left="22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The Vita Coco Company, Inc. Non-Employee Director</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Compensation Policy.</w:t>
            </w:r>
          </w:p>
        </w:tc>
        <w:tc>
          <w:tcPr>
            <w:tcW w:w="2360" w:type="dxa"/>
            <w:vAlign w:val="bottom"/>
            <w:tcBorders>
              <w:top w:val="single" w:sz="8" w:color="0000FF"/>
            </w:tcBorders>
            <w:gridSpan w:val="8"/>
          </w:tcPr>
          <w:p>
            <w:pPr>
              <w:spacing w:after="0"/>
              <w:rPr>
                <w:sz w:val="13"/>
                <w:szCs w:val="13"/>
                <w:color w:val="auto"/>
              </w:rPr>
            </w:pPr>
          </w:p>
        </w:tc>
        <w:tc>
          <w:tcPr>
            <w:tcW w:w="1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r>
        <w:rPr>
          <w:rFonts w:ascii="Times New Roman" w:cs="Times New Roman" w:eastAsia="Times New Roman" w:hAnsi="Times New Roman"/>
          <w:sz w:val="21"/>
          <w:szCs w:val="21"/>
          <w:color w:val="auto"/>
        </w:rPr>
        <w:t>+†</w:t>
      </w: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21"/>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Indemnification Agreement.</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10/12/21</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Employment Agreement, by and between All Market</w:t>
              </w:r>
            </w:hyperlink>
          </w:p>
        </w:tc>
        <w:tc>
          <w:tcPr>
            <w:tcW w:w="260" w:type="dxa"/>
            <w:vAlign w:val="bottom"/>
            <w:gridSpan w:val="4"/>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4120" w:type="dxa"/>
            <w:vAlign w:val="bottom"/>
            <w:gridSpan w:val="21"/>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 and Jonathan Burth, dated as of February 10, 2020.</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Employment Agreement, by and between All Market</w:t>
              </w:r>
            </w:hyperlink>
          </w:p>
        </w:tc>
        <w:tc>
          <w:tcPr>
            <w:tcW w:w="140" w:type="dxa"/>
            <w:vAlign w:val="bottom"/>
            <w:tcBorders>
              <w:top w:val="single" w:sz="8" w:color="0000FF"/>
            </w:tcBorders>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4120" w:type="dxa"/>
            <w:vAlign w:val="bottom"/>
            <w:gridSpan w:val="21"/>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Inc. and Charles Van Es, dated as of February 10, 2020.</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0000FF"/>
            </w:tcBorders>
            <w:gridSpan w:val="19"/>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Employment Agreement, by and between All Market</w:t>
              </w:r>
            </w:hyperlink>
          </w:p>
        </w:tc>
        <w:tc>
          <w:tcPr>
            <w:tcW w:w="120" w:type="dxa"/>
            <w:vAlign w:val="bottom"/>
            <w:gridSpan w:val="2"/>
          </w:tcPr>
          <w:p>
            <w:pPr>
              <w:spacing w:after="0"/>
              <w:rPr>
                <w:sz w:val="19"/>
                <w:szCs w:val="19"/>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38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 and Jane Prior, dated as of February 10, 2020.</w:t>
              </w:r>
            </w:hyperlink>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gridSpan w:val="21"/>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Employment Agreement, by and between The Vita</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155"/>
        </w:trPr>
        <w:tc>
          <w:tcPr>
            <w:tcW w:w="37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Coco Company, Inc., and Corey Baker, dated as of</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March 7, 2023</w:t>
              </w:r>
            </w:hyperlink>
          </w:p>
        </w:tc>
        <w:tc>
          <w:tcPr>
            <w:tcW w:w="2620" w:type="dxa"/>
            <w:vAlign w:val="bottom"/>
            <w:tcBorders>
              <w:top w:val="single" w:sz="8" w:color="0000FF"/>
            </w:tcBorders>
            <w:gridSpan w:val="10"/>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gridSpan w:val="21"/>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Manufacturing and Purchasing Agreement, by and</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36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among Century Agriculture Corporation and All</w:t>
              </w:r>
            </w:hyperlink>
          </w:p>
        </w:tc>
        <w:tc>
          <w:tcPr>
            <w:tcW w:w="460" w:type="dxa"/>
            <w:vAlign w:val="bottom"/>
            <w:gridSpan w:val="11"/>
          </w:tcPr>
          <w:p>
            <w:pPr>
              <w:spacing w:after="0" w:line="156" w:lineRule="exact"/>
              <w:rPr>
                <w:rFonts w:ascii="Times New Roman" w:cs="Times New Roman" w:eastAsia="Times New Roman" w:hAnsi="Times New Roman"/>
                <w:sz w:val="18"/>
                <w:szCs w:val="18"/>
                <w:color w:val="0000FF"/>
                <w:w w:val="84"/>
              </w:rPr>
            </w:pPr>
            <w:hyperlink r:id="rId183">
              <w:r>
                <w:rPr>
                  <w:rFonts w:ascii="Times New Roman" w:cs="Times New Roman" w:eastAsia="Times New Roman" w:hAnsi="Times New Roman"/>
                  <w:sz w:val="18"/>
                  <w:szCs w:val="18"/>
                  <w:color w:val="0000FF"/>
                  <w:w w:val="84"/>
                </w:rPr>
                <w:t>Market</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Singapore Pte. Ltd., dated as of September 17, 2012.</w:t>
              </w:r>
            </w:hyperlink>
          </w:p>
        </w:tc>
        <w:tc>
          <w:tcPr>
            <w:tcW w:w="24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1"/>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Manufacturing and Purchasing Agreement, by and</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36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7"/>
              </w:rPr>
            </w:pPr>
            <w:hyperlink r:id="rId184">
              <w:r>
                <w:rPr>
                  <w:rFonts w:ascii="Times New Roman" w:cs="Times New Roman" w:eastAsia="Times New Roman" w:hAnsi="Times New Roman"/>
                  <w:sz w:val="18"/>
                  <w:szCs w:val="18"/>
                  <w:color w:val="0000FF"/>
                  <w:w w:val="97"/>
                </w:rPr>
                <w:t>among Fresh Fruit Ingredients, Inc. and All Market,</w:t>
              </w:r>
            </w:hyperlink>
          </w:p>
        </w:tc>
        <w:tc>
          <w:tcPr>
            <w:tcW w:w="80" w:type="dxa"/>
            <w:vAlign w:val="bottom"/>
            <w:tcBorders>
              <w:bottom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Inc., dated as of April 8, 2010.</w:t>
              </w:r>
            </w:hyperlink>
          </w:p>
        </w:tc>
        <w:tc>
          <w:tcPr>
            <w:tcW w:w="1540" w:type="dxa"/>
            <w:vAlign w:val="bottom"/>
            <w:gridSpan w:val="11"/>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2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1"/>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Manufacturing and Purchasing Agreement, by and</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05/02/2024</w:t>
            </w:r>
          </w:p>
        </w:tc>
        <w:tc>
          <w:tcPr>
            <w:tcW w:w="0" w:type="dxa"/>
            <w:vAlign w:val="bottom"/>
          </w:tcPr>
          <w:p>
            <w:pPr>
              <w:spacing w:after="0"/>
              <w:rPr>
                <w:sz w:val="1"/>
                <w:szCs w:val="1"/>
                <w:color w:val="auto"/>
              </w:rPr>
            </w:pPr>
          </w:p>
        </w:tc>
      </w:tr>
      <w:tr>
        <w:trPr>
          <w:trHeight w:val="155"/>
        </w:trPr>
        <w:tc>
          <w:tcPr>
            <w:tcW w:w="36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among Century Pacific Food, Inc. and All Market</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Singapore Pte. Ltd., dated March 8, 2024.</w:t>
              </w:r>
            </w:hyperlink>
          </w:p>
        </w:tc>
        <w:tc>
          <w:tcPr>
            <w:tcW w:w="600" w:type="dxa"/>
            <w:vAlign w:val="bottom"/>
            <w:tcBorders>
              <w:top w:val="single" w:sz="8" w:color="0000FF"/>
            </w:tcBorders>
            <w:gridSpan w:val="4"/>
          </w:tcPr>
          <w:p>
            <w:pPr>
              <w:spacing w:after="0"/>
              <w:rPr>
                <w:sz w:val="14"/>
                <w:szCs w:val="14"/>
                <w:color w:val="auto"/>
              </w:rPr>
            </w:pPr>
          </w:p>
        </w:tc>
        <w:tc>
          <w:tcPr>
            <w:tcW w:w="1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2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1"/>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Co-Manufacturing and Purchasing Agreement, by and</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08/01/2024</w:t>
            </w:r>
          </w:p>
        </w:tc>
        <w:tc>
          <w:tcPr>
            <w:tcW w:w="0" w:type="dxa"/>
            <w:vAlign w:val="bottom"/>
          </w:tcPr>
          <w:p>
            <w:pPr>
              <w:spacing w:after="0"/>
              <w:rPr>
                <w:sz w:val="1"/>
                <w:szCs w:val="1"/>
                <w:color w:val="auto"/>
              </w:rPr>
            </w:pPr>
          </w:p>
        </w:tc>
      </w:tr>
      <w:tr>
        <w:trPr>
          <w:trHeight w:val="155"/>
        </w:trPr>
        <w:tc>
          <w:tcPr>
            <w:tcW w:w="39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among Axelum Resources Corp. and All Market</w:t>
              </w:r>
            </w:hyperlink>
          </w:p>
        </w:tc>
        <w:tc>
          <w:tcPr>
            <w:tcW w:w="22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0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Singapore Pte. Ltd., dated as of April 18, 2024.</w:t>
              </w:r>
            </w:hyperlink>
          </w:p>
        </w:tc>
        <w:tc>
          <w:tcPr>
            <w:tcW w:w="28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6"/>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vMerge w:val="restart"/>
          </w:tcPr>
          <w:p>
            <w:pPr>
              <w:jc w:val="center"/>
              <w:ind w:left="20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66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The Vita Coco Company, Inc. Insider Trading Policy</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List of Subsidiaries of The Vita Coco Company, Inc.</w:t>
            </w:r>
          </w:p>
        </w:tc>
        <w:tc>
          <w:tcPr>
            <w:tcW w:w="320" w:type="dxa"/>
            <w:vAlign w:val="bottom"/>
            <w:gridSpan w:val="6"/>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8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w:t>
            </w:r>
          </w:p>
        </w:tc>
        <w:tc>
          <w:tcPr>
            <w:tcW w:w="340" w:type="dxa"/>
            <w:vAlign w:val="bottom"/>
            <w:gridSpan w:val="7"/>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8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26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800" w:type="dxa"/>
            <w:vAlign w:val="bottom"/>
            <w:tcBorders>
              <w:top w:val="single" w:sz="8" w:color="0000FF"/>
            </w:tcBorders>
            <w:gridSpan w:val="3"/>
          </w:tcPr>
          <w:p>
            <w:pPr>
              <w:spacing w:after="0"/>
              <w:rPr>
                <w:sz w:val="13"/>
                <w:szCs w:val="13"/>
                <w:color w:val="auto"/>
              </w:rPr>
            </w:pPr>
          </w:p>
        </w:tc>
        <w:tc>
          <w:tcPr>
            <w:tcW w:w="660" w:type="dxa"/>
            <w:vAlign w:val="bottom"/>
            <w:gridSpan w:val="15"/>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80" w:space="360"/>
            <w:col w:w="10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31.1</w:t>
            </w: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w:t>
            </w:r>
          </w:p>
        </w:tc>
        <w:tc>
          <w:tcPr>
            <w:tcW w:w="6000" w:type="dxa"/>
            <w:vAlign w:val="bottom"/>
          </w:tcPr>
          <w:p>
            <w:pPr>
              <w:jc w:val="center"/>
              <w:ind w:left="389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10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7"/>
              </w:rPr>
              <w:t>Executive Officer.</w:t>
            </w:r>
          </w:p>
        </w:tc>
        <w:tc>
          <w:tcPr>
            <w:tcW w:w="212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0" w:type="dxa"/>
            <w:vAlign w:val="bottom"/>
          </w:tcPr>
          <w:p>
            <w:pPr>
              <w:spacing w:after="0"/>
              <w:rPr>
                <w:sz w:val="13"/>
                <w:szCs w:val="13"/>
                <w:color w:val="auto"/>
              </w:rPr>
            </w:pPr>
          </w:p>
        </w:tc>
      </w:tr>
      <w:tr>
        <w:trPr>
          <w:trHeight w:val="223"/>
        </w:trPr>
        <w:tc>
          <w:tcPr>
            <w:tcW w:w="10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31.2</w:t>
            </w: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w:t>
            </w:r>
          </w:p>
        </w:tc>
        <w:tc>
          <w:tcPr>
            <w:tcW w:w="6000" w:type="dxa"/>
            <w:vAlign w:val="bottom"/>
          </w:tcPr>
          <w:p>
            <w:pPr>
              <w:jc w:val="center"/>
              <w:ind w:left="389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1040" w:type="dxa"/>
            <w:vAlign w:val="bottom"/>
          </w:tcPr>
          <w:p>
            <w:pPr>
              <w:spacing w:after="0"/>
              <w:rPr>
                <w:sz w:val="13"/>
                <w:szCs w:val="13"/>
                <w:color w:val="auto"/>
              </w:rPr>
            </w:pPr>
          </w:p>
        </w:tc>
        <w:tc>
          <w:tcPr>
            <w:tcW w:w="344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23"/>
        </w:trPr>
        <w:tc>
          <w:tcPr>
            <w:tcW w:w="10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32.1</w:t>
            </w: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6000" w:type="dxa"/>
            <w:vAlign w:val="bottom"/>
          </w:tcPr>
          <w:p>
            <w:pPr>
              <w:jc w:val="center"/>
              <w:ind w:left="3890"/>
              <w:spacing w:after="0"/>
              <w:rPr>
                <w:sz w:val="20"/>
                <w:szCs w:val="20"/>
                <w:color w:val="auto"/>
              </w:rPr>
            </w:pPr>
            <w:r>
              <w:rPr>
                <w:rFonts w:ascii="Times New Roman" w:cs="Times New Roman" w:eastAsia="Times New Roman" w:hAnsi="Times New Roman"/>
                <w:sz w:val="18"/>
                <w:szCs w:val="18"/>
                <w:color w:val="auto"/>
                <w:w w:val="99"/>
              </w:rPr>
              <w:t>**</w:t>
            </w:r>
          </w:p>
        </w:tc>
      </w:tr>
      <w:tr>
        <w:trPr>
          <w:trHeight w:val="939"/>
        </w:trPr>
        <w:tc>
          <w:tcPr>
            <w:tcW w:w="10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1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98</w:t>
            </w:r>
          </w:p>
        </w:tc>
      </w:tr>
      <w:tr>
        <w:trPr>
          <w:trHeight w:val="101"/>
        </w:trPr>
        <w:tc>
          <w:tcPr>
            <w:tcW w:w="10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7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720" w:type="dxa"/>
            <w:vAlign w:val="bottom"/>
          </w:tcPr>
          <w:p>
            <w:pPr>
              <w:spacing w:after="0"/>
              <w:rPr>
                <w:sz w:val="20"/>
                <w:szCs w:val="20"/>
                <w:color w:val="auto"/>
              </w:rPr>
            </w:pPr>
          </w:p>
        </w:tc>
      </w:tr>
      <w:tr>
        <w:trPr>
          <w:trHeight w:val="82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27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8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The Vita Coco Company, Inc. Clawback Policy</w:t>
            </w:r>
          </w:p>
        </w:tc>
        <w:tc>
          <w:tcPr>
            <w:tcW w:w="2700" w:type="dxa"/>
            <w:vAlign w:val="bottom"/>
          </w:tcPr>
          <w:p>
            <w:pPr>
              <w:spacing w:after="0"/>
              <w:rPr>
                <w:sz w:val="18"/>
                <w:szCs w:val="18"/>
                <w:color w:val="auto"/>
              </w:rPr>
            </w:pPr>
          </w:p>
        </w:tc>
        <w:tc>
          <w:tcPr>
            <w:tcW w:w="272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340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Inline XBRL Instance Document - the instance</w:t>
            </w:r>
          </w:p>
        </w:tc>
        <w:tc>
          <w:tcPr>
            <w:tcW w:w="3140" w:type="dxa"/>
            <w:vAlign w:val="bottom"/>
            <w:gridSpan w:val="2"/>
          </w:tcPr>
          <w:p>
            <w:pPr>
              <w:spacing w:after="0"/>
              <w:rPr>
                <w:sz w:val="17"/>
                <w:szCs w:val="17"/>
                <w:color w:val="auto"/>
              </w:rPr>
            </w:pPr>
          </w:p>
        </w:tc>
        <w:tc>
          <w:tcPr>
            <w:tcW w:w="2720" w:type="dxa"/>
            <w:vAlign w:val="bottom"/>
          </w:tcPr>
          <w:p>
            <w:pPr>
              <w:jc w:val="center"/>
              <w:ind w:left="2430"/>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84"/>
        </w:trPr>
        <w:tc>
          <w:tcPr>
            <w:tcW w:w="1060" w:type="dxa"/>
            <w:vAlign w:val="bottom"/>
          </w:tcPr>
          <w:p>
            <w:pPr>
              <w:spacing w:after="0"/>
              <w:rPr>
                <w:sz w:val="16"/>
                <w:szCs w:val="16"/>
                <w:color w:val="auto"/>
              </w:rPr>
            </w:pPr>
          </w:p>
        </w:tc>
        <w:tc>
          <w:tcPr>
            <w:tcW w:w="65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2720" w:type="dxa"/>
            <w:vAlign w:val="bottom"/>
          </w:tcPr>
          <w:p>
            <w:pPr>
              <w:spacing w:after="0"/>
              <w:rPr>
                <w:sz w:val="16"/>
                <w:szCs w:val="16"/>
                <w:color w:val="auto"/>
              </w:rPr>
            </w:pPr>
          </w:p>
        </w:tc>
      </w:tr>
      <w:tr>
        <w:trPr>
          <w:trHeight w:val="180"/>
        </w:trPr>
        <w:tc>
          <w:tcPr>
            <w:tcW w:w="1060" w:type="dxa"/>
            <w:vAlign w:val="bottom"/>
          </w:tcPr>
          <w:p>
            <w:pPr>
              <w:spacing w:after="0"/>
              <w:rPr>
                <w:sz w:val="15"/>
                <w:szCs w:val="15"/>
                <w:color w:val="auto"/>
              </w:rPr>
            </w:pPr>
          </w:p>
        </w:tc>
        <w:tc>
          <w:tcPr>
            <w:tcW w:w="65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2720" w:type="dxa"/>
            <w:vAlign w:val="bottom"/>
          </w:tcPr>
          <w:p>
            <w:pPr>
              <w:spacing w:after="0"/>
              <w:rPr>
                <w:sz w:val="15"/>
                <w:szCs w:val="15"/>
                <w:color w:val="auto"/>
              </w:rPr>
            </w:pPr>
          </w:p>
        </w:tc>
      </w:tr>
      <w:tr>
        <w:trPr>
          <w:trHeight w:val="225"/>
        </w:trPr>
        <w:tc>
          <w:tcPr>
            <w:tcW w:w="106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2720" w:type="dxa"/>
            <w:vAlign w:val="bottom"/>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72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88"/>
              </w:rPr>
              <w:t>*</w:t>
            </w:r>
          </w:p>
        </w:tc>
      </w:tr>
      <w:tr>
        <w:trPr>
          <w:trHeight w:val="180"/>
        </w:trPr>
        <w:tc>
          <w:tcPr>
            <w:tcW w:w="10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65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720" w:type="dxa"/>
            <w:vAlign w:val="bottom"/>
          </w:tcPr>
          <w:p>
            <w:pPr>
              <w:jc w:val="center"/>
              <w:ind w:left="2430"/>
              <w:spacing w:after="0" w:line="181" w:lineRule="exact"/>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60" w:type="dxa"/>
            <w:vAlign w:val="bottom"/>
          </w:tcPr>
          <w:p>
            <w:pPr>
              <w:spacing w:after="0"/>
              <w:rPr>
                <w:sz w:val="20"/>
                <w:szCs w:val="20"/>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720" w:type="dxa"/>
            <w:vAlign w:val="bottom"/>
          </w:tcPr>
          <w:p>
            <w:pPr>
              <w:spacing w:after="0"/>
              <w:rPr>
                <w:sz w:val="20"/>
                <w:szCs w:val="20"/>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65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72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2720" w:type="dxa"/>
            <w:vAlign w:val="bottom"/>
          </w:tcPr>
          <w:p>
            <w:pPr>
              <w:spacing w:after="0"/>
              <w:rPr>
                <w:sz w:val="20"/>
                <w:szCs w:val="20"/>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65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720" w:type="dxa"/>
            <w:vAlign w:val="bottom"/>
          </w:tcPr>
          <w:p>
            <w:pPr>
              <w:jc w:val="center"/>
              <w:ind w:left="2430"/>
              <w:spacing w:after="0" w:line="184" w:lineRule="exact"/>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60" w:type="dxa"/>
            <w:vAlign w:val="bottom"/>
          </w:tcPr>
          <w:p>
            <w:pPr>
              <w:spacing w:after="0"/>
              <w:rPr>
                <w:sz w:val="20"/>
                <w:szCs w:val="20"/>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2720" w:type="dxa"/>
            <w:vAlign w:val="bottom"/>
          </w:tcPr>
          <w:p>
            <w:pPr>
              <w:spacing w:after="0"/>
              <w:rPr>
                <w:sz w:val="20"/>
                <w:szCs w:val="20"/>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65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720" w:type="dxa"/>
            <w:vAlign w:val="bottom"/>
          </w:tcPr>
          <w:p>
            <w:pPr>
              <w:jc w:val="center"/>
              <w:ind w:left="2430"/>
              <w:spacing w:after="0" w:line="184" w:lineRule="exact"/>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60" w:type="dxa"/>
            <w:vAlign w:val="bottom"/>
          </w:tcPr>
          <w:p>
            <w:pPr>
              <w:spacing w:after="0"/>
              <w:rPr>
                <w:sz w:val="20"/>
                <w:szCs w:val="20"/>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720" w:type="dxa"/>
            <w:vAlign w:val="bottom"/>
          </w:tcPr>
          <w:p>
            <w:pPr>
              <w:spacing w:after="0"/>
              <w:rPr>
                <w:sz w:val="20"/>
                <w:szCs w:val="20"/>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65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in Inline</w:t>
            </w:r>
          </w:p>
        </w:tc>
        <w:tc>
          <w:tcPr>
            <w:tcW w:w="2720" w:type="dxa"/>
            <w:vAlign w:val="bottom"/>
          </w:tcPr>
          <w:p>
            <w:pPr>
              <w:jc w:val="center"/>
              <w:ind w:left="2430"/>
              <w:spacing w:after="0" w:line="184" w:lineRule="exact"/>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60" w:type="dxa"/>
            <w:vAlign w:val="bottom"/>
          </w:tcPr>
          <w:p>
            <w:pPr>
              <w:spacing w:after="0"/>
              <w:rPr>
                <w:sz w:val="20"/>
                <w:szCs w:val="20"/>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720" w:type="dxa"/>
            <w:vAlign w:val="bottom"/>
          </w:tcPr>
          <w:p>
            <w:pPr>
              <w:spacing w:after="0"/>
              <w:rPr>
                <w:sz w:val="20"/>
                <w:szCs w:val="20"/>
                <w:color w:val="auto"/>
              </w:rPr>
            </w:pPr>
          </w:p>
        </w:tc>
      </w:tr>
    </w:tbl>
    <w:p>
      <w:pPr>
        <w:spacing w:after="0" w:line="341" w:lineRule="exact"/>
        <w:rPr>
          <w:sz w:val="20"/>
          <w:szCs w:val="20"/>
          <w:color w:val="auto"/>
        </w:rPr>
      </w:pPr>
    </w:p>
    <w:p>
      <w:pPr>
        <w:ind w:left="820" w:hanging="79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20" w:hanging="79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820" w:hanging="79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portions of this exhibit (indicated by “####”) have been redacted pursuant to Regulation S-K, Item</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601(a)(6).</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portions of this exhibit (indicated by “[***]”) have been redacted pursuant to Regulation S-K, Item</w:t>
            </w: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601(b)(10)(iv).</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08" w:right="12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THE VITA COCO COMPANY, INC.</w:t>
      </w:r>
    </w:p>
    <w:p>
      <w:pPr>
        <w:spacing w:after="0" w:line="293" w:lineRule="exact"/>
        <w:rPr>
          <w:sz w:val="20"/>
          <w:szCs w:val="20"/>
          <w:color w:val="auto"/>
        </w:rPr>
      </w:pPr>
    </w:p>
    <w:p>
      <w:pPr>
        <w:ind w:left="20"/>
        <w:spacing w:after="0"/>
        <w:tabs>
          <w:tab w:leader="none" w:pos="5820" w:val="left"/>
          <w:tab w:leader="none" w:pos="814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375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Martin Roper</w:t>
      </w:r>
    </w:p>
    <w:p>
      <w:pPr>
        <w:spacing w:after="0" w:line="3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0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180"/>
          </w:cols>
          <w:pgMar w:left="320" w:top="108" w:right="399" w:bottom="1440" w:gutter="0" w:footer="0" w:header="0"/>
        </w:sectPr>
      </w:pP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2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4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Martin Roper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Martin Roper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Corey Baker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Michael Kirban</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Michael Kirban</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Aishetu Fatima Dozie</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Aishetu Fatima Dozie</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John Leahy</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John Leahy</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Ira Liran</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Ira Liran</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Eric Melloul</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Eric Melloul</w:t>
            </w:r>
          </w:p>
        </w:tc>
        <w:tc>
          <w:tcPr>
            <w:tcW w:w="3820" w:type="dxa"/>
            <w:vAlign w:val="bottom"/>
          </w:tcPr>
          <w:p>
            <w:pPr>
              <w:spacing w:after="0"/>
              <w:rPr>
                <w:sz w:val="20"/>
                <w:szCs w:val="20"/>
                <w:color w:val="auto"/>
              </w:rPr>
            </w:pPr>
          </w:p>
        </w:tc>
      </w:tr>
      <w:tr>
        <w:trPr>
          <w:trHeight w:val="464"/>
        </w:trPr>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 Jane Morreau</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Jane Morreau</w:t>
            </w:r>
          </w:p>
        </w:tc>
        <w:tc>
          <w:tcPr>
            <w:tcW w:w="3820" w:type="dxa"/>
            <w:vAlign w:val="bottom"/>
          </w:tcPr>
          <w:p>
            <w:pPr>
              <w:spacing w:after="0"/>
              <w:rPr>
                <w:sz w:val="20"/>
                <w:szCs w:val="20"/>
                <w:color w:val="auto"/>
              </w:rPr>
            </w:pPr>
          </w:p>
        </w:tc>
      </w:tr>
      <w:tr>
        <w:trPr>
          <w:trHeight w:val="464"/>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Kenneth Sadowsky</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Kenneth Sadowsky</w:t>
            </w:r>
          </w:p>
        </w:tc>
        <w:tc>
          <w:tcPr>
            <w:tcW w:w="3820" w:type="dxa"/>
            <w:vAlign w:val="bottom"/>
          </w:tcPr>
          <w:p>
            <w:pPr>
              <w:spacing w:after="0"/>
              <w:rPr>
                <w:sz w:val="20"/>
                <w:szCs w:val="20"/>
                <w:color w:val="auto"/>
              </w:rPr>
            </w:pPr>
          </w:p>
        </w:tc>
      </w:tr>
      <w:tr>
        <w:trPr>
          <w:trHeight w:val="464"/>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John Zupo</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John Zupo</w:t>
            </w:r>
          </w:p>
        </w:tc>
        <w:tc>
          <w:tcPr>
            <w:tcW w:w="3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4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481" w:lineRule="exact"/>
        <w:rPr>
          <w:sz w:val="20"/>
          <w:szCs w:val="20"/>
          <w:color w:val="auto"/>
        </w:rPr>
      </w:pPr>
    </w:p>
    <w:p>
      <w:pPr>
        <w:sectPr>
          <w:pgSz w:w="11900" w:h="16838" w:orient="portrait"/>
          <w:cols w:equalWidth="0" w:num="2">
            <w:col w:w="8740" w:space="720"/>
            <w:col w:w="1720"/>
          </w:cols>
          <w:pgMar w:left="320" w:top="10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80"/>
          </w:cols>
          <w:pgMar w:left="320" w:top="108" w:right="39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portions of this exhibit (indicated by “####”) have been omitted pursuant to Regulation S-K, Item 601(a)(6).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FIFTH AMENDMENT TO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February 14, 2025 (the “</w:t>
      </w:r>
      <w:r>
        <w:rPr>
          <w:rFonts w:ascii="Times New Roman" w:cs="Times New Roman" w:eastAsia="Times New Roman" w:hAnsi="Times New Roman"/>
          <w:sz w:val="20"/>
          <w:szCs w:val="20"/>
          <w:u w:val="single" w:color="auto"/>
          <w:color w:val="auto"/>
        </w:rPr>
        <w:t>Fifth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is entered into by and between The Vita Coco Company, Inc., a Delaware corporation (formerly known as All Market Inc.)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and Wells Fargo Bank, National Association (“</w:t>
      </w:r>
      <w:r>
        <w:rPr>
          <w:rFonts w:ascii="Times New Roman" w:cs="Times New Roman" w:eastAsia="Times New Roman" w:hAnsi="Times New Roman"/>
          <w:sz w:val="20"/>
          <w:szCs w:val="20"/>
          <w:u w:val="single" w:color="auto"/>
          <w:color w:val="auto"/>
        </w:rPr>
        <w:t>Bank</w:t>
      </w:r>
      <w:r>
        <w:rPr>
          <w:rFonts w:ascii="Times New Roman" w:cs="Times New Roman" w:eastAsia="Times New Roman" w:hAnsi="Times New Roman"/>
          <w:sz w:val="20"/>
          <w:szCs w:val="20"/>
          <w:color w:val="auto"/>
        </w:rPr>
        <w:t>”). All capitalized terms used herein and not otherwise defined herein shall have the meanings given to such terms in the Credit Agreement (defined below).</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4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Borrower and Bank entered into that certain Credit Agreement dated as of May 12, 2020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Borrower and Bank desire to amend the Loan Documents, subject to the terms and conditions set forth herein.</w:t>
      </w:r>
    </w:p>
    <w:p>
      <w:pPr>
        <w:spacing w:after="0" w:line="24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Effective as of the Fifth Amendment Effective Date:</w:t>
      </w:r>
    </w:p>
    <w:p>
      <w:pPr>
        <w:spacing w:after="0" w:line="25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9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hereby amended to delete the stricken text (indicated textually in the same manner as the following example: </w:t>
      </w:r>
      <w:r>
        <w:rPr>
          <w:rFonts w:ascii="Times New Roman" w:cs="Times New Roman" w:eastAsia="Times New Roman" w:hAnsi="Times New Roman"/>
          <w:sz w:val="20"/>
          <w:szCs w:val="20"/>
          <w:color w:val="EE2724"/>
          <w:strike w:val="1"/>
        </w:rPr>
        <w:t>stricken text</w:t>
      </w:r>
      <w:r>
        <w:rPr>
          <w:rFonts w:ascii="Times New Roman" w:cs="Times New Roman" w:eastAsia="Times New Roman" w:hAnsi="Times New Roman"/>
          <w:sz w:val="20"/>
          <w:szCs w:val="20"/>
          <w:color w:val="auto"/>
        </w:rPr>
        <w:t xml:space="preserve">) and to add the bold and </w:t>
      </w:r>
      <w:r>
        <w:rPr>
          <w:rFonts w:ascii="Times New Roman" w:cs="Times New Roman" w:eastAsia="Times New Roman" w:hAnsi="Times New Roman"/>
          <w:sz w:val="20"/>
          <w:szCs w:val="20"/>
          <w:u w:val="single" w:color="auto"/>
          <w:color w:val="0000FF"/>
        </w:rPr>
        <w:t>double-underlined</w:t>
      </w:r>
      <w:r>
        <w:rPr>
          <w:rFonts w:ascii="Times New Roman" w:cs="Times New Roman" w:eastAsia="Times New Roman" w:hAnsi="Times New Roman"/>
          <w:sz w:val="20"/>
          <w:szCs w:val="20"/>
          <w:color w:val="auto"/>
        </w:rPr>
        <w:t xml:space="preserve"> text (indicated textually in the same manner as the following example: dd text) as set forth on the pages of the Credit Agreement in the form of Annex A hereto.</w:t>
      </w:r>
    </w:p>
    <w:p>
      <w:pPr>
        <w:spacing w:after="0" w:line="208" w:lineRule="exact"/>
        <w:rPr>
          <w:rFonts w:ascii="Times New Roman" w:cs="Times New Roman" w:eastAsia="Times New Roman" w:hAnsi="Times New Roman"/>
          <w:sz w:val="20"/>
          <w:szCs w:val="20"/>
          <w:color w:val="auto"/>
        </w:rPr>
      </w:pPr>
    </w:p>
    <w:p>
      <w:pPr>
        <w:ind w:left="1300" w:hanging="320"/>
        <w:spacing w:after="0" w:line="269" w:lineRule="auto"/>
        <w:tabs>
          <w:tab w:leader="none" w:pos="129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Line of Credit Note shall be amended and restated in form and substance satisfactory to Bank, and shall be executed and delivered by Borrower to Bank on the date hereof.</w:t>
      </w:r>
    </w:p>
    <w:p>
      <w:pPr>
        <w:spacing w:after="0" w:line="200" w:lineRule="exact"/>
        <w:rPr>
          <w:sz w:val="20"/>
          <w:szCs w:val="20"/>
          <w:color w:val="auto"/>
        </w:rPr>
      </w:pPr>
    </w:p>
    <w:p>
      <w:pPr>
        <w:ind w:left="660" w:hanging="328"/>
        <w:spacing w:after="0" w:line="269" w:lineRule="auto"/>
        <w:tabs>
          <w:tab w:leader="none" w:pos="65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 etc</w:t>
      </w:r>
      <w:r>
        <w:rPr>
          <w:rFonts w:ascii="Times New Roman" w:cs="Times New Roman" w:eastAsia="Times New Roman" w:hAnsi="Times New Roman"/>
          <w:sz w:val="20"/>
          <w:szCs w:val="20"/>
          <w:color w:val="auto"/>
        </w:rPr>
        <w:t>. This Agreement shall be effective on the Fifth Amendment Effective Date upon satisfaction of the following conditions precedent:</w:t>
      </w:r>
    </w:p>
    <w:p>
      <w:pPr>
        <w:spacing w:after="0" w:line="199" w:lineRule="exact"/>
        <w:rPr>
          <w:rFonts w:ascii="Times New Roman" w:cs="Times New Roman" w:eastAsia="Times New Roman" w:hAnsi="Times New Roman"/>
          <w:sz w:val="20"/>
          <w:szCs w:val="20"/>
          <w:color w:val="auto"/>
        </w:rPr>
      </w:pPr>
    </w:p>
    <w:p>
      <w:pPr>
        <w:ind w:left="1300" w:hanging="320"/>
        <w:spacing w:after="0" w:line="283" w:lineRule="auto"/>
        <w:tabs>
          <w:tab w:leader="none" w:pos="129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Bank of (i) counterparts of this Agreement, duly executed by the Borrower, the Guarantors and Bank, and (ii) a counterpart of the above-referenced amended and restated Line of Credit Note duly executed by the Borrower.</w:t>
      </w:r>
    </w:p>
    <w:p>
      <w:pPr>
        <w:spacing w:after="0" w:line="173" w:lineRule="exact"/>
        <w:rPr>
          <w:rFonts w:ascii="Times New Roman" w:cs="Times New Roman" w:eastAsia="Times New Roman" w:hAnsi="Times New Roman"/>
          <w:sz w:val="20"/>
          <w:szCs w:val="20"/>
          <w:color w:val="auto"/>
        </w:rPr>
      </w:pPr>
    </w:p>
    <w:p>
      <w:pPr>
        <w:jc w:val="both"/>
        <w:ind w:left="1300" w:hanging="320"/>
        <w:spacing w:after="0" w:line="258" w:lineRule="auto"/>
        <w:tabs>
          <w:tab w:leader="none" w:pos="129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Bank of secretary’s/officer’s certificates of Borrower and each Guarantor (the Guarantor certificates may be delivered to Bank subsequent to the date hereof, but in no event more than 30 days subsequent to the date hereof) certifying as to resolutions of such Persons authorizing the transactions contemplated hereby, and certifying as to such other matters as Bank may request.</w:t>
      </w:r>
    </w:p>
    <w:p>
      <w:pPr>
        <w:sectPr>
          <w:pgSz w:w="11900" w:h="16838" w:orient="portrait"/>
          <w:cols w:equalWidth="0" w:num="1">
            <w:col w:w="11240"/>
          </w:cols>
          <w:pgMar w:left="320" w:top="1409" w:right="339" w:bottom="1440" w:gutter="0" w:footer="0" w:header="0"/>
        </w:sectPr>
      </w:pPr>
    </w:p>
    <w:bookmarkStart w:id="101" w:name="page102"/>
    <w:bookmarkEnd w:id="101"/>
    <w:p>
      <w:pPr>
        <w:spacing w:after="0" w:line="216" w:lineRule="exact"/>
        <w:rPr>
          <w:sz w:val="20"/>
          <w:szCs w:val="20"/>
          <w:color w:val="auto"/>
        </w:rPr>
      </w:pPr>
    </w:p>
    <w:p>
      <w:pPr>
        <w:jc w:val="both"/>
        <w:ind w:left="960" w:hanging="320"/>
        <w:spacing w:after="0" w:line="261" w:lineRule="auto"/>
        <w:tabs>
          <w:tab w:leader="none" w:pos="952"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Borrower of all reasonable fees and expenses of Bank (including reasonable attorney’s fees of Bank) (to the extent invoiced) in connection with the drafting and negotiation of this Agreement and the documents referenced herein and the consummation of the transactions contemplated hereby and thereby.</w:t>
      </w:r>
    </w:p>
    <w:p>
      <w:pPr>
        <w:spacing w:after="0" w:line="208" w:lineRule="exact"/>
        <w:rPr>
          <w:rFonts w:ascii="Times New Roman" w:cs="Times New Roman" w:eastAsia="Times New Roman" w:hAnsi="Times New Roman"/>
          <w:sz w:val="20"/>
          <w:szCs w:val="20"/>
          <w:color w:val="auto"/>
        </w:rPr>
      </w:pPr>
    </w:p>
    <w:p>
      <w:pPr>
        <w:ind w:left="960" w:right="20" w:hanging="320"/>
        <w:spacing w:after="0" w:line="269" w:lineRule="auto"/>
        <w:tabs>
          <w:tab w:leader="none" w:pos="95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Bank of a counterpart of a fee letter which is in form and substance satisfactory to Bank, duly executed by the Borrower, and payment by the Borrower of the fee which is the subject thereof.</w:t>
      </w:r>
    </w:p>
    <w:p>
      <w:pPr>
        <w:spacing w:after="0" w:line="19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960" w:right="20" w:hanging="320"/>
        <w:spacing w:after="0" w:line="261" w:lineRule="auto"/>
        <w:tabs>
          <w:tab w:leader="none" w:pos="95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Agreement, and the obligations of Borrower or any Guarantor (each, individually,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thereunder and under the other Loan Documents, are hereby ratified and confirmed and shall remain in full force and effect according to their terms, as affected and amended by this Agreement.</w:t>
      </w:r>
    </w:p>
    <w:p>
      <w:pPr>
        <w:spacing w:after="0" w:line="194" w:lineRule="exact"/>
        <w:rPr>
          <w:rFonts w:ascii="Times New Roman" w:cs="Times New Roman" w:eastAsia="Times New Roman" w:hAnsi="Times New Roman"/>
          <w:sz w:val="20"/>
          <w:szCs w:val="20"/>
          <w:color w:val="auto"/>
        </w:rPr>
      </w:pPr>
    </w:p>
    <w:p>
      <w:pPr>
        <w:jc w:val="both"/>
        <w:ind w:left="960" w:hanging="320"/>
        <w:spacing w:after="0" w:line="268" w:lineRule="auto"/>
        <w:tabs>
          <w:tab w:leader="none" w:pos="952"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this Agreement, each reference in the Credit Agreement to “this Agreement,” “hereunder” or words of like import shall mean and be a reference to the Credit Agreement, as affected and amended by this Agreement. This Agreement is a Loan Document.</w:t>
      </w:r>
    </w:p>
    <w:p>
      <w:pPr>
        <w:spacing w:after="0" w:line="188" w:lineRule="exact"/>
        <w:rPr>
          <w:rFonts w:ascii="Times New Roman" w:cs="Times New Roman" w:eastAsia="Times New Roman" w:hAnsi="Times New Roman"/>
          <w:sz w:val="20"/>
          <w:szCs w:val="20"/>
          <w:color w:val="auto"/>
        </w:rPr>
      </w:pPr>
    </w:p>
    <w:p>
      <w:pPr>
        <w:jc w:val="both"/>
        <w:ind w:left="960" w:hanging="320"/>
        <w:spacing w:after="0" w:line="258" w:lineRule="auto"/>
        <w:tabs>
          <w:tab w:leader="none" w:pos="952"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(i) acknowledges and consents to all of the terms and conditions of this Agreement, (ii) affirms (reaffirms) all of its obligations under the Loan Documents and (iii) agrees that this Agreement and all documents executed in connection herewith do not operate to reduce or discharge its obligations under the Credit Agreement or the other Loan Documents.</w:t>
      </w:r>
    </w:p>
    <w:p>
      <w:pPr>
        <w:spacing w:after="0" w:line="212" w:lineRule="exact"/>
        <w:rPr>
          <w:rFonts w:ascii="Times New Roman" w:cs="Times New Roman" w:eastAsia="Times New Roman" w:hAnsi="Times New Roman"/>
          <w:sz w:val="20"/>
          <w:szCs w:val="20"/>
          <w:color w:val="auto"/>
        </w:rPr>
      </w:pPr>
    </w:p>
    <w:p>
      <w:pPr>
        <w:ind w:left="960" w:hanging="320"/>
        <w:spacing w:after="0"/>
        <w:tabs>
          <w:tab w:leader="none" w:pos="96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hereby represent and warrant as follows:</w:t>
      </w:r>
    </w:p>
    <w:p>
      <w:pPr>
        <w:spacing w:after="0" w:line="242" w:lineRule="exact"/>
        <w:rPr>
          <w:rFonts w:ascii="Times New Roman" w:cs="Times New Roman" w:eastAsia="Times New Roman" w:hAnsi="Times New Roman"/>
          <w:sz w:val="20"/>
          <w:szCs w:val="20"/>
          <w:color w:val="auto"/>
        </w:rPr>
      </w:pPr>
    </w:p>
    <w:p>
      <w:pPr>
        <w:ind w:left="1620" w:hanging="332"/>
        <w:spacing w:after="0" w:line="283" w:lineRule="auto"/>
        <w:tabs>
          <w:tab w:leader="none" w:pos="162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has taken all necessary corporate or other organizational action to authorize the execution, delivery and performance of this Agreement;</w:t>
      </w:r>
    </w:p>
    <w:p>
      <w:pPr>
        <w:spacing w:after="0" w:line="173" w:lineRule="exact"/>
        <w:rPr>
          <w:rFonts w:ascii="Times New Roman" w:cs="Times New Roman" w:eastAsia="Times New Roman" w:hAnsi="Times New Roman"/>
          <w:sz w:val="20"/>
          <w:szCs w:val="20"/>
          <w:color w:val="auto"/>
        </w:rPr>
      </w:pPr>
    </w:p>
    <w:p>
      <w:pPr>
        <w:jc w:val="both"/>
        <w:ind w:left="1620" w:hanging="332"/>
        <w:spacing w:after="0" w:line="257" w:lineRule="auto"/>
        <w:tabs>
          <w:tab w:leader="none" w:pos="162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the Loan Parties and constitutes each of the Loan Parties’ legal, valid and binding obligations, enforceable against such Loan Party in accordance with its terms, except as such enforceability may be limited by (A) applicable bankruptcy, reorganization or other debtor relief laws, and (B) general principles of equity (regardless of whether such enforceability is considered in a proceeding at law or in equity);</w:t>
      </w:r>
    </w:p>
    <w:p>
      <w:pPr>
        <w:spacing w:after="0" w:line="199" w:lineRule="exact"/>
        <w:rPr>
          <w:rFonts w:ascii="Times New Roman" w:cs="Times New Roman" w:eastAsia="Times New Roman" w:hAnsi="Times New Roman"/>
          <w:sz w:val="20"/>
          <w:szCs w:val="20"/>
          <w:color w:val="auto"/>
        </w:rPr>
      </w:pPr>
    </w:p>
    <w:p>
      <w:pPr>
        <w:jc w:val="both"/>
        <w:ind w:left="1620" w:hanging="332"/>
        <w:spacing w:after="0" w:line="261" w:lineRule="auto"/>
        <w:tabs>
          <w:tab w:leader="none" w:pos="162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authorization or order of, or filing, registration or qualification with, any court or governmental authority or third party is required in connection with the execution, delivery or performance by any Loan Party of this Agreement;</w:t>
      </w:r>
    </w:p>
    <w:p>
      <w:pPr>
        <w:spacing w:after="0" w:line="208" w:lineRule="exact"/>
        <w:rPr>
          <w:rFonts w:ascii="Times New Roman" w:cs="Times New Roman" w:eastAsia="Times New Roman" w:hAnsi="Times New Roman"/>
          <w:sz w:val="20"/>
          <w:szCs w:val="20"/>
          <w:color w:val="auto"/>
        </w:rPr>
      </w:pPr>
    </w:p>
    <w:p>
      <w:pPr>
        <w:jc w:val="both"/>
        <w:ind w:left="1620" w:hanging="332"/>
        <w:spacing w:after="0" w:line="261" w:lineRule="auto"/>
        <w:tabs>
          <w:tab w:leader="none" w:pos="162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set forth in Article II of the Credit Agreement and in each other Loan Document are true and correct in all material respects (and in all respects if any such representation or warranty is already qualified by materiality or reference to Material Adverse Effect) as of the</w:t>
      </w:r>
    </w:p>
    <w:p>
      <w:pPr>
        <w:sectPr>
          <w:pgSz w:w="11900" w:h="16838" w:orient="portrait"/>
          <w:cols w:equalWidth="0" w:num="1">
            <w:col w:w="10900"/>
          </w:cols>
          <w:pgMar w:left="660" w:top="1440" w:right="339" w:bottom="1440" w:gutter="0" w:footer="0" w:header="0"/>
        </w:sectPr>
      </w:pPr>
    </w:p>
    <w:bookmarkStart w:id="102" w:name="page103"/>
    <w:bookmarkEnd w:id="102"/>
    <w:p>
      <w:pPr>
        <w:jc w:val="both"/>
        <w:ind w:left="980"/>
        <w:spacing w:after="0" w:line="258" w:lineRule="auto"/>
        <w:rPr>
          <w:sz w:val="20"/>
          <w:szCs w:val="20"/>
          <w:color w:val="auto"/>
        </w:rPr>
      </w:pPr>
      <w:r>
        <w:rPr>
          <w:rFonts w:ascii="Times New Roman" w:cs="Times New Roman" w:eastAsia="Times New Roman" w:hAnsi="Times New Roman"/>
          <w:sz w:val="20"/>
          <w:szCs w:val="20"/>
          <w:color w:val="auto"/>
        </w:rPr>
        <w:t>date hereof with the same effect as if made on and as of the date hereof, except to the extent such representations and warranties expressly relate solely to an earlier date, in which case they shall be true and correct in all material respects (and in all respects if any such representation or warranty is already qualified by materiality or reference to Material Adverse Effect) as of such earlier date; and</w:t>
      </w:r>
    </w:p>
    <w:p>
      <w:pPr>
        <w:spacing w:after="0" w:line="199" w:lineRule="exact"/>
        <w:rPr>
          <w:sz w:val="20"/>
          <w:szCs w:val="20"/>
          <w:color w:val="auto"/>
        </w:rPr>
      </w:pPr>
    </w:p>
    <w:p>
      <w:pPr>
        <w:ind w:left="980" w:hanging="332"/>
        <w:spacing w:after="0"/>
        <w:tabs>
          <w:tab w:leader="none" w:pos="98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has occurred and is continuing which constitutes an Event of Default.</w:t>
      </w:r>
    </w:p>
    <w:p>
      <w:pPr>
        <w:spacing w:after="0" w:line="256" w:lineRule="exact"/>
        <w:rPr>
          <w:rFonts w:ascii="Times New Roman" w:cs="Times New Roman" w:eastAsia="Times New Roman" w:hAnsi="Times New Roman"/>
          <w:sz w:val="20"/>
          <w:szCs w:val="20"/>
          <w:color w:val="auto"/>
        </w:rPr>
      </w:pPr>
    </w:p>
    <w:p>
      <w:pPr>
        <w:jc w:val="both"/>
        <w:ind w:left="320" w:hanging="320"/>
        <w:spacing w:after="0" w:line="258" w:lineRule="auto"/>
        <w:tabs>
          <w:tab w:leader="none" w:pos="31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each of which when so executed and delivered shall be an original, but all of which shall constitute one and the same instrument. Delivery of an executed counterpart of this Agreement by telecopy or digital/electronic transmission (e.g., PDF format) shall be effective as an original and shall constitute a representation that an executed original shall be delivered.</w:t>
      </w:r>
    </w:p>
    <w:p>
      <w:pPr>
        <w:spacing w:after="0" w:line="199" w:lineRule="exact"/>
        <w:rPr>
          <w:rFonts w:ascii="Times New Roman" w:cs="Times New Roman" w:eastAsia="Times New Roman" w:hAnsi="Times New Roman"/>
          <w:sz w:val="20"/>
          <w:szCs w:val="20"/>
          <w:color w:val="auto"/>
        </w:rPr>
      </w:pPr>
    </w:p>
    <w:p>
      <w:pPr>
        <w:jc w:val="both"/>
        <w:ind w:left="320" w:hanging="320"/>
        <w:spacing w:after="0" w:line="268" w:lineRule="auto"/>
        <w:tabs>
          <w:tab w:leader="none" w:pos="30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RIGHTS AND OBLIGATIONS OF THE PARTIES HEREUNDER SHALL BE GOVERNED BY AND CONSTRUED AND INTERPRETED IN ACCORDANCE WITH THE LAWS OF THE STATE OF NEW YORK.</w:t>
      </w:r>
    </w:p>
    <w:p>
      <w:pPr>
        <w:spacing w:after="0" w:line="188" w:lineRule="exact"/>
        <w:rPr>
          <w:rFonts w:ascii="Times New Roman" w:cs="Times New Roman" w:eastAsia="Times New Roman" w:hAnsi="Times New Roman"/>
          <w:sz w:val="20"/>
          <w:szCs w:val="20"/>
          <w:color w:val="auto"/>
        </w:rPr>
      </w:pPr>
    </w:p>
    <w:p>
      <w:pPr>
        <w:ind w:left="320" w:hanging="320"/>
        <w:spacing w:after="0" w:line="283" w:lineRule="auto"/>
        <w:tabs>
          <w:tab w:leader="none" w:pos="31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Section 7.12 of the Credit Agreement are incorporated herein by reference, mutatis mutandis, and the parties hereto agree to such terms.</w:t>
      </w:r>
    </w:p>
    <w:p>
      <w:pPr>
        <w:spacing w:after="0" w:line="17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[Signature pages follow]</w:t>
      </w:r>
    </w:p>
    <w:p>
      <w:pPr>
        <w:sectPr>
          <w:pgSz w:w="11900" w:h="16838" w:orient="portrait"/>
          <w:cols w:equalWidth="0" w:num="1">
            <w:col w:w="10260"/>
          </w:cols>
          <w:pgMar w:left="1300" w:top="141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as of the date first above written.</w:t>
      </w:r>
    </w:p>
    <w:p>
      <w:pPr>
        <w:spacing w:after="0" w:line="2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THE VITA COCO COMPANY, INC.</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(formerly known as All Market Inc.),</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Martin Roper</w:t>
      </w:r>
    </w:p>
    <w:p>
      <w:pPr>
        <w:spacing w:after="0" w:line="28" w:lineRule="exact"/>
        <w:rPr>
          <w:sz w:val="20"/>
          <w:szCs w:val="20"/>
          <w:color w:val="auto"/>
        </w:rPr>
      </w:pPr>
    </w:p>
    <w:p>
      <w:pPr>
        <w:ind w:left="1400"/>
        <w:spacing w:after="0"/>
        <w:tabs>
          <w:tab w:leader="none" w:pos="21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u w:val="single" w:color="auto"/>
          <w:color w:val="auto"/>
        </w:rPr>
        <w:t>Martin Roper</w:t>
      </w:r>
    </w:p>
    <w:p>
      <w:pPr>
        <w:spacing w:after="0" w:line="13" w:lineRule="exact"/>
        <w:rPr>
          <w:sz w:val="20"/>
          <w:szCs w:val="20"/>
          <w:color w:val="auto"/>
        </w:rPr>
      </w:pPr>
    </w:p>
    <w:p>
      <w:pPr>
        <w:ind w:left="1380"/>
        <w:spacing w:after="0"/>
        <w:tabs>
          <w:tab w:leader="none" w:pos="1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u w:val="single" w:color="auto"/>
          <w:color w:val="auto"/>
        </w:rPr>
        <w:t>Chief Executive Officer</w:t>
      </w:r>
    </w:p>
    <w:p>
      <w:pPr>
        <w:spacing w:after="0" w:line="2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COCO CAFÉ INC.,</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Kirban</w:t>
      </w:r>
    </w:p>
    <w:p>
      <w:pPr>
        <w:spacing w:after="0" w:line="28" w:lineRule="exact"/>
        <w:rPr>
          <w:sz w:val="20"/>
          <w:szCs w:val="20"/>
          <w:color w:val="auto"/>
        </w:rPr>
      </w:pPr>
    </w:p>
    <w:p>
      <w:pPr>
        <w:ind w:left="1400"/>
        <w:spacing w:after="0"/>
        <w:tabs>
          <w:tab w:leader="none" w:pos="21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u w:val="single" w:color="auto"/>
          <w:color w:val="auto"/>
        </w:rPr>
        <w:t>Michael Kirban</w:t>
      </w:r>
    </w:p>
    <w:p>
      <w:pPr>
        <w:spacing w:after="0" w:line="13" w:lineRule="exact"/>
        <w:rPr>
          <w:sz w:val="20"/>
          <w:szCs w:val="20"/>
          <w:color w:val="auto"/>
        </w:rPr>
      </w:pPr>
    </w:p>
    <w:p>
      <w:pPr>
        <w:ind w:left="1380"/>
        <w:spacing w:after="0"/>
        <w:tabs>
          <w:tab w:leader="none" w:pos="1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u w:val="single" w:color="auto"/>
          <w:color w:val="auto"/>
        </w:rPr>
        <w:t>Chief Executive Officer</w:t>
      </w:r>
    </w:p>
    <w:p>
      <w:pPr>
        <w:spacing w:after="0" w:line="2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AMI RUNA U.S. LLC,</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Kirban</w:t>
      </w:r>
    </w:p>
    <w:p>
      <w:pPr>
        <w:spacing w:after="0" w:line="28" w:lineRule="exact"/>
        <w:rPr>
          <w:sz w:val="20"/>
          <w:szCs w:val="20"/>
          <w:color w:val="auto"/>
        </w:rPr>
      </w:pPr>
    </w:p>
    <w:p>
      <w:pPr>
        <w:ind w:left="1400"/>
        <w:spacing w:after="0"/>
        <w:tabs>
          <w:tab w:leader="none" w:pos="21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u w:val="single" w:color="auto"/>
          <w:color w:val="auto"/>
        </w:rPr>
        <w:t>Michael Kirban</w:t>
      </w:r>
    </w:p>
    <w:p>
      <w:pPr>
        <w:spacing w:after="0" w:line="13" w:lineRule="exact"/>
        <w:rPr>
          <w:sz w:val="20"/>
          <w:szCs w:val="20"/>
          <w:color w:val="auto"/>
        </w:rPr>
      </w:pPr>
    </w:p>
    <w:p>
      <w:pPr>
        <w:ind w:left="1380"/>
        <w:spacing w:after="0"/>
        <w:tabs>
          <w:tab w:leader="none" w:pos="1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u w:val="single" w:color="auto"/>
          <w:color w:val="auto"/>
        </w:rPr>
        <w:t>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ectPr>
          <w:pgSz w:w="11900" w:h="16838" w:orient="portrait"/>
          <w:cols w:equalWidth="0" w:num="1">
            <w:col w:w="10139"/>
          </w:cols>
          <w:pgMar w:left="320" w:top="1413" w:right="1440" w:bottom="1440" w:gutter="0" w:footer="0" w:header="0"/>
        </w:sectPr>
      </w:pPr>
    </w:p>
    <w:bookmarkStart w:id="104" w:name="page105"/>
    <w:bookmarkEnd w:id="104"/>
    <w:p>
      <w:pPr>
        <w:ind w:left="3420"/>
        <w:spacing w:after="0"/>
        <w:rPr>
          <w:sz w:val="20"/>
          <w:szCs w:val="20"/>
          <w:color w:val="auto"/>
        </w:rPr>
      </w:pPr>
      <w:r>
        <w:rPr>
          <w:rFonts w:ascii="Times New Roman" w:cs="Times New Roman" w:eastAsia="Times New Roman" w:hAnsi="Times New Roman"/>
          <w:sz w:val="19"/>
          <w:szCs w:val="19"/>
          <w:color w:val="auto"/>
        </w:rPr>
        <w:t>WELLS FARGO BANK, NATIONAL</w:t>
      </w:r>
    </w:p>
    <w:p>
      <w:pPr>
        <w:spacing w:after="0" w:line="4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ASSOCIATION</w:t>
      </w:r>
    </w:p>
    <w:p>
      <w:pPr>
        <w:spacing w:after="0" w:line="2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Zick</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Michael Zick</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Executive Director</w:t>
      </w:r>
    </w:p>
    <w:p>
      <w:pPr>
        <w:sectPr>
          <w:pgSz w:w="11900" w:h="16838" w:orient="portrait"/>
          <w:cols w:equalWidth="0" w:num="1">
            <w:col w:w="9019"/>
          </w:cols>
          <w:pgMar w:left="1440" w:top="1413" w:right="1440" w:bottom="1440" w:gutter="0" w:footer="0" w:header="0"/>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20"/>
          <w:szCs w:val="20"/>
          <w:color w:val="auto"/>
        </w:rPr>
        <w:t>ANNEX A</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41" w:lineRule="exact"/>
        <w:rPr>
          <w:sz w:val="20"/>
          <w:szCs w:val="20"/>
          <w:color w:val="auto"/>
        </w:rPr>
      </w:pPr>
    </w:p>
    <w:p>
      <w:pPr>
        <w:ind w:left="120" w:right="280" w:firstLine="518"/>
        <w:spacing w:after="0" w:line="242" w:lineRule="auto"/>
        <w:rPr>
          <w:sz w:val="20"/>
          <w:szCs w:val="20"/>
          <w:color w:val="auto"/>
        </w:rPr>
      </w:pPr>
      <w:r>
        <w:rPr>
          <w:rFonts w:ascii="Calibri" w:cs="Calibri" w:eastAsia="Calibri" w:hAnsi="Calibri"/>
          <w:sz w:val="20"/>
          <w:szCs w:val="20"/>
          <w:color w:val="auto"/>
        </w:rPr>
        <w:t xml:space="preserve">THIS CREDIT AGREEMENT (this "Agreement"), dated May 12, 2020, is by and between </w:t>
      </w:r>
      <w:r>
        <w:rPr>
          <w:rFonts w:ascii="Calibri" w:cs="Calibri" w:eastAsia="Calibri" w:hAnsi="Calibri"/>
          <w:sz w:val="20"/>
          <w:szCs w:val="20"/>
          <w:color w:val="FF0000"/>
          <w:strike w:val="1"/>
        </w:rPr>
        <w:t>ALL MARKET</w:t>
      </w:r>
      <w:r>
        <w:rPr>
          <w:rFonts w:ascii="Calibri" w:cs="Calibri" w:eastAsia="Calibri" w:hAnsi="Calibri"/>
          <w:sz w:val="20"/>
          <w:szCs w:val="20"/>
          <w:u w:val="single" w:color="auto"/>
          <w:color w:val="0000FF"/>
        </w:rPr>
        <w:t>THE VITA COCO COMPANY,</w:t>
      </w:r>
      <w:r>
        <w:rPr>
          <w:rFonts w:ascii="Calibri" w:cs="Calibri" w:eastAsia="Calibri" w:hAnsi="Calibri"/>
          <w:sz w:val="20"/>
          <w:szCs w:val="20"/>
          <w:color w:val="auto"/>
        </w:rPr>
        <w:t xml:space="preserve"> INC., a Delaware corporaton ("Borrower"), and WELLS FARGO BANK, NATIONAL ASSOCIATION ("Bank").</w:t>
      </w:r>
    </w:p>
    <w:p>
      <w:pPr>
        <w:spacing w:after="0" w:line="146"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u w:val="single" w:color="auto"/>
          <w:color w:val="auto"/>
        </w:rPr>
        <w:t>RECITALS</w:t>
      </w:r>
    </w:p>
    <w:p>
      <w:pPr>
        <w:spacing w:after="0" w:line="238" w:lineRule="exact"/>
        <w:rPr>
          <w:sz w:val="20"/>
          <w:szCs w:val="20"/>
          <w:color w:val="auto"/>
        </w:rPr>
      </w:pPr>
    </w:p>
    <w:p>
      <w:pPr>
        <w:ind w:left="120" w:right="300" w:firstLine="518"/>
        <w:spacing w:after="0" w:line="234" w:lineRule="auto"/>
        <w:rPr>
          <w:sz w:val="20"/>
          <w:szCs w:val="20"/>
          <w:color w:val="auto"/>
        </w:rPr>
      </w:pPr>
      <w:r>
        <w:rPr>
          <w:rFonts w:ascii="Calibri" w:cs="Calibri" w:eastAsia="Calibri" w:hAnsi="Calibri"/>
          <w:sz w:val="20"/>
          <w:szCs w:val="20"/>
          <w:color w:val="auto"/>
        </w:rPr>
        <w:t>Borrower has requested that Bank extend or contnue credit to Borrower as described below, and Bank has agreed to provide such credit to Borrower on the terms and conditons contained herein.</w:t>
      </w:r>
    </w:p>
    <w:p>
      <w:pPr>
        <w:spacing w:after="0" w:line="158" w:lineRule="exact"/>
        <w:rPr>
          <w:sz w:val="20"/>
          <w:szCs w:val="20"/>
          <w:color w:val="auto"/>
        </w:rPr>
      </w:pPr>
    </w:p>
    <w:p>
      <w:pPr>
        <w:ind w:left="120" w:firstLine="518"/>
        <w:spacing w:after="0" w:line="242" w:lineRule="auto"/>
        <w:rPr>
          <w:sz w:val="20"/>
          <w:szCs w:val="20"/>
          <w:color w:val="auto"/>
        </w:rPr>
      </w:pPr>
      <w:r>
        <w:rPr>
          <w:rFonts w:ascii="Calibri" w:cs="Calibri" w:eastAsia="Calibri" w:hAnsi="Calibri"/>
          <w:sz w:val="20"/>
          <w:szCs w:val="20"/>
          <w:color w:val="auto"/>
        </w:rPr>
        <w:t>NOW, THEREFORE, for valuable consideraton, the receipt and suﬃciency of which are hereby acknowledged, Bank and Borrower hereby agree as follows: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u w:val="single" w:color="auto"/>
          <w:color w:val="auto"/>
        </w:rPr>
        <w:t>ARTICLE I</w:t>
      </w:r>
    </w:p>
    <w:p>
      <w:pPr>
        <w:spacing w:after="0" w:line="16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u w:val="single" w:color="auto"/>
          <w:color w:val="auto"/>
        </w:rPr>
        <w:t>CREDIT TERMS</w:t>
      </w:r>
    </w:p>
    <w:p>
      <w:pPr>
        <w:spacing w:after="0" w:line="228" w:lineRule="exact"/>
        <w:rPr>
          <w:sz w:val="20"/>
          <w:szCs w:val="20"/>
          <w:color w:val="auto"/>
        </w:rPr>
      </w:pPr>
    </w:p>
    <w:p>
      <w:pPr>
        <w:ind w:left="640"/>
        <w:spacing w:after="0"/>
        <w:tabs>
          <w:tab w:leader="none" w:pos="1860" w:val="left"/>
        </w:tabs>
        <w:rPr>
          <w:sz w:val="20"/>
          <w:szCs w:val="20"/>
          <w:color w:val="auto"/>
        </w:rPr>
      </w:pPr>
      <w:r>
        <w:rPr>
          <w:rFonts w:ascii="Calibri" w:cs="Calibri" w:eastAsia="Calibri" w:hAnsi="Calibri"/>
          <w:sz w:val="20"/>
          <w:szCs w:val="20"/>
          <w:color w:val="auto"/>
        </w:rPr>
        <w:t>SECTION 1.1.</w:t>
        <w:tab/>
        <w:t>LINE OF CREDIT</w:t>
      </w:r>
      <w:r>
        <w:rPr>
          <w:rFonts w:ascii="Calibri" w:cs="Calibri" w:eastAsia="Calibri" w:hAnsi="Calibri"/>
          <w:sz w:val="20"/>
          <w:szCs w:val="20"/>
          <w:color w:val="FF0000"/>
          <w:strike w:val="1"/>
        </w:rPr>
        <w:t>; TERM LOAN</w:t>
      </w:r>
    </w:p>
    <w:p>
      <w:pPr>
        <w:spacing w:after="0" w:line="171" w:lineRule="exact"/>
        <w:rPr>
          <w:sz w:val="20"/>
          <w:szCs w:val="20"/>
          <w:color w:val="auto"/>
        </w:rPr>
      </w:pPr>
    </w:p>
    <w:p>
      <w:pPr>
        <w:ind w:right="300" w:firstLine="656"/>
        <w:spacing w:after="0" w:line="234" w:lineRule="auto"/>
        <w:tabs>
          <w:tab w:leader="none" w:pos="914" w:val="left"/>
        </w:tabs>
        <w:numPr>
          <w:ilvl w:val="0"/>
          <w:numId w:val="41"/>
        </w:numPr>
        <w:rPr>
          <w:rFonts w:ascii="Calibri" w:cs="Calibri" w:eastAsia="Calibri" w:hAnsi="Calibri"/>
          <w:sz w:val="20"/>
          <w:szCs w:val="20"/>
          <w:color w:val="auto"/>
        </w:rPr>
      </w:pPr>
      <w:r>
        <w:rPr>
          <w:rFonts w:ascii="Calibri" w:cs="Calibri" w:eastAsia="Calibri" w:hAnsi="Calibri"/>
          <w:sz w:val="20"/>
          <w:szCs w:val="20"/>
          <w:u w:val="single" w:color="auto"/>
          <w:color w:val="auto"/>
        </w:rPr>
        <w:t>Line of Credit</w:t>
      </w:r>
      <w:r>
        <w:rPr>
          <w:rFonts w:ascii="Calibri" w:cs="Calibri" w:eastAsia="Calibri" w:hAnsi="Calibri"/>
          <w:sz w:val="20"/>
          <w:szCs w:val="20"/>
          <w:color w:val="auto"/>
        </w:rPr>
        <w:t xml:space="preserve">. Subject to the terms and conditons of this Agreement, Bank hereby agrees to make advances to Borrower from tme to tme up to and including </w:t>
      </w:r>
      <w:r>
        <w:rPr>
          <w:rFonts w:ascii="Calibri" w:cs="Calibri" w:eastAsia="Calibri" w:hAnsi="Calibri"/>
          <w:sz w:val="20"/>
          <w:szCs w:val="20"/>
          <w:color w:val="FF0000"/>
          <w:strike w:val="1"/>
        </w:rPr>
        <w:t>May 21</w:t>
      </w:r>
      <w:r>
        <w:rPr>
          <w:rFonts w:ascii="Calibri" w:cs="Calibri" w:eastAsia="Calibri" w:hAnsi="Calibri"/>
          <w:sz w:val="20"/>
          <w:szCs w:val="20"/>
          <w:u w:val="single" w:color="auto"/>
          <w:color w:val="0000FF"/>
        </w:rPr>
        <w:t>February 13</w:t>
      </w:r>
      <w:r>
        <w:rPr>
          <w:rFonts w:ascii="Calibri" w:cs="Calibri" w:eastAsia="Calibri" w:hAnsi="Calibri"/>
          <w:sz w:val="20"/>
          <w:szCs w:val="20"/>
          <w:color w:val="auto"/>
        </w:rPr>
        <w:t xml:space="preserve">, </w:t>
      </w:r>
      <w:r>
        <w:rPr>
          <w:rFonts w:ascii="Calibri" w:cs="Calibri" w:eastAsia="Calibri" w:hAnsi="Calibri"/>
          <w:sz w:val="20"/>
          <w:szCs w:val="20"/>
          <w:color w:val="FF0000"/>
          <w:strike w:val="1"/>
        </w:rPr>
        <w:t>2026</w:t>
      </w:r>
      <w:r>
        <w:rPr>
          <w:rFonts w:ascii="Calibri" w:cs="Calibri" w:eastAsia="Calibri" w:hAnsi="Calibri"/>
          <w:sz w:val="20"/>
          <w:szCs w:val="20"/>
          <w:u w:val="single" w:color="auto"/>
          <w:color w:val="0000FF"/>
        </w:rPr>
        <w:t>2030</w:t>
      </w:r>
      <w:r>
        <w:rPr>
          <w:rFonts w:ascii="Calibri" w:cs="Calibri" w:eastAsia="Calibri" w:hAnsi="Calibri"/>
          <w:sz w:val="20"/>
          <w:szCs w:val="20"/>
          <w:color w:val="auto"/>
        </w:rPr>
        <w:t xml:space="preserve">, not to exceed at any tme </w:t>
      </w:r>
      <w:r>
        <w:rPr>
          <w:rFonts w:ascii="Calibri" w:cs="Calibri" w:eastAsia="Calibri" w:hAnsi="Calibri"/>
          <w:sz w:val="20"/>
          <w:szCs w:val="20"/>
          <w:u w:val="single" w:color="auto"/>
          <w:color w:val="0000FF"/>
        </w:rPr>
        <w:t>outstanding (less aggregate amounts</w:t>
      </w:r>
    </w:p>
    <w:p>
      <w:pPr>
        <w:spacing w:after="0" w:line="23" w:lineRule="exact"/>
        <w:rPr>
          <w:rFonts w:ascii="Calibri" w:cs="Calibri" w:eastAsia="Calibri" w:hAnsi="Calibri"/>
          <w:sz w:val="20"/>
          <w:szCs w:val="20"/>
          <w:color w:val="auto"/>
        </w:rPr>
      </w:pPr>
    </w:p>
    <w:p>
      <w:pPr>
        <w:ind w:right="620"/>
        <w:spacing w:after="0" w:line="236" w:lineRule="auto"/>
        <w:rPr>
          <w:rFonts w:ascii="Calibri" w:cs="Calibri" w:eastAsia="Calibri" w:hAnsi="Calibri"/>
          <w:sz w:val="20"/>
          <w:szCs w:val="20"/>
          <w:color w:val="auto"/>
        </w:rPr>
      </w:pPr>
      <w:r>
        <w:rPr>
          <w:rFonts w:ascii="Calibri" w:cs="Calibri" w:eastAsia="Calibri" w:hAnsi="Calibri"/>
          <w:sz w:val="20"/>
          <w:szCs w:val="20"/>
          <w:u w:val="single" w:color="auto"/>
          <w:color w:val="0000FF"/>
        </w:rPr>
        <w:t>available for draw and all drawn but unreimbursed amounts under or in respect of Leters of Credit outstanding)</w:t>
      </w:r>
      <w:r>
        <w:rPr>
          <w:rFonts w:ascii="Calibri" w:cs="Calibri" w:eastAsia="Calibri" w:hAnsi="Calibri"/>
          <w:sz w:val="20"/>
          <w:szCs w:val="20"/>
          <w:color w:val="0000FF"/>
        </w:rPr>
        <w:t xml:space="preserve"> </w:t>
      </w:r>
      <w:r>
        <w:rPr>
          <w:rFonts w:ascii="Calibri" w:cs="Calibri" w:eastAsia="Calibri" w:hAnsi="Calibri"/>
          <w:sz w:val="20"/>
          <w:szCs w:val="20"/>
          <w:color w:val="000000"/>
        </w:rPr>
        <w:t>the aggregate</w:t>
      </w:r>
      <w:r>
        <w:rPr>
          <w:rFonts w:ascii="Calibri" w:cs="Calibri" w:eastAsia="Calibri" w:hAnsi="Calibri"/>
          <w:sz w:val="20"/>
          <w:szCs w:val="20"/>
          <w:color w:val="0000FF"/>
        </w:rPr>
        <w:t xml:space="preserve"> </w:t>
      </w:r>
      <w:r>
        <w:rPr>
          <w:rFonts w:ascii="Calibri" w:cs="Calibri" w:eastAsia="Calibri" w:hAnsi="Calibri"/>
          <w:sz w:val="20"/>
          <w:szCs w:val="20"/>
          <w:color w:val="000000"/>
        </w:rPr>
        <w:t xml:space="preserve">principal amount of Sixty Million and 00/100 Dollars ($60,000,000.00) (subject to increase or decrease pursuant to the applicable provisions hereof </w:t>
      </w:r>
      <w:r>
        <w:rPr>
          <w:rFonts w:ascii="Calibri" w:cs="Calibri" w:eastAsia="Calibri" w:hAnsi="Calibri"/>
          <w:sz w:val="20"/>
          <w:szCs w:val="20"/>
          <w:color w:val="0000FF"/>
        </w:rPr>
        <w:t>the earlier of (a) February 14, 2030 and (b) the date the obligatons</w:t>
      </w:r>
      <w:r>
        <w:rPr>
          <w:rFonts w:ascii="Calibri" w:cs="Calibri" w:eastAsia="Calibri" w:hAnsi="Calibri"/>
          <w:sz w:val="20"/>
          <w:szCs w:val="20"/>
          <w:color w:val="000000"/>
        </w:rPr>
        <w:t xml:space="preserve"> </w:t>
      </w:r>
      <w:r>
        <w:rPr>
          <w:rFonts w:ascii="Calibri" w:cs="Calibri" w:eastAsia="Calibri" w:hAnsi="Calibri"/>
          <w:sz w:val="20"/>
          <w:szCs w:val="20"/>
          <w:u w:val="single" w:color="auto"/>
          <w:color w:val="0000FF"/>
        </w:rPr>
        <w:t>hereunder become due and payable, and</w:t>
      </w:r>
    </w:p>
    <w:p>
      <w:pPr>
        <w:spacing w:after="0" w:line="22" w:lineRule="exact"/>
        <w:rPr>
          <w:rFonts w:ascii="Calibri" w:cs="Calibri" w:eastAsia="Calibri" w:hAnsi="Calibri"/>
          <w:sz w:val="20"/>
          <w:szCs w:val="20"/>
          <w:color w:val="auto"/>
        </w:rPr>
      </w:pPr>
    </w:p>
    <w:p>
      <w:pPr>
        <w:jc w:val="both"/>
        <w:ind w:right="380"/>
        <w:spacing w:after="0" w:line="236" w:lineRule="auto"/>
        <w:rPr>
          <w:rFonts w:ascii="Calibri" w:cs="Calibri" w:eastAsia="Calibri" w:hAnsi="Calibri"/>
          <w:sz w:val="20"/>
          <w:szCs w:val="20"/>
          <w:color w:val="auto"/>
        </w:rPr>
      </w:pPr>
      <w:r>
        <w:rPr>
          <w:rFonts w:ascii="Calibri" w:cs="Calibri" w:eastAsia="Calibri" w:hAnsi="Calibri"/>
          <w:sz w:val="20"/>
          <w:szCs w:val="20"/>
          <w:u w:val="single" w:color="auto"/>
          <w:color w:val="0000FF"/>
        </w:rPr>
        <w:t>inclusive of the Leter of Credit Sublimit which is the subject of Secton 1.6</w:t>
      </w:r>
      <w:r>
        <w:rPr>
          <w:rFonts w:ascii="Calibri" w:cs="Calibri" w:eastAsia="Calibri" w:hAnsi="Calibri"/>
          <w:sz w:val="20"/>
          <w:szCs w:val="20"/>
          <w:color w:val="000000"/>
        </w:rPr>
        <w:t>, "Line of Credit"), the proceeds of which shall be used for</w:t>
      </w:r>
      <w:r>
        <w:rPr>
          <w:rFonts w:ascii="Calibri" w:cs="Calibri" w:eastAsia="Calibri" w:hAnsi="Calibri"/>
          <w:sz w:val="20"/>
          <w:szCs w:val="20"/>
          <w:color w:val="0000FF"/>
        </w:rPr>
        <w:t xml:space="preserve"> </w:t>
      </w:r>
      <w:r>
        <w:rPr>
          <w:rFonts w:ascii="Calibri" w:cs="Calibri" w:eastAsia="Calibri" w:hAnsi="Calibri"/>
          <w:sz w:val="20"/>
          <w:szCs w:val="20"/>
          <w:color w:val="000000"/>
        </w:rPr>
        <w:t xml:space="preserve">general corporate purposes, for dividends, distributons, repurchases and redemptons of equity to the extent permited hereunder, </w:t>
      </w:r>
      <w:r>
        <w:rPr>
          <w:rFonts w:ascii="Calibri" w:cs="Calibri" w:eastAsia="Calibri" w:hAnsi="Calibri"/>
          <w:sz w:val="20"/>
          <w:szCs w:val="20"/>
          <w:u w:val="single" w:color="auto"/>
          <w:color w:val="0000FF"/>
        </w:rPr>
        <w:t>and</w:t>
      </w:r>
      <w:r>
        <w:rPr>
          <w:rFonts w:ascii="Calibri" w:cs="Calibri" w:eastAsia="Calibri" w:hAnsi="Calibri"/>
          <w:sz w:val="20"/>
          <w:szCs w:val="20"/>
          <w:color w:val="0000FF"/>
        </w:rPr>
        <w:t xml:space="preserve"> </w:t>
      </w:r>
      <w:r>
        <w:rPr>
          <w:rFonts w:ascii="Calibri" w:cs="Calibri" w:eastAsia="Calibri" w:hAnsi="Calibri"/>
          <w:sz w:val="20"/>
          <w:szCs w:val="20"/>
          <w:color w:val="000000"/>
        </w:rPr>
        <w:t>for Permited Acquisitons (as defined below</w:t>
      </w:r>
      <w:r>
        <w:rPr>
          <w:rFonts w:ascii="Calibri" w:cs="Calibri" w:eastAsia="Calibri" w:hAnsi="Calibri"/>
          <w:sz w:val="20"/>
          <w:szCs w:val="20"/>
          <w:color w:val="FF0000"/>
          <w:strike w:val="1"/>
        </w:rPr>
        <w:t>), and to refinance indebtedness existng immediately prior to the closing of the</w:t>
      </w:r>
    </w:p>
    <w:p>
      <w:pPr>
        <w:spacing w:after="0" w:line="12" w:lineRule="exact"/>
        <w:rPr>
          <w:rFonts w:ascii="Calibri" w:cs="Calibri" w:eastAsia="Calibri" w:hAnsi="Calibri"/>
          <w:sz w:val="20"/>
          <w:szCs w:val="20"/>
          <w:color w:val="auto"/>
        </w:rPr>
      </w:pPr>
    </w:p>
    <w:p>
      <w:pPr>
        <w:spacing w:after="0"/>
        <w:rPr>
          <w:rFonts w:ascii="Calibri" w:cs="Calibri" w:eastAsia="Calibri" w:hAnsi="Calibri"/>
          <w:sz w:val="20"/>
          <w:szCs w:val="20"/>
          <w:color w:val="auto"/>
        </w:rPr>
      </w:pPr>
      <w:r>
        <w:rPr>
          <w:rFonts w:ascii="Calibri" w:cs="Calibri" w:eastAsia="Calibri" w:hAnsi="Calibri"/>
          <w:sz w:val="20"/>
          <w:szCs w:val="20"/>
          <w:color w:val="FF0000"/>
          <w:strike w:val="1"/>
        </w:rPr>
        <w:t xml:space="preserve">transactons contemplated hereby; </w:t>
      </w:r>
      <w:r>
        <w:rPr>
          <w:rFonts w:ascii="Calibri" w:cs="Calibri" w:eastAsia="Calibri" w:hAnsi="Calibri"/>
          <w:sz w:val="20"/>
          <w:szCs w:val="20"/>
          <w:color w:val="007F00"/>
          <w:strike w:val="1"/>
        </w:rPr>
        <w:t>provided, however, that notwithstanding the foregoing to the contrary,</w:t>
      </w:r>
      <w:r>
        <w:rPr>
          <w:rFonts w:ascii="Calibri" w:cs="Calibri" w:eastAsia="Calibri" w:hAnsi="Calibri"/>
          <w:sz w:val="20"/>
          <w:szCs w:val="20"/>
          <w:color w:val="FF0000"/>
          <w:strike w:val="1"/>
        </w:rPr>
        <w:t xml:space="preserve"> not greater than</w:t>
      </w:r>
    </w:p>
    <w:p>
      <w:pPr>
        <w:spacing w:after="0" w:line="8" w:lineRule="exact"/>
        <w:rPr>
          <w:rFonts w:ascii="Calibri" w:cs="Calibri" w:eastAsia="Calibri" w:hAnsi="Calibri"/>
          <w:sz w:val="20"/>
          <w:szCs w:val="20"/>
          <w:color w:val="auto"/>
        </w:rPr>
      </w:pPr>
    </w:p>
    <w:p>
      <w:pPr>
        <w:ind w:right="200"/>
        <w:spacing w:after="0"/>
        <w:rPr>
          <w:rFonts w:ascii="Calibri" w:cs="Calibri" w:eastAsia="Calibri" w:hAnsi="Calibri"/>
          <w:sz w:val="20"/>
          <w:szCs w:val="20"/>
          <w:color w:val="auto"/>
        </w:rPr>
      </w:pPr>
      <w:r>
        <w:rPr>
          <w:rFonts w:ascii="Calibri" w:cs="Calibri" w:eastAsia="Calibri" w:hAnsi="Calibri"/>
          <w:sz w:val="20"/>
          <w:szCs w:val="20"/>
          <w:color w:val="FF0000"/>
          <w:strike w:val="1"/>
        </w:rPr>
        <w:t xml:space="preserve">$35,000,000 of the proceeds of advances/borrowings </w:t>
      </w:r>
      <w:r>
        <w:rPr>
          <w:rFonts w:ascii="Calibri" w:cs="Calibri" w:eastAsia="Calibri" w:hAnsi="Calibri"/>
          <w:sz w:val="20"/>
          <w:szCs w:val="20"/>
          <w:color w:val="007F00"/>
          <w:strike w:val="1"/>
        </w:rPr>
        <w:t>under the Line of Credit</w:t>
      </w:r>
      <w:r>
        <w:rPr>
          <w:rFonts w:ascii="Calibri" w:cs="Calibri" w:eastAsia="Calibri" w:hAnsi="Calibri"/>
          <w:sz w:val="20"/>
          <w:szCs w:val="20"/>
          <w:color w:val="FF0000"/>
          <w:strike w:val="1"/>
        </w:rPr>
        <w:t xml:space="preserve"> may be used to pay/fund, directly or indirectly, the Permited Redempton (as defined in Secton 5.8</w:t>
      </w:r>
      <w:r>
        <w:rPr>
          <w:rFonts w:ascii="Calibri" w:cs="Calibri" w:eastAsia="Calibri" w:hAnsi="Calibri"/>
          <w:sz w:val="20"/>
          <w:szCs w:val="20"/>
          <w:color w:val="000000"/>
          <w:strike w:val="1"/>
        </w:rPr>
        <w:t>). Borrower's obligaton to repay advances under the Line of Credit shall be evidenced</w:t>
      </w:r>
      <w:r>
        <w:rPr>
          <w:rFonts w:ascii="Calibri" w:cs="Calibri" w:eastAsia="Calibri" w:hAnsi="Calibri"/>
          <w:sz w:val="20"/>
          <w:szCs w:val="20"/>
          <w:color w:val="FF0000"/>
          <w:strike w:val="1"/>
        </w:rPr>
        <w:t xml:space="preserve"> </w:t>
      </w:r>
      <w:r>
        <w:rPr>
          <w:rFonts w:ascii="Calibri" w:cs="Calibri" w:eastAsia="Calibri" w:hAnsi="Calibri"/>
          <w:sz w:val="20"/>
          <w:szCs w:val="20"/>
          <w:color w:val="000000"/>
          <w:strike w:val="1"/>
        </w:rPr>
        <w:t>by a promissory note dated as of the date hereof, as modified from tme to tme ("Line of Credit Note").</w:t>
      </w:r>
    </w:p>
    <w:p>
      <w:pPr>
        <w:spacing w:after="0" w:line="253" w:lineRule="exact"/>
        <w:rPr>
          <w:rFonts w:ascii="Calibri" w:cs="Calibri" w:eastAsia="Calibri" w:hAnsi="Calibri"/>
          <w:sz w:val="20"/>
          <w:szCs w:val="20"/>
          <w:color w:val="auto"/>
        </w:rPr>
      </w:pPr>
    </w:p>
    <w:p>
      <w:pPr>
        <w:ind w:right="280" w:firstLine="656"/>
        <w:spacing w:after="0" w:line="233" w:lineRule="auto"/>
        <w:tabs>
          <w:tab w:leader="none" w:pos="923" w:val="left"/>
        </w:tabs>
        <w:numPr>
          <w:ilvl w:val="0"/>
          <w:numId w:val="41"/>
        </w:numPr>
        <w:rPr>
          <w:rFonts w:ascii="Calibri" w:cs="Calibri" w:eastAsia="Calibri" w:hAnsi="Calibri"/>
          <w:sz w:val="20"/>
          <w:szCs w:val="20"/>
          <w:color w:val="auto"/>
        </w:rPr>
      </w:pPr>
      <w:r>
        <w:rPr>
          <w:rFonts w:ascii="Calibri" w:cs="Calibri" w:eastAsia="Calibri" w:hAnsi="Calibri"/>
          <w:sz w:val="20"/>
          <w:szCs w:val="20"/>
          <w:u w:val="single" w:color="auto"/>
          <w:color w:val="auto"/>
        </w:rPr>
        <w:t>Borrowing and Repayment – Line of Credit</w:t>
      </w:r>
      <w:r>
        <w:rPr>
          <w:rFonts w:ascii="Calibri" w:cs="Calibri" w:eastAsia="Calibri" w:hAnsi="Calibri"/>
          <w:sz w:val="20"/>
          <w:szCs w:val="20"/>
          <w:color w:val="auto"/>
        </w:rPr>
        <w:t>. Borrower may from tme to tme during the term of the Line of Credit borrow, partally or wholly repay its outstanding borrowings, and reborrow, subject to all of the limitatons, terms and conditons contained herein or in the Line of Credit Note; provided however, that the total outstanding borrowings under the Line of Credit shall not at any tme exceed the maximum principal amount available under the Line of Credit or such Line of Credit Note, as set forth herein.</w:t>
      </w:r>
    </w:p>
    <w:p>
      <w:pPr>
        <w:spacing w:after="0" w:line="145" w:lineRule="exact"/>
        <w:rPr>
          <w:rFonts w:ascii="Calibri" w:cs="Calibri" w:eastAsia="Calibri" w:hAnsi="Calibri"/>
          <w:sz w:val="20"/>
          <w:szCs w:val="20"/>
          <w:color w:val="auto"/>
        </w:rPr>
      </w:pPr>
    </w:p>
    <w:p>
      <w:pPr>
        <w:ind w:right="580" w:firstLine="656"/>
        <w:spacing w:after="0" w:line="234" w:lineRule="auto"/>
        <w:tabs>
          <w:tab w:leader="none" w:pos="902" w:val="left"/>
        </w:tabs>
        <w:numPr>
          <w:ilvl w:val="0"/>
          <w:numId w:val="41"/>
        </w:numPr>
        <w:rPr>
          <w:rFonts w:ascii="Calibri" w:cs="Calibri" w:eastAsia="Calibri" w:hAnsi="Calibri"/>
          <w:sz w:val="20"/>
          <w:szCs w:val="20"/>
          <w:color w:val="auto"/>
        </w:rPr>
      </w:pPr>
      <w:r>
        <w:rPr>
          <w:rFonts w:ascii="Calibri" w:cs="Calibri" w:eastAsia="Calibri" w:hAnsi="Calibri"/>
          <w:sz w:val="20"/>
          <w:szCs w:val="20"/>
          <w:u w:val="single" w:color="auto"/>
          <w:color w:val="auto"/>
        </w:rPr>
        <w:t>Commitment Reducton – Line of Credit</w:t>
      </w:r>
      <w:r>
        <w:rPr>
          <w:rFonts w:ascii="Calibri" w:cs="Calibri" w:eastAsia="Calibri" w:hAnsi="Calibri"/>
          <w:sz w:val="20"/>
          <w:szCs w:val="20"/>
          <w:color w:val="auto"/>
        </w:rPr>
        <w:t>. Borrower shall have the right to terminate or permanently reduce the unused porton of the maximum Line of Credit amount at any tme or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-2283460</wp:posOffset>
            </wp:positionV>
            <wp:extent cx="35223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3522345" cy="825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6" w:name="page107"/>
    <w:bookmarkEnd w:id="106"/>
    <w:p>
      <w:pPr>
        <w:spacing w:after="0" w:line="120" w:lineRule="exact"/>
        <w:rPr>
          <w:sz w:val="20"/>
          <w:szCs w:val="20"/>
          <w:color w:val="auto"/>
        </w:rPr>
      </w:pPr>
    </w:p>
    <w:p>
      <w:pPr>
        <w:jc w:val="both"/>
        <w:ind w:right="60"/>
        <w:spacing w:after="0" w:line="239" w:lineRule="auto"/>
        <w:rPr>
          <w:sz w:val="20"/>
          <w:szCs w:val="20"/>
          <w:color w:val="auto"/>
        </w:rPr>
      </w:pPr>
      <w:r>
        <w:rPr>
          <w:rFonts w:ascii="Calibri" w:cs="Calibri" w:eastAsia="Calibri" w:hAnsi="Calibri"/>
          <w:sz w:val="20"/>
          <w:szCs w:val="20"/>
          <w:color w:val="auto"/>
        </w:rPr>
        <w:t xml:space="preserve">tme to tme upon not less than fifeen (15) days’ prior writen notce to the Bank of each such terminaton or reducton, which notce shall specify the eﬀectve date thereof and the amount of any such reducton which shall be in a minimum amount of $5,000,000 or a whole multple of $1,000,000 in excess thereof and shall be irrevocable and eﬀectve upon receipt by the Bank; </w:t>
      </w:r>
      <w:r>
        <w:rPr>
          <w:rFonts w:ascii="Calibri" w:cs="Calibri" w:eastAsia="Calibri" w:hAnsi="Calibri"/>
          <w:sz w:val="20"/>
          <w:szCs w:val="20"/>
          <w:u w:val="single" w:color="auto"/>
          <w:color w:val="auto"/>
        </w:rPr>
        <w:t>provided</w:t>
      </w:r>
      <w:r>
        <w:rPr>
          <w:rFonts w:ascii="Calibri" w:cs="Calibri" w:eastAsia="Calibri" w:hAnsi="Calibri"/>
          <w:sz w:val="20"/>
          <w:szCs w:val="20"/>
          <w:color w:val="auto"/>
        </w:rPr>
        <w:t xml:space="preserve"> that no such reducton or terminaton shall be permited if afer giving eﬀect thereto, and to any prepayments of credit/loans made on the eﬀectve date thereof, the aggregate outstanding principal amount hereunder would exceed the maximum Line of Credit amount.</w:t>
      </w:r>
    </w:p>
    <w:p>
      <w:pPr>
        <w:spacing w:after="0" w:line="152" w:lineRule="exact"/>
        <w:rPr>
          <w:sz w:val="20"/>
          <w:szCs w:val="20"/>
          <w:color w:val="auto"/>
        </w:rPr>
      </w:pPr>
    </w:p>
    <w:p>
      <w:pPr>
        <w:ind w:left="1160" w:hanging="526"/>
        <w:spacing w:after="0"/>
        <w:tabs>
          <w:tab w:leader="none" w:pos="1160" w:val="left"/>
        </w:tabs>
        <w:numPr>
          <w:ilvl w:val="0"/>
          <w:numId w:val="42"/>
        </w:numPr>
        <w:rPr>
          <w:rFonts w:ascii="Calibri" w:cs="Calibri" w:eastAsia="Calibri" w:hAnsi="Calibri"/>
          <w:sz w:val="20"/>
          <w:szCs w:val="20"/>
          <w:color w:val="FF0000"/>
          <w:strike w:val="1"/>
        </w:rPr>
      </w:pPr>
      <w:r>
        <w:rPr>
          <w:rFonts w:ascii="Calibri" w:cs="Calibri" w:eastAsia="Calibri" w:hAnsi="Calibri"/>
          <w:sz w:val="20"/>
          <w:szCs w:val="20"/>
          <w:u w:val="single" w:color="auto"/>
          <w:color w:val="FF0000"/>
          <w:strike w:val="1"/>
        </w:rPr>
        <w:t>Term Loan Facility</w:t>
      </w:r>
      <w:r>
        <w:rPr>
          <w:rFonts w:ascii="Calibri" w:cs="Calibri" w:eastAsia="Calibri" w:hAnsi="Calibri"/>
          <w:sz w:val="20"/>
          <w:szCs w:val="20"/>
          <w:color w:val="FF0000"/>
          <w:strike w:val="1"/>
        </w:rPr>
        <w:t>.</w:t>
      </w:r>
    </w:p>
    <w:p>
      <w:pPr>
        <w:spacing w:after="0" w:line="147" w:lineRule="exact"/>
        <w:rPr>
          <w:sz w:val="20"/>
          <w:szCs w:val="20"/>
          <w:color w:val="auto"/>
        </w:rPr>
      </w:pPr>
    </w:p>
    <w:p>
      <w:pPr>
        <w:ind w:left="1300" w:hanging="666"/>
        <w:spacing w:after="0"/>
        <w:tabs>
          <w:tab w:leader="none" w:pos="1300" w:val="left"/>
        </w:tabs>
        <w:numPr>
          <w:ilvl w:val="0"/>
          <w:numId w:val="43"/>
        </w:numPr>
        <w:rPr>
          <w:rFonts w:ascii="Calibri" w:cs="Calibri" w:eastAsia="Calibri" w:hAnsi="Calibri"/>
          <w:sz w:val="20"/>
          <w:szCs w:val="20"/>
          <w:color w:val="FF0000"/>
          <w:strike w:val="1"/>
        </w:rPr>
      </w:pPr>
      <w:r>
        <w:rPr>
          <w:rFonts w:ascii="Calibri" w:cs="Calibri" w:eastAsia="Calibri" w:hAnsi="Calibri"/>
          <w:sz w:val="20"/>
          <w:szCs w:val="20"/>
          <w:color w:val="FF0000"/>
          <w:strike w:val="1"/>
        </w:rPr>
        <w:t xml:space="preserve">Term Loan. Subject to the </w:t>
      </w:r>
      <w:r>
        <w:rPr>
          <w:rFonts w:ascii="Calibri" w:cs="Calibri" w:eastAsia="Calibri" w:hAnsi="Calibri"/>
          <w:sz w:val="20"/>
          <w:szCs w:val="20"/>
          <w:color w:val="007F00"/>
          <w:strike w:val="1"/>
        </w:rPr>
        <w:t>terms and conditons of this Agreement</w:t>
      </w:r>
      <w:r>
        <w:rPr>
          <w:rFonts w:ascii="Calibri" w:cs="Calibri" w:eastAsia="Calibri" w:hAnsi="Calibri"/>
          <w:sz w:val="20"/>
          <w:szCs w:val="20"/>
          <w:color w:val="FF0000"/>
          <w:strike w:val="1"/>
        </w:rPr>
        <w:t>, Bank hereby agrees to make a loan to Borrower on</w:t>
      </w:r>
    </w:p>
    <w:p>
      <w:pPr>
        <w:spacing w:after="0" w:line="22" w:lineRule="exact"/>
        <w:rPr>
          <w:rFonts w:ascii="Calibri" w:cs="Calibri" w:eastAsia="Calibri" w:hAnsi="Calibri"/>
          <w:sz w:val="20"/>
          <w:szCs w:val="20"/>
          <w:color w:val="FF0000"/>
          <w:strike w:val="1"/>
        </w:rPr>
      </w:pPr>
    </w:p>
    <w:p>
      <w:pPr>
        <w:ind w:left="120" w:right="140"/>
        <w:spacing w:after="0" w:line="236" w:lineRule="auto"/>
        <w:rPr>
          <w:rFonts w:ascii="Calibri" w:cs="Calibri" w:eastAsia="Calibri" w:hAnsi="Calibri"/>
          <w:sz w:val="20"/>
          <w:szCs w:val="20"/>
          <w:color w:val="FF0000"/>
          <w:strike w:val="1"/>
        </w:rPr>
      </w:pPr>
      <w:r>
        <w:rPr>
          <w:rFonts w:ascii="Calibri" w:cs="Calibri" w:eastAsia="Calibri" w:hAnsi="Calibri"/>
          <w:sz w:val="20"/>
          <w:szCs w:val="20"/>
          <w:color w:val="FF0000"/>
          <w:strike w:val="1"/>
        </w:rPr>
        <w:t xml:space="preserve">May 21, 2021 in the principal amount of Thirty Million Dollars ($30,000,000) ("Term Loan"), the entre proceeds of which shall be used to refinance/prepay outstanding amounts </w:t>
      </w:r>
      <w:r>
        <w:rPr>
          <w:rFonts w:ascii="Calibri" w:cs="Calibri" w:eastAsia="Calibri" w:hAnsi="Calibri"/>
          <w:sz w:val="20"/>
          <w:szCs w:val="20"/>
          <w:color w:val="007F00"/>
          <w:strike w:val="1"/>
        </w:rPr>
        <w:t>under the Line of Credit</w:t>
      </w:r>
      <w:r>
        <w:rPr>
          <w:rFonts w:ascii="Calibri" w:cs="Calibri" w:eastAsia="Calibri" w:hAnsi="Calibri"/>
          <w:sz w:val="20"/>
          <w:szCs w:val="20"/>
          <w:color w:val="FF0000"/>
          <w:strike w:val="1"/>
        </w:rPr>
        <w:t xml:space="preserve"> (for the sake of clarity, such refinancing/prepayment is not a permanent commitment reducton as described in Secton 1.1(c)) (with the balance, if any, to be used solely for the same purposes</w:t>
      </w:r>
    </w:p>
    <w:p>
      <w:pPr>
        <w:spacing w:after="0" w:line="22" w:lineRule="exact"/>
        <w:rPr>
          <w:rFonts w:ascii="Calibri" w:cs="Calibri" w:eastAsia="Calibri" w:hAnsi="Calibri"/>
          <w:sz w:val="20"/>
          <w:szCs w:val="20"/>
          <w:color w:val="FF0000"/>
          <w:strike w:val="1"/>
        </w:rPr>
      </w:pPr>
    </w:p>
    <w:p>
      <w:pPr>
        <w:ind w:left="120" w:right="160"/>
        <w:spacing w:after="0" w:line="236" w:lineRule="auto"/>
        <w:rPr>
          <w:rFonts w:ascii="Calibri" w:cs="Calibri" w:eastAsia="Calibri" w:hAnsi="Calibri"/>
          <w:sz w:val="20"/>
          <w:szCs w:val="20"/>
          <w:color w:val="FF0000"/>
          <w:strike w:val="1"/>
        </w:rPr>
      </w:pPr>
      <w:r>
        <w:rPr>
          <w:rFonts w:ascii="Calibri" w:cs="Calibri" w:eastAsia="Calibri" w:hAnsi="Calibri"/>
          <w:sz w:val="20"/>
          <w:szCs w:val="20"/>
          <w:color w:val="FF0000"/>
          <w:strike w:val="1"/>
        </w:rPr>
        <w:t xml:space="preserve">for which the proceeds of borrowings </w:t>
      </w:r>
      <w:r>
        <w:rPr>
          <w:rFonts w:ascii="Calibri" w:cs="Calibri" w:eastAsia="Calibri" w:hAnsi="Calibri"/>
          <w:sz w:val="20"/>
          <w:szCs w:val="20"/>
          <w:color w:val="007F00"/>
          <w:strike w:val="1"/>
        </w:rPr>
        <w:t>under the Line of Credit</w:t>
      </w:r>
      <w:r>
        <w:rPr>
          <w:rFonts w:ascii="Calibri" w:cs="Calibri" w:eastAsia="Calibri" w:hAnsi="Calibri"/>
          <w:sz w:val="20"/>
          <w:szCs w:val="20"/>
          <w:color w:val="FF0000"/>
          <w:strike w:val="1"/>
        </w:rPr>
        <w:t xml:space="preserve"> may be used). Borrower's obligaton to repay the Term Loan shall be evidenced by a promissory note dated May 21, 2021, as modified from tme to tme ("Term Note"). Bank's commitment to make the Term Loan shall terminate on May 21, 2021.</w:t>
      </w:r>
    </w:p>
    <w:p>
      <w:pPr>
        <w:spacing w:after="0" w:line="147" w:lineRule="exact"/>
        <w:rPr>
          <w:rFonts w:ascii="Calibri" w:cs="Calibri" w:eastAsia="Calibri" w:hAnsi="Calibri"/>
          <w:sz w:val="20"/>
          <w:szCs w:val="20"/>
          <w:color w:val="FF0000"/>
          <w:strike w:val="1"/>
        </w:rPr>
      </w:pPr>
    </w:p>
    <w:p>
      <w:pPr>
        <w:ind w:left="1300" w:hanging="666"/>
        <w:spacing w:after="0"/>
        <w:tabs>
          <w:tab w:leader="none" w:pos="1300" w:val="left"/>
        </w:tabs>
        <w:numPr>
          <w:ilvl w:val="0"/>
          <w:numId w:val="43"/>
        </w:numPr>
        <w:rPr>
          <w:rFonts w:ascii="Calibri" w:cs="Calibri" w:eastAsia="Calibri" w:hAnsi="Calibri"/>
          <w:sz w:val="20"/>
          <w:szCs w:val="20"/>
          <w:color w:val="FF0000"/>
          <w:strike w:val="1"/>
        </w:rPr>
      </w:pPr>
      <w:r>
        <w:rPr>
          <w:rFonts w:ascii="Calibri" w:cs="Calibri" w:eastAsia="Calibri" w:hAnsi="Calibri"/>
          <w:sz w:val="20"/>
          <w:szCs w:val="20"/>
          <w:u w:val="single" w:color="auto"/>
          <w:color w:val="FF0000"/>
          <w:strike w:val="1"/>
        </w:rPr>
        <w:t>Repayment</w:t>
      </w:r>
      <w:r>
        <w:rPr>
          <w:rFonts w:ascii="Calibri" w:cs="Calibri" w:eastAsia="Calibri" w:hAnsi="Calibri"/>
          <w:sz w:val="20"/>
          <w:szCs w:val="20"/>
          <w:color w:val="FF0000"/>
          <w:strike w:val="1"/>
        </w:rPr>
        <w:t>. Principal and interest on the Term Loan shall be repaid</w:t>
      </w:r>
      <w:r>
        <w:rPr>
          <w:rFonts w:ascii="Calibri" w:cs="Calibri" w:eastAsia="Calibri" w:hAnsi="Calibri"/>
          <w:sz w:val="20"/>
          <w:szCs w:val="20"/>
          <w:u w:val="single" w:color="auto"/>
          <w:color w:val="FF0000"/>
          <w:strike w:val="1"/>
        </w:rPr>
        <w:t xml:space="preserve"> </w:t>
      </w:r>
      <w:r>
        <w:rPr>
          <w:rFonts w:ascii="Calibri" w:cs="Calibri" w:eastAsia="Calibri" w:hAnsi="Calibri"/>
          <w:sz w:val="20"/>
          <w:szCs w:val="20"/>
          <w:color w:val="007F00"/>
          <w:strike w:val="1"/>
        </w:rPr>
        <w:t>in accordance with the provisions of the</w:t>
      </w:r>
      <w:r>
        <w:rPr>
          <w:rFonts w:ascii="Calibri" w:cs="Calibri" w:eastAsia="Calibri" w:hAnsi="Calibri"/>
          <w:sz w:val="20"/>
          <w:szCs w:val="20"/>
          <w:u w:val="single" w:color="auto"/>
          <w:color w:val="FF0000"/>
          <w:strike w:val="1"/>
        </w:rPr>
        <w:t xml:space="preserve"> </w:t>
      </w:r>
      <w:r>
        <w:rPr>
          <w:rFonts w:ascii="Calibri" w:cs="Calibri" w:eastAsia="Calibri" w:hAnsi="Calibri"/>
          <w:sz w:val="20"/>
          <w:szCs w:val="20"/>
          <w:color w:val="FF0000"/>
          <w:strike w:val="1"/>
        </w:rPr>
        <w:t>Term</w:t>
      </w:r>
    </w:p>
    <w:p>
      <w:pPr>
        <w:spacing w:after="0" w:line="12" w:lineRule="exact"/>
        <w:rPr>
          <w:rFonts w:ascii="Calibri" w:cs="Calibri" w:eastAsia="Calibri" w:hAnsi="Calibri"/>
          <w:sz w:val="20"/>
          <w:szCs w:val="20"/>
          <w:color w:val="FF0000"/>
          <w:strike w:val="1"/>
        </w:rPr>
      </w:pPr>
    </w:p>
    <w:p>
      <w:pPr>
        <w:ind w:left="120"/>
        <w:spacing w:after="0"/>
        <w:rPr>
          <w:rFonts w:ascii="Calibri" w:cs="Calibri" w:eastAsia="Calibri" w:hAnsi="Calibri"/>
          <w:sz w:val="20"/>
          <w:szCs w:val="20"/>
          <w:color w:val="FF0000"/>
          <w:strike w:val="1"/>
        </w:rPr>
      </w:pPr>
      <w:r>
        <w:rPr>
          <w:rFonts w:ascii="Calibri" w:cs="Calibri" w:eastAsia="Calibri" w:hAnsi="Calibri"/>
          <w:sz w:val="20"/>
          <w:szCs w:val="20"/>
          <w:color w:val="FF0000"/>
          <w:strike w:val="1"/>
        </w:rPr>
        <w:t>Note.</w:t>
      </w:r>
    </w:p>
    <w:p>
      <w:pPr>
        <w:spacing w:after="0" w:line="143" w:lineRule="exact"/>
        <w:rPr>
          <w:rFonts w:ascii="Calibri" w:cs="Calibri" w:eastAsia="Calibri" w:hAnsi="Calibri"/>
          <w:sz w:val="20"/>
          <w:szCs w:val="20"/>
          <w:color w:val="FF0000"/>
          <w:strike w:val="1"/>
        </w:rPr>
      </w:pPr>
    </w:p>
    <w:p>
      <w:pPr>
        <w:ind w:left="120" w:right="400" w:firstLine="514"/>
        <w:spacing w:after="0" w:line="242" w:lineRule="auto"/>
        <w:tabs>
          <w:tab w:leader="none" w:pos="1301" w:val="left"/>
        </w:tabs>
        <w:numPr>
          <w:ilvl w:val="0"/>
          <w:numId w:val="43"/>
        </w:numPr>
        <w:rPr>
          <w:rFonts w:ascii="Calibri" w:cs="Calibri" w:eastAsia="Calibri" w:hAnsi="Calibri"/>
          <w:sz w:val="20"/>
          <w:szCs w:val="20"/>
          <w:color w:val="FF0000"/>
          <w:strike w:val="1"/>
        </w:rPr>
      </w:pPr>
      <w:r>
        <w:rPr>
          <w:rFonts w:ascii="Calibri" w:cs="Calibri" w:eastAsia="Calibri" w:hAnsi="Calibri"/>
          <w:sz w:val="20"/>
          <w:szCs w:val="20"/>
          <w:u w:val="single" w:color="auto"/>
          <w:color w:val="FF0000"/>
          <w:strike w:val="1"/>
        </w:rPr>
        <w:t>Prepayment</w:t>
      </w:r>
      <w:r>
        <w:rPr>
          <w:rFonts w:ascii="Calibri" w:cs="Calibri" w:eastAsia="Calibri" w:hAnsi="Calibri"/>
          <w:sz w:val="20"/>
          <w:szCs w:val="20"/>
          <w:color w:val="FF0000"/>
          <w:strike w:val="1"/>
        </w:rPr>
        <w:t>. Borrower may or shall, as applicable, prepay principal on the Term Loan solely in accordance with the</w:t>
      </w:r>
      <w:r>
        <w:rPr>
          <w:rFonts w:ascii="Calibri" w:cs="Calibri" w:eastAsia="Calibri" w:hAnsi="Calibri"/>
          <w:sz w:val="20"/>
          <w:szCs w:val="20"/>
          <w:u w:val="single" w:color="auto"/>
          <w:color w:val="FF0000"/>
          <w:strike w:val="1"/>
        </w:rPr>
        <w:t xml:space="preserve"> </w:t>
      </w:r>
      <w:r>
        <w:rPr>
          <w:rFonts w:ascii="Calibri" w:cs="Calibri" w:eastAsia="Calibri" w:hAnsi="Calibri"/>
          <w:sz w:val="20"/>
          <w:szCs w:val="20"/>
          <w:color w:val="FF0000"/>
          <w:strike w:val="1"/>
        </w:rPr>
        <w:t>provisions of the Term Note.</w:t>
      </w:r>
    </w:p>
    <w:p>
      <w:pPr>
        <w:spacing w:after="0" w:line="146" w:lineRule="exact"/>
        <w:rPr>
          <w:sz w:val="20"/>
          <w:szCs w:val="20"/>
          <w:color w:val="auto"/>
        </w:rPr>
      </w:pPr>
    </w:p>
    <w:p>
      <w:pPr>
        <w:ind w:left="640"/>
        <w:spacing w:after="0"/>
        <w:tabs>
          <w:tab w:leader="none" w:pos="1860" w:val="left"/>
        </w:tabs>
        <w:rPr>
          <w:sz w:val="20"/>
          <w:szCs w:val="20"/>
          <w:color w:val="auto"/>
        </w:rPr>
      </w:pPr>
      <w:r>
        <w:rPr>
          <w:rFonts w:ascii="Calibri" w:cs="Calibri" w:eastAsia="Calibri" w:hAnsi="Calibri"/>
          <w:sz w:val="20"/>
          <w:szCs w:val="20"/>
          <w:color w:val="auto"/>
        </w:rPr>
        <w:t>SECTION 1.2.</w:t>
        <w:tab/>
        <w:t>INTEREST/FEES.</w:t>
      </w:r>
    </w:p>
    <w:p>
      <w:pPr>
        <w:spacing w:after="0" w:line="171" w:lineRule="exact"/>
        <w:rPr>
          <w:sz w:val="20"/>
          <w:szCs w:val="20"/>
          <w:color w:val="auto"/>
        </w:rPr>
      </w:pPr>
    </w:p>
    <w:p>
      <w:pPr>
        <w:ind w:firstLine="656"/>
        <w:spacing w:after="0" w:line="236" w:lineRule="auto"/>
        <w:tabs>
          <w:tab w:leader="none" w:pos="914" w:val="left"/>
        </w:tabs>
        <w:numPr>
          <w:ilvl w:val="0"/>
          <w:numId w:val="44"/>
        </w:numPr>
        <w:rPr>
          <w:rFonts w:ascii="Calibri" w:cs="Calibri" w:eastAsia="Calibri" w:hAnsi="Calibri"/>
          <w:sz w:val="20"/>
          <w:szCs w:val="20"/>
          <w:color w:val="auto"/>
        </w:rPr>
      </w:pPr>
      <w:r>
        <w:rPr>
          <w:rFonts w:ascii="Calibri" w:cs="Calibri" w:eastAsia="Calibri" w:hAnsi="Calibri"/>
          <w:sz w:val="20"/>
          <w:szCs w:val="20"/>
          <w:u w:val="single" w:color="auto"/>
          <w:color w:val="auto"/>
        </w:rPr>
        <w:t>Interest</w:t>
      </w:r>
      <w:r>
        <w:rPr>
          <w:rFonts w:ascii="Calibri" w:cs="Calibri" w:eastAsia="Calibri" w:hAnsi="Calibri"/>
          <w:sz w:val="20"/>
          <w:szCs w:val="20"/>
          <w:color w:val="auto"/>
        </w:rPr>
        <w:t>. The outstanding principal balance of each credit subject hereto (i.e., any loan or advance hereunder) shall bear interest at the rate of interest set forth in the Line of Credit Note</w:t>
      </w:r>
      <w:r>
        <w:rPr>
          <w:rFonts w:ascii="Calibri" w:cs="Calibri" w:eastAsia="Calibri" w:hAnsi="Calibri"/>
          <w:sz w:val="20"/>
          <w:szCs w:val="20"/>
          <w:color w:val="FF0000"/>
          <w:strike w:val="1"/>
        </w:rPr>
        <w:t>, the Term Note</w:t>
      </w:r>
      <w:r>
        <w:rPr>
          <w:rFonts w:ascii="Calibri" w:cs="Calibri" w:eastAsia="Calibri" w:hAnsi="Calibri"/>
          <w:sz w:val="20"/>
          <w:szCs w:val="20"/>
          <w:color w:val="auto"/>
        </w:rPr>
        <w:t xml:space="preserve"> or other instrument or document executed in connecton therewith, as applicable. The Line of Credit Note</w:t>
      </w:r>
      <w:r>
        <w:rPr>
          <w:rFonts w:ascii="Calibri" w:cs="Calibri" w:eastAsia="Calibri" w:hAnsi="Calibri"/>
          <w:sz w:val="20"/>
          <w:szCs w:val="20"/>
          <w:color w:val="FF0000"/>
          <w:strike w:val="1"/>
        </w:rPr>
        <w:t>, the Term Note</w:t>
      </w:r>
      <w:r>
        <w:rPr>
          <w:rFonts w:ascii="Calibri" w:cs="Calibri" w:eastAsia="Calibri" w:hAnsi="Calibri"/>
          <w:sz w:val="20"/>
          <w:szCs w:val="20"/>
          <w:color w:val="auto"/>
        </w:rPr>
        <w:t xml:space="preserve"> or other instruments or documents executed in connecton with the credit subject to this Agreement, as applicable, may calculate interest at a rate equal to the sum of an index rate of interest</w:t>
      </w:r>
    </w:p>
    <w:p>
      <w:pPr>
        <w:spacing w:after="0" w:line="25" w:lineRule="exact"/>
        <w:rPr>
          <w:rFonts w:ascii="Calibri" w:cs="Calibri" w:eastAsia="Calibri" w:hAnsi="Calibri"/>
          <w:sz w:val="20"/>
          <w:szCs w:val="20"/>
          <w:color w:val="auto"/>
        </w:rPr>
      </w:pPr>
    </w:p>
    <w:p>
      <w:pPr>
        <w:ind w:right="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plus a margin rate of interest, as more partcularly specified in such Line of Credit Note</w:t>
      </w:r>
      <w:r>
        <w:rPr>
          <w:rFonts w:ascii="Calibri" w:cs="Calibri" w:eastAsia="Calibri" w:hAnsi="Calibri"/>
          <w:sz w:val="20"/>
          <w:szCs w:val="20"/>
          <w:color w:val="FF0000"/>
          <w:strike w:val="1"/>
        </w:rPr>
        <w:t>, such Term Note</w:t>
      </w:r>
      <w:r>
        <w:rPr>
          <w:rFonts w:ascii="Calibri" w:cs="Calibri" w:eastAsia="Calibri" w:hAnsi="Calibri"/>
          <w:sz w:val="20"/>
          <w:szCs w:val="20"/>
          <w:color w:val="auto"/>
        </w:rPr>
        <w:t xml:space="preserve"> or such other instruments or documents, as applicable. In the event any index rate of interest would be less than zero percent (0.0%), then the index rate of interest shall be deemed to be zero percent (0.0%) and the Line of Credit Note</w:t>
      </w:r>
      <w:r>
        <w:rPr>
          <w:rFonts w:ascii="Calibri" w:cs="Calibri" w:eastAsia="Calibri" w:hAnsi="Calibri"/>
          <w:sz w:val="20"/>
          <w:szCs w:val="20"/>
          <w:color w:val="FF0000"/>
          <w:strike w:val="1"/>
        </w:rPr>
        <w:t>, the Term Note</w:t>
      </w:r>
      <w:r>
        <w:rPr>
          <w:rFonts w:ascii="Calibri" w:cs="Calibri" w:eastAsia="Calibri" w:hAnsi="Calibri"/>
          <w:sz w:val="20"/>
          <w:szCs w:val="20"/>
          <w:color w:val="auto"/>
        </w:rPr>
        <w:t xml:space="preserve"> or other instrument or document, as applicable,</w:t>
      </w:r>
    </w:p>
    <w:p>
      <w:pPr>
        <w:spacing w:after="0" w:line="22" w:lineRule="exact"/>
        <w:rPr>
          <w:rFonts w:ascii="Calibri" w:cs="Calibri" w:eastAsia="Calibri" w:hAnsi="Calibri"/>
          <w:sz w:val="20"/>
          <w:szCs w:val="20"/>
          <w:color w:val="auto"/>
        </w:rPr>
      </w:pPr>
    </w:p>
    <w:p>
      <w:pPr>
        <w:ind w:right="28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shall bear interest at a rate equal to such index rate of interest plus the margin rate of interest, as more partcularly specified in such Line of Credit Note</w:t>
      </w:r>
      <w:r>
        <w:rPr>
          <w:rFonts w:ascii="Calibri" w:cs="Calibri" w:eastAsia="Calibri" w:hAnsi="Calibri"/>
          <w:sz w:val="20"/>
          <w:szCs w:val="20"/>
          <w:color w:val="FF0000"/>
          <w:strike w:val="1"/>
        </w:rPr>
        <w:t>, such Term Note</w:t>
      </w:r>
      <w:r>
        <w:rPr>
          <w:rFonts w:ascii="Calibri" w:cs="Calibri" w:eastAsia="Calibri" w:hAnsi="Calibri"/>
          <w:sz w:val="20"/>
          <w:szCs w:val="20"/>
          <w:color w:val="auto"/>
        </w:rPr>
        <w:t xml:space="preserve"> or such other instrument or document, as applicable.</w:t>
      </w:r>
    </w:p>
    <w:p>
      <w:pPr>
        <w:spacing w:after="0" w:line="252" w:lineRule="exact"/>
        <w:rPr>
          <w:rFonts w:ascii="Calibri" w:cs="Calibri" w:eastAsia="Calibri" w:hAnsi="Calibri"/>
          <w:sz w:val="20"/>
          <w:szCs w:val="20"/>
          <w:color w:val="auto"/>
        </w:rPr>
      </w:pPr>
    </w:p>
    <w:p>
      <w:pPr>
        <w:ind w:right="160" w:firstLine="656"/>
        <w:spacing w:after="0" w:line="236" w:lineRule="auto"/>
        <w:tabs>
          <w:tab w:leader="none" w:pos="923" w:val="left"/>
        </w:tabs>
        <w:numPr>
          <w:ilvl w:val="0"/>
          <w:numId w:val="44"/>
        </w:numPr>
        <w:rPr>
          <w:rFonts w:ascii="Calibri" w:cs="Calibri" w:eastAsia="Calibri" w:hAnsi="Calibri"/>
          <w:sz w:val="20"/>
          <w:szCs w:val="20"/>
          <w:color w:val="auto"/>
        </w:rPr>
      </w:pPr>
      <w:r>
        <w:rPr>
          <w:rFonts w:ascii="Calibri" w:cs="Calibri" w:eastAsia="Calibri" w:hAnsi="Calibri"/>
          <w:sz w:val="20"/>
          <w:szCs w:val="20"/>
          <w:u w:val="single" w:color="auto"/>
          <w:color w:val="auto"/>
        </w:rPr>
        <w:t>Computaton and Payment</w:t>
      </w:r>
      <w:r>
        <w:rPr>
          <w:rFonts w:ascii="Calibri" w:cs="Calibri" w:eastAsia="Calibri" w:hAnsi="Calibri"/>
          <w:sz w:val="20"/>
          <w:szCs w:val="20"/>
          <w:color w:val="auto"/>
        </w:rPr>
        <w:t>. Interest shall be computed on the basis set forth in the Line of Credit Note</w:t>
      </w:r>
      <w:r>
        <w:rPr>
          <w:rFonts w:ascii="Calibri" w:cs="Calibri" w:eastAsia="Calibri" w:hAnsi="Calibri"/>
          <w:sz w:val="20"/>
          <w:szCs w:val="20"/>
          <w:color w:val="FF0000"/>
          <w:strike w:val="1"/>
        </w:rPr>
        <w:t>, the Term Note</w:t>
      </w:r>
      <w:r>
        <w:rPr>
          <w:rFonts w:ascii="Calibri" w:cs="Calibri" w:eastAsia="Calibri" w:hAnsi="Calibri"/>
          <w:sz w:val="20"/>
          <w:szCs w:val="20"/>
          <w:color w:val="auto"/>
        </w:rPr>
        <w:t xml:space="preserve"> or other instrument or document, as applicable. Interest shall be payable at the tmes and places set forth in the Line of Credit Note</w:t>
      </w:r>
      <w:r>
        <w:rPr>
          <w:rFonts w:ascii="Calibri" w:cs="Calibri" w:eastAsia="Calibri" w:hAnsi="Calibri"/>
          <w:sz w:val="20"/>
          <w:szCs w:val="20"/>
          <w:color w:val="FF0000"/>
          <w:strike w:val="1"/>
        </w:rPr>
        <w:t>, the</w:t>
      </w:r>
      <w:r>
        <w:rPr>
          <w:rFonts w:ascii="Calibri" w:cs="Calibri" w:eastAsia="Calibri" w:hAnsi="Calibri"/>
          <w:sz w:val="20"/>
          <w:szCs w:val="20"/>
          <w:color w:val="auto"/>
        </w:rPr>
        <w:t xml:space="preserve"> </w:t>
      </w:r>
      <w:r>
        <w:rPr>
          <w:rFonts w:ascii="Calibri" w:cs="Calibri" w:eastAsia="Calibri" w:hAnsi="Calibri"/>
          <w:sz w:val="20"/>
          <w:szCs w:val="20"/>
          <w:color w:val="FF0000"/>
          <w:strike w:val="1"/>
        </w:rPr>
        <w:t>Term Note</w:t>
      </w:r>
      <w:r>
        <w:rPr>
          <w:rFonts w:ascii="Calibri" w:cs="Calibri" w:eastAsia="Calibri" w:hAnsi="Calibri"/>
          <w:sz w:val="20"/>
          <w:szCs w:val="20"/>
          <w:color w:val="FF0000"/>
        </w:rPr>
        <w:t xml:space="preserve"> </w:t>
      </w:r>
      <w:r>
        <w:rPr>
          <w:rFonts w:ascii="Calibri" w:cs="Calibri" w:eastAsia="Calibri" w:hAnsi="Calibri"/>
          <w:sz w:val="20"/>
          <w:szCs w:val="20"/>
          <w:color w:val="000000"/>
        </w:rPr>
        <w:t>or other instrument or document, as applicable.</w:t>
      </w:r>
    </w:p>
    <w:p>
      <w:pPr>
        <w:spacing w:after="0" w:line="134" w:lineRule="exact"/>
        <w:rPr>
          <w:rFonts w:ascii="Calibri" w:cs="Calibri" w:eastAsia="Calibri" w:hAnsi="Calibri"/>
          <w:sz w:val="20"/>
          <w:szCs w:val="20"/>
          <w:color w:val="auto"/>
        </w:rPr>
      </w:pPr>
    </w:p>
    <w:p>
      <w:pPr>
        <w:ind w:left="920" w:hanging="264"/>
        <w:spacing w:after="0"/>
        <w:tabs>
          <w:tab w:leader="none" w:pos="920" w:val="left"/>
        </w:tabs>
        <w:numPr>
          <w:ilvl w:val="0"/>
          <w:numId w:val="44"/>
        </w:numPr>
        <w:rPr>
          <w:rFonts w:ascii="Calibri" w:cs="Calibri" w:eastAsia="Calibri" w:hAnsi="Calibri"/>
          <w:sz w:val="20"/>
          <w:szCs w:val="20"/>
          <w:color w:val="0000FF"/>
        </w:rPr>
      </w:pPr>
      <w:r>
        <w:rPr>
          <w:rFonts w:ascii="Calibri" w:cs="Calibri" w:eastAsia="Calibri" w:hAnsi="Calibri"/>
          <w:sz w:val="20"/>
          <w:szCs w:val="20"/>
          <w:u w:val="single" w:color="auto"/>
          <w:color w:val="0000FF"/>
        </w:rPr>
        <w:t>Unused Commitment Fee; Interest Rate.</w:t>
      </w:r>
    </w:p>
    <w:p>
      <w:pPr>
        <w:spacing w:after="0" w:line="157" w:lineRule="exact"/>
        <w:rPr>
          <w:sz w:val="20"/>
          <w:szCs w:val="20"/>
          <w:color w:val="auto"/>
        </w:rPr>
      </w:pPr>
    </w:p>
    <w:p>
      <w:pPr>
        <w:ind w:left="760" w:right="180" w:firstLine="51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color w:val="FF0000"/>
          <w:strike w:val="1"/>
        </w:rPr>
        <w:t>c</w:t>
      </w:r>
      <w:r>
        <w:rPr>
          <w:rFonts w:ascii="Calibri" w:cs="Calibri" w:eastAsia="Calibri" w:hAnsi="Calibri"/>
          <w:sz w:val="20"/>
          <w:szCs w:val="20"/>
          <w:u w:val="single" w:color="auto"/>
          <w:color w:val="0000FF"/>
        </w:rPr>
        <w:t>1</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FF0000"/>
          <w:strike w:val="1"/>
        </w:rPr>
        <w:t>Unused Commitment Fee</w:t>
      </w:r>
      <w:r>
        <w:rPr>
          <w:rFonts w:ascii="Calibri" w:cs="Calibri" w:eastAsia="Calibri" w:hAnsi="Calibri"/>
          <w:sz w:val="20"/>
          <w:szCs w:val="20"/>
          <w:color w:val="FF0000"/>
          <w:strike w:val="1"/>
        </w:rPr>
        <w:t>.</w:t>
      </w:r>
      <w:r>
        <w:rPr>
          <w:rFonts w:ascii="Calibri" w:cs="Calibri" w:eastAsia="Calibri" w:hAnsi="Calibri"/>
          <w:sz w:val="20"/>
          <w:szCs w:val="20"/>
          <w:color w:val="auto"/>
        </w:rPr>
        <w:t xml:space="preserve"> Borrower shall pay to Bank a fee equal to the rate per annum referenced below (computed on the basis of a 360-day year, actual days elapsed)</w:t>
      </w:r>
    </w:p>
    <w:p>
      <w:pPr>
        <w:sectPr>
          <w:pgSz w:w="11900" w:h="16838" w:orient="portrait"/>
          <w:cols w:equalWidth="0" w:num="1">
            <w:col w:w="11100"/>
          </w:cols>
          <w:pgMar w:left="320" w:top="1440" w:right="479" w:bottom="1440" w:gutter="0" w:footer="0" w:header="0"/>
        </w:sectPr>
      </w:pPr>
    </w:p>
    <w:bookmarkStart w:id="107" w:name="page108"/>
    <w:bookmarkEnd w:id="107"/>
    <w:p>
      <w:pPr>
        <w:spacing w:after="0" w:line="134" w:lineRule="exact"/>
        <w:rPr>
          <w:sz w:val="20"/>
          <w:szCs w:val="20"/>
          <w:color w:val="auto"/>
        </w:rPr>
      </w:pPr>
    </w:p>
    <w:p>
      <w:pPr>
        <w:ind w:left="760" w:right="320"/>
        <w:spacing w:after="0" w:line="234" w:lineRule="auto"/>
        <w:rPr>
          <w:sz w:val="20"/>
          <w:szCs w:val="20"/>
          <w:color w:val="auto"/>
        </w:rPr>
      </w:pPr>
      <w:r>
        <w:rPr>
          <w:rFonts w:ascii="Calibri" w:cs="Calibri" w:eastAsia="Calibri" w:hAnsi="Calibri"/>
          <w:sz w:val="20"/>
          <w:szCs w:val="20"/>
          <w:color w:val="auto"/>
        </w:rPr>
        <w:t>on the daily unused amount of the Line of Credit, which fee shall be calculated on a quarterly (calendar) basis by Bank and shall be due and payable by Borrower in arrears on the first day of each calendar quarter, commencing on July 1, 2020.</w:t>
      </w:r>
    </w:p>
    <w:p>
      <w:pPr>
        <w:spacing w:after="0" w:line="149" w:lineRule="exact"/>
        <w:rPr>
          <w:sz w:val="20"/>
          <w:szCs w:val="20"/>
          <w:color w:val="auto"/>
        </w:rPr>
      </w:pPr>
    </w:p>
    <w:p>
      <w:pPr>
        <w:ind w:left="1700" w:hanging="418"/>
        <w:spacing w:after="0"/>
        <w:tabs>
          <w:tab w:leader="none" w:pos="1700" w:val="left"/>
        </w:tabs>
        <w:numPr>
          <w:ilvl w:val="0"/>
          <w:numId w:val="45"/>
        </w:numPr>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Subject to the Line of Credit Note, the outstanding principal balance under the Line of Credit Note shall bear</w:t>
      </w:r>
    </w:p>
    <w:p>
      <w:pPr>
        <w:spacing w:after="0" w:line="22" w:lineRule="exact"/>
        <w:rPr>
          <w:rFonts w:ascii="Calibri" w:cs="Calibri" w:eastAsia="Calibri" w:hAnsi="Calibri"/>
          <w:sz w:val="20"/>
          <w:szCs w:val="20"/>
          <w:u w:val="single" w:color="auto"/>
          <w:color w:val="0000FF"/>
        </w:rPr>
      </w:pPr>
    </w:p>
    <w:p>
      <w:pPr>
        <w:ind w:left="760" w:right="220"/>
        <w:spacing w:after="0" w:line="236" w:lineRule="auto"/>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interest (computed on the basis of a 360-day year, actual days elapsed) either (i) at a fluctuatng rate per annum determined by Bank to be the sum of the SOFR Margin (as defined below) and Daily Simple SOFR (as defined in the Line of Credit Note) in eﬀect from tme to tme, or (ii) at a fixed rate per annum determined by Bank to be the sum of the SOFR Margin (as defined</w:t>
      </w:r>
    </w:p>
    <w:p>
      <w:pPr>
        <w:spacing w:after="0" w:line="22" w:lineRule="exact"/>
        <w:rPr>
          <w:rFonts w:ascii="Calibri" w:cs="Calibri" w:eastAsia="Calibri" w:hAnsi="Calibri"/>
          <w:sz w:val="20"/>
          <w:szCs w:val="20"/>
          <w:u w:val="single" w:color="auto"/>
          <w:color w:val="0000FF"/>
        </w:rPr>
      </w:pPr>
    </w:p>
    <w:p>
      <w:pPr>
        <w:ind w:left="760" w:right="540"/>
        <w:spacing w:after="0" w:line="234" w:lineRule="auto"/>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below) and Term SOFR (as defined in the Line of Credit Note) in eﬀect on the first day of the applicable Interest Period (as defined in the Line of Credit Note). “SOFR Margin” shall mean the percentage determined as follows:</w:t>
      </w:r>
    </w:p>
    <w:p>
      <w:pPr>
        <w:spacing w:after="0" w:line="284" w:lineRule="exact"/>
        <w:rPr>
          <w:sz w:val="20"/>
          <w:szCs w:val="20"/>
          <w:color w:val="auto"/>
        </w:rPr>
      </w:pPr>
    </w:p>
    <w:tbl>
      <w:tblPr>
        <w:tblLayout w:type="fixed"/>
        <w:tblInd w:w="830" w:type="dxa"/>
        <w:tblCellMar>
          <w:top w:w="0" w:type="dxa"/>
          <w:left w:w="0" w:type="dxa"/>
          <w:bottom w:w="0" w:type="dxa"/>
          <w:right w:w="0" w:type="dxa"/>
        </w:tblCellMar>
      </w:tblPr>
      <w:tr>
        <w:trPr>
          <w:trHeight w:val="621"/>
        </w:trPr>
        <w:tc>
          <w:tcPr>
            <w:tcW w:w="162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rPr>
              <w:t>Level</w:t>
            </w:r>
          </w:p>
        </w:tc>
        <w:tc>
          <w:tcPr>
            <w:tcW w:w="2640" w:type="dxa"/>
            <w:vAlign w:val="bottom"/>
            <w:tcBorders>
              <w:top w:val="single" w:sz="8" w:color="auto"/>
              <w:right w:val="single" w:sz="8" w:color="auto"/>
            </w:tcBorders>
          </w:tcPr>
          <w:p>
            <w:pPr>
              <w:ind w:left="340"/>
              <w:spacing w:after="0"/>
              <w:rPr>
                <w:sz w:val="20"/>
                <w:szCs w:val="20"/>
                <w:color w:val="auto"/>
              </w:rPr>
            </w:pPr>
            <w:r>
              <w:rPr>
                <w:rFonts w:ascii="Calibri" w:cs="Calibri" w:eastAsia="Calibri" w:hAnsi="Calibri"/>
                <w:sz w:val="20"/>
                <w:szCs w:val="20"/>
                <w:color w:val="auto"/>
              </w:rPr>
              <w:t>Total Leverage Rato (as</w:t>
            </w:r>
          </w:p>
        </w:tc>
        <w:tc>
          <w:tcPr>
            <w:tcW w:w="2260" w:type="dxa"/>
            <w:vAlign w:val="bottom"/>
            <w:tcBorders>
              <w:top w:val="single" w:sz="8" w:color="auto"/>
              <w:right w:val="single" w:sz="8" w:color="auto"/>
            </w:tcBorders>
            <w:gridSpan w:val="3"/>
            <w:vMerge w:val="restart"/>
          </w:tcPr>
          <w:p>
            <w:pPr>
              <w:jc w:val="right"/>
              <w:ind w:right="1080"/>
              <w:spacing w:after="0"/>
              <w:rPr>
                <w:sz w:val="20"/>
                <w:szCs w:val="20"/>
                <w:color w:val="auto"/>
              </w:rPr>
            </w:pPr>
            <w:r>
              <w:rPr>
                <w:rFonts w:ascii="Calibri" w:cs="Calibri" w:eastAsia="Calibri" w:hAnsi="Calibri"/>
                <w:sz w:val="20"/>
                <w:szCs w:val="20"/>
                <w:color w:val="auto"/>
              </w:rPr>
              <w:t>Unused</w:t>
            </w:r>
          </w:p>
        </w:tc>
        <w:tc>
          <w:tcPr>
            <w:tcW w:w="560" w:type="dxa"/>
            <w:vAlign w:val="bottom"/>
            <w:tcBorders>
              <w:top w:val="single" w:sz="8" w:color="auto"/>
            </w:tcBorders>
            <w:shd w:val="clear" w:color="auto" w:fill="E6E6F9"/>
          </w:tcPr>
          <w:p>
            <w:pPr>
              <w:spacing w:after="0"/>
              <w:rPr>
                <w:sz w:val="24"/>
                <w:szCs w:val="24"/>
                <w:color w:val="auto"/>
              </w:rPr>
            </w:pPr>
          </w:p>
        </w:tc>
        <w:tc>
          <w:tcPr>
            <w:tcW w:w="1680" w:type="dxa"/>
            <w:vAlign w:val="bottom"/>
            <w:tcBorders>
              <w:top w:val="single" w:sz="8" w:color="auto"/>
              <w:right w:val="single" w:sz="8" w:color="auto"/>
            </w:tcBorders>
            <w:gridSpan w:val="4"/>
            <w:shd w:val="clear" w:color="auto" w:fill="E6E6F9"/>
          </w:tcPr>
          <w:p>
            <w:pPr>
              <w:jc w:val="center"/>
              <w:ind w:right="620"/>
              <w:spacing w:after="0"/>
              <w:rPr>
                <w:sz w:val="20"/>
                <w:szCs w:val="20"/>
                <w:color w:val="auto"/>
              </w:rPr>
            </w:pPr>
            <w:r>
              <w:rPr>
                <w:rFonts w:ascii="Calibri" w:cs="Calibri" w:eastAsia="Calibri" w:hAnsi="Calibri"/>
                <w:sz w:val="20"/>
                <w:szCs w:val="20"/>
                <w:color w:val="0000FF"/>
              </w:rPr>
              <w:t>SOFR Margin</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vMerge w:val="restart"/>
          </w:tcPr>
          <w:p>
            <w:pPr>
              <w:ind w:left="260"/>
              <w:spacing w:after="0"/>
              <w:rPr>
                <w:sz w:val="20"/>
                <w:szCs w:val="20"/>
                <w:color w:val="auto"/>
              </w:rPr>
            </w:pPr>
            <w:r>
              <w:rPr>
                <w:rFonts w:ascii="Calibri" w:cs="Calibri" w:eastAsia="Calibri" w:hAnsi="Calibri"/>
                <w:sz w:val="20"/>
                <w:szCs w:val="20"/>
                <w:color w:val="auto"/>
              </w:rPr>
              <w:t>defined in Secton 4.9(a))</w:t>
            </w:r>
          </w:p>
        </w:tc>
        <w:tc>
          <w:tcPr>
            <w:tcW w:w="2260" w:type="dxa"/>
            <w:vAlign w:val="bottom"/>
            <w:tcBorders>
              <w:top w:val="single" w:sz="8" w:color="auto"/>
              <w:right w:val="single" w:sz="8" w:color="auto"/>
            </w:tcBorders>
            <w:gridSpan w:val="3"/>
            <w:vMerge w:val="continue"/>
          </w:tcPr>
          <w:p>
            <w:pPr>
              <w:spacing w:after="0"/>
              <w:rPr>
                <w:sz w:val="7"/>
                <w:szCs w:val="7"/>
                <w:color w:val="auto"/>
              </w:rPr>
            </w:pPr>
          </w:p>
        </w:tc>
        <w:tc>
          <w:tcPr>
            <w:tcW w:w="560" w:type="dxa"/>
            <w:vAlign w:val="bottom"/>
            <w:tcBorders>
              <w:top w:val="single" w:sz="8" w:color="E6E6F9"/>
            </w:tcBorders>
            <w:shd w:val="clear" w:color="auto" w:fill="E6E6F9"/>
          </w:tcPr>
          <w:p>
            <w:pPr>
              <w:spacing w:after="0"/>
              <w:rPr>
                <w:sz w:val="7"/>
                <w:szCs w:val="7"/>
                <w:color w:val="auto"/>
              </w:rPr>
            </w:pPr>
          </w:p>
        </w:tc>
        <w:tc>
          <w:tcPr>
            <w:tcW w:w="280" w:type="dxa"/>
            <w:vAlign w:val="bottom"/>
            <w:tcBorders>
              <w:top w:val="single" w:sz="8" w:color="0000FF"/>
            </w:tcBorders>
            <w:shd w:val="clear" w:color="auto" w:fill="E6E6F9"/>
          </w:tcPr>
          <w:p>
            <w:pPr>
              <w:spacing w:after="0"/>
              <w:rPr>
                <w:sz w:val="7"/>
                <w:szCs w:val="7"/>
                <w:color w:val="auto"/>
              </w:rPr>
            </w:pPr>
          </w:p>
        </w:tc>
        <w:tc>
          <w:tcPr>
            <w:tcW w:w="500" w:type="dxa"/>
            <w:vAlign w:val="bottom"/>
            <w:tcBorders>
              <w:top w:val="single" w:sz="8" w:color="0000FF"/>
            </w:tcBorders>
            <w:shd w:val="clear" w:color="auto" w:fill="E6E6F9"/>
          </w:tcPr>
          <w:p>
            <w:pPr>
              <w:spacing w:after="0"/>
              <w:rPr>
                <w:sz w:val="7"/>
                <w:szCs w:val="7"/>
                <w:color w:val="auto"/>
              </w:rPr>
            </w:pPr>
          </w:p>
        </w:tc>
        <w:tc>
          <w:tcPr>
            <w:tcW w:w="280" w:type="dxa"/>
            <w:vAlign w:val="bottom"/>
            <w:tcBorders>
              <w:top w:val="single" w:sz="8" w:color="0000FF"/>
            </w:tcBorders>
            <w:shd w:val="clear" w:color="auto" w:fill="E6E6F9"/>
          </w:tcPr>
          <w:p>
            <w:pPr>
              <w:spacing w:after="0"/>
              <w:rPr>
                <w:sz w:val="7"/>
                <w:szCs w:val="7"/>
                <w:color w:val="auto"/>
              </w:rPr>
            </w:pPr>
          </w:p>
        </w:tc>
        <w:tc>
          <w:tcPr>
            <w:tcW w:w="620" w:type="dxa"/>
            <w:vAlign w:val="bottom"/>
            <w:tcBorders>
              <w:top w:val="single" w:sz="8" w:color="E6E6F9"/>
              <w:right w:val="single" w:sz="8" w:color="auto"/>
            </w:tcBorders>
            <w:shd w:val="clear" w:color="auto" w:fill="E6E6F9"/>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620" w:type="dxa"/>
            <w:vAlign w:val="bottom"/>
            <w:tcBorders>
              <w:left w:val="single" w:sz="8" w:color="auto"/>
              <w:righ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gridSpan w:val="3"/>
            <w:vMerge w:val="restart"/>
          </w:tcPr>
          <w:p>
            <w:pPr>
              <w:jc w:val="right"/>
              <w:ind w:right="680"/>
              <w:spacing w:after="0"/>
              <w:rPr>
                <w:sz w:val="20"/>
                <w:szCs w:val="20"/>
                <w:color w:val="auto"/>
              </w:rPr>
            </w:pPr>
            <w:r>
              <w:rPr>
                <w:rFonts w:ascii="Calibri" w:cs="Calibri" w:eastAsia="Calibri" w:hAnsi="Calibri"/>
                <w:sz w:val="20"/>
                <w:szCs w:val="20"/>
                <w:color w:val="auto"/>
              </w:rPr>
              <w:t>Commitment Fee</w:t>
            </w:r>
          </w:p>
        </w:tc>
        <w:tc>
          <w:tcPr>
            <w:tcW w:w="560" w:type="dxa"/>
            <w:vAlign w:val="bottom"/>
            <w:shd w:val="clear" w:color="auto" w:fill="E6E6F9"/>
          </w:tcPr>
          <w:p>
            <w:pPr>
              <w:spacing w:after="0"/>
              <w:rPr>
                <w:sz w:val="16"/>
                <w:szCs w:val="16"/>
                <w:color w:val="auto"/>
              </w:rPr>
            </w:pPr>
          </w:p>
        </w:tc>
        <w:tc>
          <w:tcPr>
            <w:tcW w:w="280" w:type="dxa"/>
            <w:vAlign w:val="bottom"/>
            <w:shd w:val="clear" w:color="auto" w:fill="E6E6F9"/>
          </w:tcPr>
          <w:p>
            <w:pPr>
              <w:spacing w:after="0"/>
              <w:rPr>
                <w:sz w:val="16"/>
                <w:szCs w:val="16"/>
                <w:color w:val="auto"/>
              </w:rPr>
            </w:pPr>
          </w:p>
        </w:tc>
        <w:tc>
          <w:tcPr>
            <w:tcW w:w="500" w:type="dxa"/>
            <w:vAlign w:val="bottom"/>
            <w:shd w:val="clear" w:color="auto" w:fill="E6E6F9"/>
          </w:tcPr>
          <w:p>
            <w:pPr>
              <w:spacing w:after="0"/>
              <w:rPr>
                <w:sz w:val="16"/>
                <w:szCs w:val="16"/>
                <w:color w:val="auto"/>
              </w:rPr>
            </w:pPr>
          </w:p>
        </w:tc>
        <w:tc>
          <w:tcPr>
            <w:tcW w:w="280" w:type="dxa"/>
            <w:vAlign w:val="bottom"/>
            <w:shd w:val="clear" w:color="auto" w:fill="E6E6F9"/>
          </w:tcPr>
          <w:p>
            <w:pPr>
              <w:spacing w:after="0"/>
              <w:rPr>
                <w:sz w:val="16"/>
                <w:szCs w:val="16"/>
                <w:color w:val="auto"/>
              </w:rPr>
            </w:pPr>
          </w:p>
        </w:tc>
        <w:tc>
          <w:tcPr>
            <w:tcW w:w="620" w:type="dxa"/>
            <w:vAlign w:val="bottom"/>
            <w:tcBorders>
              <w:right w:val="single" w:sz="8" w:color="auto"/>
            </w:tcBorders>
            <w:shd w:val="clear" w:color="auto" w:fill="E6E6F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26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gridSpan w:val="3"/>
            <w:vMerge w:val="continue"/>
          </w:tcPr>
          <w:p>
            <w:pPr>
              <w:spacing w:after="0"/>
              <w:rPr>
                <w:sz w:val="17"/>
                <w:szCs w:val="17"/>
                <w:color w:val="auto"/>
              </w:rPr>
            </w:pPr>
          </w:p>
        </w:tc>
        <w:tc>
          <w:tcPr>
            <w:tcW w:w="560" w:type="dxa"/>
            <w:vAlign w:val="bottom"/>
            <w:shd w:val="clear" w:color="auto" w:fill="E6E6F9"/>
          </w:tcPr>
          <w:p>
            <w:pPr>
              <w:spacing w:after="0"/>
              <w:rPr>
                <w:sz w:val="17"/>
                <w:szCs w:val="17"/>
                <w:color w:val="auto"/>
              </w:rPr>
            </w:pPr>
          </w:p>
        </w:tc>
        <w:tc>
          <w:tcPr>
            <w:tcW w:w="280" w:type="dxa"/>
            <w:vAlign w:val="bottom"/>
            <w:shd w:val="clear" w:color="auto" w:fill="E6E6F9"/>
          </w:tcPr>
          <w:p>
            <w:pPr>
              <w:spacing w:after="0"/>
              <w:rPr>
                <w:sz w:val="17"/>
                <w:szCs w:val="17"/>
                <w:color w:val="auto"/>
              </w:rPr>
            </w:pPr>
          </w:p>
        </w:tc>
        <w:tc>
          <w:tcPr>
            <w:tcW w:w="500" w:type="dxa"/>
            <w:vAlign w:val="bottom"/>
            <w:shd w:val="clear" w:color="auto" w:fill="E6E6F9"/>
          </w:tcPr>
          <w:p>
            <w:pPr>
              <w:spacing w:after="0"/>
              <w:rPr>
                <w:sz w:val="17"/>
                <w:szCs w:val="17"/>
                <w:color w:val="auto"/>
              </w:rPr>
            </w:pPr>
          </w:p>
        </w:tc>
        <w:tc>
          <w:tcPr>
            <w:tcW w:w="280" w:type="dxa"/>
            <w:vAlign w:val="bottom"/>
            <w:shd w:val="clear" w:color="auto" w:fill="E6E6F9"/>
          </w:tcPr>
          <w:p>
            <w:pPr>
              <w:spacing w:after="0"/>
              <w:rPr>
                <w:sz w:val="17"/>
                <w:szCs w:val="17"/>
                <w:color w:val="auto"/>
              </w:rPr>
            </w:pPr>
          </w:p>
        </w:tc>
        <w:tc>
          <w:tcPr>
            <w:tcW w:w="620" w:type="dxa"/>
            <w:vAlign w:val="bottom"/>
            <w:tcBorders>
              <w:right w:val="single" w:sz="8" w:color="auto"/>
            </w:tcBorders>
            <w:shd w:val="clear" w:color="auto" w:fill="E6E6F9"/>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1620" w:type="dxa"/>
            <w:vAlign w:val="bottom"/>
            <w:tcBorders>
              <w:left w:val="single" w:sz="8" w:color="auto"/>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shd w:val="clear" w:color="auto" w:fill="E6E6F9"/>
          </w:tcPr>
          <w:p>
            <w:pPr>
              <w:spacing w:after="0"/>
              <w:rPr>
                <w:sz w:val="11"/>
                <w:szCs w:val="11"/>
                <w:color w:val="auto"/>
              </w:rPr>
            </w:pPr>
          </w:p>
        </w:tc>
        <w:tc>
          <w:tcPr>
            <w:tcW w:w="280" w:type="dxa"/>
            <w:vAlign w:val="bottom"/>
            <w:tcBorders>
              <w:bottom w:val="single" w:sz="8" w:color="auto"/>
            </w:tcBorders>
            <w:shd w:val="clear" w:color="auto" w:fill="E6E6F9"/>
          </w:tcPr>
          <w:p>
            <w:pPr>
              <w:spacing w:after="0"/>
              <w:rPr>
                <w:sz w:val="11"/>
                <w:szCs w:val="11"/>
                <w:color w:val="auto"/>
              </w:rPr>
            </w:pPr>
          </w:p>
        </w:tc>
        <w:tc>
          <w:tcPr>
            <w:tcW w:w="500" w:type="dxa"/>
            <w:vAlign w:val="bottom"/>
            <w:tcBorders>
              <w:bottom w:val="single" w:sz="8" w:color="auto"/>
            </w:tcBorders>
            <w:shd w:val="clear" w:color="auto" w:fill="E6E6F9"/>
          </w:tcPr>
          <w:p>
            <w:pPr>
              <w:spacing w:after="0"/>
              <w:rPr>
                <w:sz w:val="11"/>
                <w:szCs w:val="11"/>
                <w:color w:val="auto"/>
              </w:rPr>
            </w:pPr>
          </w:p>
        </w:tc>
        <w:tc>
          <w:tcPr>
            <w:tcW w:w="280" w:type="dxa"/>
            <w:vAlign w:val="bottom"/>
            <w:tcBorders>
              <w:bottom w:val="single" w:sz="8" w:color="auto"/>
            </w:tcBorders>
            <w:shd w:val="clear" w:color="auto" w:fill="E6E6F9"/>
          </w:tcPr>
          <w:p>
            <w:pPr>
              <w:spacing w:after="0"/>
              <w:rPr>
                <w:sz w:val="11"/>
                <w:szCs w:val="11"/>
                <w:color w:val="auto"/>
              </w:rPr>
            </w:pPr>
          </w:p>
        </w:tc>
        <w:tc>
          <w:tcPr>
            <w:tcW w:w="620" w:type="dxa"/>
            <w:vAlign w:val="bottom"/>
            <w:tcBorders>
              <w:bottom w:val="single" w:sz="8" w:color="auto"/>
              <w:right w:val="single" w:sz="8" w:color="auto"/>
            </w:tcBorders>
            <w:shd w:val="clear" w:color="auto" w:fill="E6E6F9"/>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right w:val="single" w:sz="8" w:color="auto"/>
            </w:tcBorders>
          </w:tcPr>
          <w:p>
            <w:pPr>
              <w:jc w:val="center"/>
              <w:spacing w:after="0" w:line="196" w:lineRule="exact"/>
              <w:rPr>
                <w:sz w:val="20"/>
                <w:szCs w:val="20"/>
                <w:color w:val="auto"/>
              </w:rPr>
            </w:pPr>
            <w:r>
              <w:rPr>
                <w:rFonts w:ascii="Calibri" w:cs="Calibri" w:eastAsia="Calibri" w:hAnsi="Calibri"/>
                <w:sz w:val="20"/>
                <w:szCs w:val="20"/>
                <w:color w:val="auto"/>
                <w:w w:val="78"/>
              </w:rPr>
              <w:t>I</w:t>
            </w:r>
          </w:p>
        </w:tc>
        <w:tc>
          <w:tcPr>
            <w:tcW w:w="2640" w:type="dxa"/>
            <w:vAlign w:val="bottom"/>
            <w:tcBorders>
              <w:right w:val="single" w:sz="8" w:color="auto"/>
            </w:tcBorders>
          </w:tcPr>
          <w:p>
            <w:pPr>
              <w:ind w:left="200"/>
              <w:spacing w:after="0" w:line="196" w:lineRule="exact"/>
              <w:rPr>
                <w:sz w:val="20"/>
                <w:szCs w:val="20"/>
                <w:color w:val="auto"/>
              </w:rPr>
            </w:pPr>
            <w:r>
              <w:rPr>
                <w:rFonts w:ascii="Calibri" w:cs="Calibri" w:eastAsia="Calibri" w:hAnsi="Calibri"/>
                <w:sz w:val="20"/>
                <w:szCs w:val="20"/>
                <w:color w:val="auto"/>
              </w:rPr>
              <w:t>Less than or equal to</w:t>
            </w:r>
          </w:p>
        </w:tc>
        <w:tc>
          <w:tcPr>
            <w:tcW w:w="980" w:type="dxa"/>
            <w:vAlign w:val="bottom"/>
          </w:tcPr>
          <w:p>
            <w:pPr>
              <w:jc w:val="right"/>
              <w:spacing w:after="0" w:line="196" w:lineRule="exact"/>
              <w:rPr>
                <w:sz w:val="20"/>
                <w:szCs w:val="20"/>
                <w:color w:val="auto"/>
              </w:rPr>
            </w:pPr>
            <w:r>
              <w:rPr>
                <w:rFonts w:ascii="Calibri" w:cs="Calibri" w:eastAsia="Calibri" w:hAnsi="Calibri"/>
                <w:sz w:val="20"/>
                <w:szCs w:val="20"/>
                <w:color w:val="FF0000"/>
                <w:strike w:val="1"/>
              </w:rPr>
              <w:t>0.10</w:t>
            </w:r>
          </w:p>
        </w:tc>
        <w:tc>
          <w:tcPr>
            <w:tcW w:w="1280" w:type="dxa"/>
            <w:vAlign w:val="bottom"/>
            <w:tcBorders>
              <w:right w:val="single" w:sz="8" w:color="auto"/>
            </w:tcBorders>
            <w:gridSpan w:val="2"/>
          </w:tcPr>
          <w:p>
            <w:pPr>
              <w:jc w:val="right"/>
              <w:ind w:right="680"/>
              <w:spacing w:after="0" w:line="196" w:lineRule="exact"/>
              <w:rPr>
                <w:sz w:val="20"/>
                <w:szCs w:val="20"/>
                <w:color w:val="auto"/>
              </w:rPr>
            </w:pPr>
            <w:r>
              <w:rPr>
                <w:rFonts w:ascii="Calibri" w:cs="Calibri" w:eastAsia="Calibri" w:hAnsi="Calibri"/>
                <w:sz w:val="20"/>
                <w:szCs w:val="20"/>
                <w:color w:val="0000FF"/>
                <w:w w:val="96"/>
              </w:rPr>
              <w:t>0.125</w:t>
            </w:r>
            <w:r>
              <w:rPr>
                <w:rFonts w:ascii="Calibri" w:cs="Calibri" w:eastAsia="Calibri" w:hAnsi="Calibri"/>
                <w:sz w:val="20"/>
                <w:szCs w:val="20"/>
                <w:color w:val="000000"/>
                <w:w w:val="96"/>
              </w:rPr>
              <w:t>%</w:t>
            </w:r>
          </w:p>
        </w:tc>
        <w:tc>
          <w:tcPr>
            <w:tcW w:w="1340" w:type="dxa"/>
            <w:vAlign w:val="bottom"/>
            <w:gridSpan w:val="3"/>
            <w:shd w:val="clear" w:color="auto" w:fill="E6E6F9"/>
          </w:tcPr>
          <w:p>
            <w:pPr>
              <w:jc w:val="center"/>
              <w:ind w:left="741"/>
              <w:spacing w:after="0" w:line="196" w:lineRule="exact"/>
              <w:rPr>
                <w:sz w:val="20"/>
                <w:szCs w:val="20"/>
                <w:color w:val="auto"/>
              </w:rPr>
            </w:pPr>
            <w:r>
              <w:rPr>
                <w:rFonts w:ascii="Calibri" w:cs="Calibri" w:eastAsia="Calibri" w:hAnsi="Calibri"/>
                <w:sz w:val="20"/>
                <w:szCs w:val="20"/>
                <w:color w:val="0000FF"/>
              </w:rPr>
              <w:t>1.00%</w:t>
            </w:r>
          </w:p>
        </w:tc>
        <w:tc>
          <w:tcPr>
            <w:tcW w:w="280" w:type="dxa"/>
            <w:vAlign w:val="bottom"/>
            <w:shd w:val="clear" w:color="auto" w:fill="E6E6F9"/>
          </w:tcPr>
          <w:p>
            <w:pPr>
              <w:spacing w:after="0"/>
              <w:rPr>
                <w:sz w:val="17"/>
                <w:szCs w:val="17"/>
                <w:color w:val="auto"/>
              </w:rPr>
            </w:pPr>
          </w:p>
        </w:tc>
        <w:tc>
          <w:tcPr>
            <w:tcW w:w="620" w:type="dxa"/>
            <w:vAlign w:val="bottom"/>
            <w:tcBorders>
              <w:right w:val="single" w:sz="8" w:color="auto"/>
            </w:tcBorders>
            <w:shd w:val="clear" w:color="auto" w:fill="E6E6F9"/>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620" w:type="dxa"/>
            <w:vAlign w:val="bottom"/>
            <w:tcBorders>
              <w:left w:val="single" w:sz="8" w:color="auto"/>
              <w:right w:val="single" w:sz="8" w:color="auto"/>
            </w:tcBorders>
          </w:tcPr>
          <w:p>
            <w:pPr>
              <w:spacing w:after="0"/>
              <w:rPr>
                <w:sz w:val="24"/>
                <w:szCs w:val="24"/>
                <w:color w:val="auto"/>
              </w:rPr>
            </w:pPr>
          </w:p>
        </w:tc>
        <w:tc>
          <w:tcPr>
            <w:tcW w:w="2640" w:type="dxa"/>
            <w:vAlign w:val="bottom"/>
            <w:tcBorders>
              <w:right w:val="single" w:sz="8" w:color="auto"/>
            </w:tcBorders>
          </w:tcPr>
          <w:p>
            <w:pPr>
              <w:ind w:left="540"/>
              <w:spacing w:after="0"/>
              <w:rPr>
                <w:sz w:val="20"/>
                <w:szCs w:val="20"/>
                <w:color w:val="auto"/>
              </w:rPr>
            </w:pPr>
            <w:r>
              <w:rPr>
                <w:rFonts w:ascii="Calibri" w:cs="Calibri" w:eastAsia="Calibri" w:hAnsi="Calibri"/>
                <w:sz w:val="20"/>
                <w:szCs w:val="20"/>
                <w:color w:val="auto"/>
              </w:rPr>
              <w:t>1.25 to 1.00</w:t>
            </w:r>
          </w:p>
        </w:tc>
        <w:tc>
          <w:tcPr>
            <w:tcW w:w="98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560" w:type="dxa"/>
            <w:vAlign w:val="bottom"/>
            <w:tcBorders>
              <w:top w:val="single" w:sz="8" w:color="E6E6F9"/>
              <w:bottom w:val="single" w:sz="8" w:color="E6E6F9"/>
            </w:tcBorders>
            <w:shd w:val="clear" w:color="auto" w:fill="E6E6F9"/>
          </w:tcPr>
          <w:p>
            <w:pPr>
              <w:spacing w:after="0"/>
              <w:rPr>
                <w:sz w:val="24"/>
                <w:szCs w:val="24"/>
                <w:color w:val="auto"/>
              </w:rPr>
            </w:pPr>
          </w:p>
        </w:tc>
        <w:tc>
          <w:tcPr>
            <w:tcW w:w="280" w:type="dxa"/>
            <w:vAlign w:val="bottom"/>
            <w:tcBorders>
              <w:top w:val="single" w:sz="8" w:color="E6E6F9"/>
              <w:bottom w:val="single" w:sz="8" w:color="E6E6F9"/>
            </w:tcBorders>
            <w:shd w:val="clear" w:color="auto" w:fill="E6E6F9"/>
          </w:tcPr>
          <w:p>
            <w:pPr>
              <w:spacing w:after="0"/>
              <w:rPr>
                <w:sz w:val="24"/>
                <w:szCs w:val="24"/>
                <w:color w:val="auto"/>
              </w:rPr>
            </w:pPr>
          </w:p>
        </w:tc>
        <w:tc>
          <w:tcPr>
            <w:tcW w:w="500" w:type="dxa"/>
            <w:vAlign w:val="bottom"/>
            <w:tcBorders>
              <w:top w:val="single" w:sz="8" w:color="0000FF"/>
              <w:bottom w:val="single" w:sz="8" w:color="E6E6F9"/>
            </w:tcBorders>
            <w:shd w:val="clear" w:color="auto" w:fill="E6E6F9"/>
          </w:tcPr>
          <w:p>
            <w:pPr>
              <w:spacing w:after="0"/>
              <w:rPr>
                <w:sz w:val="24"/>
                <w:szCs w:val="24"/>
                <w:color w:val="auto"/>
              </w:rPr>
            </w:pPr>
          </w:p>
        </w:tc>
        <w:tc>
          <w:tcPr>
            <w:tcW w:w="280" w:type="dxa"/>
            <w:vAlign w:val="bottom"/>
            <w:tcBorders>
              <w:top w:val="single" w:sz="8" w:color="E6E6F9"/>
              <w:bottom w:val="single" w:sz="8" w:color="E6E6F9"/>
            </w:tcBorders>
            <w:shd w:val="clear" w:color="auto" w:fill="E6E6F9"/>
          </w:tcPr>
          <w:p>
            <w:pPr>
              <w:spacing w:after="0"/>
              <w:rPr>
                <w:sz w:val="24"/>
                <w:szCs w:val="24"/>
                <w:color w:val="auto"/>
              </w:rPr>
            </w:pPr>
          </w:p>
        </w:tc>
        <w:tc>
          <w:tcPr>
            <w:tcW w:w="620" w:type="dxa"/>
            <w:vAlign w:val="bottom"/>
            <w:tcBorders>
              <w:top w:val="single" w:sz="8" w:color="E6E6F9"/>
              <w:bottom w:val="single" w:sz="8" w:color="E6E6F9"/>
              <w:right w:val="single" w:sz="8" w:color="auto"/>
            </w:tcBorders>
            <w:shd w:val="clear" w:color="auto" w:fill="E6E6F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Calibri" w:cs="Calibri" w:eastAsia="Calibri" w:hAnsi="Calibri"/>
                <w:sz w:val="20"/>
                <w:szCs w:val="20"/>
                <w:color w:val="auto"/>
                <w:w w:val="98"/>
              </w:rPr>
              <w:t>II</w:t>
            </w:r>
          </w:p>
        </w:tc>
        <w:tc>
          <w:tcPr>
            <w:tcW w:w="2640" w:type="dxa"/>
            <w:vAlign w:val="bottom"/>
            <w:tcBorders>
              <w:top w:val="single" w:sz="8" w:color="auto"/>
              <w:right w:val="single" w:sz="8" w:color="auto"/>
            </w:tcBorders>
          </w:tcPr>
          <w:p>
            <w:pPr>
              <w:ind w:left="40"/>
              <w:spacing w:after="0" w:line="196" w:lineRule="exact"/>
              <w:rPr>
                <w:sz w:val="20"/>
                <w:szCs w:val="20"/>
                <w:color w:val="auto"/>
              </w:rPr>
            </w:pPr>
            <w:r>
              <w:rPr>
                <w:rFonts w:ascii="Calibri" w:cs="Calibri" w:eastAsia="Calibri" w:hAnsi="Calibri"/>
                <w:sz w:val="20"/>
                <w:szCs w:val="20"/>
                <w:color w:val="auto"/>
              </w:rPr>
              <w:t>Greater than 1.25 to</w:t>
            </w:r>
          </w:p>
        </w:tc>
        <w:tc>
          <w:tcPr>
            <w:tcW w:w="98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20"/>
                <w:szCs w:val="20"/>
                <w:color w:val="FF0000"/>
                <w:strike w:val="1"/>
              </w:rPr>
              <w:t>0.15</w:t>
            </w:r>
          </w:p>
        </w:tc>
        <w:tc>
          <w:tcPr>
            <w:tcW w:w="1280" w:type="dxa"/>
            <w:vAlign w:val="bottom"/>
            <w:tcBorders>
              <w:top w:val="single" w:sz="8" w:color="auto"/>
              <w:right w:val="single" w:sz="8" w:color="auto"/>
            </w:tcBorders>
            <w:gridSpan w:val="2"/>
          </w:tcPr>
          <w:p>
            <w:pPr>
              <w:jc w:val="right"/>
              <w:ind w:right="680"/>
              <w:spacing w:after="0" w:line="196" w:lineRule="exact"/>
              <w:rPr>
                <w:sz w:val="20"/>
                <w:szCs w:val="20"/>
                <w:color w:val="auto"/>
              </w:rPr>
            </w:pPr>
            <w:r>
              <w:rPr>
                <w:rFonts w:ascii="Calibri" w:cs="Calibri" w:eastAsia="Calibri" w:hAnsi="Calibri"/>
                <w:sz w:val="20"/>
                <w:szCs w:val="20"/>
                <w:color w:val="0000FF"/>
                <w:w w:val="96"/>
              </w:rPr>
              <w:t>0.175</w:t>
            </w:r>
            <w:r>
              <w:rPr>
                <w:rFonts w:ascii="Calibri" w:cs="Calibri" w:eastAsia="Calibri" w:hAnsi="Calibri"/>
                <w:sz w:val="20"/>
                <w:szCs w:val="20"/>
                <w:color w:val="000000"/>
                <w:w w:val="96"/>
              </w:rPr>
              <w:t>%</w:t>
            </w:r>
          </w:p>
        </w:tc>
        <w:tc>
          <w:tcPr>
            <w:tcW w:w="1340" w:type="dxa"/>
            <w:vAlign w:val="bottom"/>
            <w:tcBorders>
              <w:top w:val="single" w:sz="8" w:color="auto"/>
            </w:tcBorders>
            <w:gridSpan w:val="3"/>
            <w:shd w:val="clear" w:color="auto" w:fill="E6E6F9"/>
          </w:tcPr>
          <w:p>
            <w:pPr>
              <w:jc w:val="center"/>
              <w:ind w:left="741"/>
              <w:spacing w:after="0" w:line="196" w:lineRule="exact"/>
              <w:rPr>
                <w:sz w:val="20"/>
                <w:szCs w:val="20"/>
                <w:color w:val="auto"/>
              </w:rPr>
            </w:pPr>
            <w:r>
              <w:rPr>
                <w:rFonts w:ascii="Calibri" w:cs="Calibri" w:eastAsia="Calibri" w:hAnsi="Calibri"/>
                <w:sz w:val="20"/>
                <w:szCs w:val="20"/>
                <w:color w:val="0000FF"/>
              </w:rPr>
              <w:t>1.25%</w:t>
            </w:r>
          </w:p>
        </w:tc>
        <w:tc>
          <w:tcPr>
            <w:tcW w:w="280" w:type="dxa"/>
            <w:vAlign w:val="bottom"/>
            <w:tcBorders>
              <w:top w:val="single" w:sz="8" w:color="auto"/>
            </w:tcBorders>
            <w:shd w:val="clear" w:color="auto" w:fill="E6E6F9"/>
          </w:tcPr>
          <w:p>
            <w:pPr>
              <w:spacing w:after="0"/>
              <w:rPr>
                <w:sz w:val="17"/>
                <w:szCs w:val="17"/>
                <w:color w:val="auto"/>
              </w:rPr>
            </w:pPr>
          </w:p>
        </w:tc>
        <w:tc>
          <w:tcPr>
            <w:tcW w:w="620" w:type="dxa"/>
            <w:vAlign w:val="bottom"/>
            <w:tcBorders>
              <w:top w:val="single" w:sz="8" w:color="auto"/>
              <w:right w:val="single" w:sz="8" w:color="auto"/>
            </w:tcBorders>
            <w:shd w:val="clear" w:color="auto" w:fill="E6E6F9"/>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62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auto"/>
            </w:tcBorders>
          </w:tcPr>
          <w:p>
            <w:pPr>
              <w:ind w:left="40"/>
              <w:spacing w:after="0"/>
              <w:rPr>
                <w:sz w:val="20"/>
                <w:szCs w:val="20"/>
                <w:color w:val="auto"/>
              </w:rPr>
            </w:pPr>
            <w:r>
              <w:rPr>
                <w:rFonts w:ascii="Calibri" w:cs="Calibri" w:eastAsia="Calibri" w:hAnsi="Calibri"/>
                <w:sz w:val="20"/>
                <w:szCs w:val="20"/>
                <w:color w:val="auto"/>
              </w:rPr>
              <w:t>1.00 but less than or equal to</w:t>
            </w:r>
          </w:p>
        </w:tc>
        <w:tc>
          <w:tcPr>
            <w:tcW w:w="980" w:type="dxa"/>
            <w:vAlign w:val="bottom"/>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560" w:type="dxa"/>
            <w:vAlign w:val="bottom"/>
            <w:tcBorders>
              <w:top w:val="single" w:sz="8" w:color="E6E6F9"/>
            </w:tcBorders>
            <w:shd w:val="clear" w:color="auto" w:fill="E6E6F9"/>
          </w:tcPr>
          <w:p>
            <w:pPr>
              <w:spacing w:after="0"/>
              <w:rPr>
                <w:sz w:val="23"/>
                <w:szCs w:val="23"/>
                <w:color w:val="auto"/>
              </w:rPr>
            </w:pPr>
          </w:p>
        </w:tc>
        <w:tc>
          <w:tcPr>
            <w:tcW w:w="280" w:type="dxa"/>
            <w:vAlign w:val="bottom"/>
            <w:tcBorders>
              <w:top w:val="single" w:sz="8" w:color="E6E6F9"/>
            </w:tcBorders>
            <w:shd w:val="clear" w:color="auto" w:fill="E6E6F9"/>
          </w:tcPr>
          <w:p>
            <w:pPr>
              <w:spacing w:after="0"/>
              <w:rPr>
                <w:sz w:val="23"/>
                <w:szCs w:val="23"/>
                <w:color w:val="auto"/>
              </w:rPr>
            </w:pPr>
          </w:p>
        </w:tc>
        <w:tc>
          <w:tcPr>
            <w:tcW w:w="500" w:type="dxa"/>
            <w:vAlign w:val="bottom"/>
            <w:tcBorders>
              <w:top w:val="single" w:sz="8" w:color="0000FF"/>
            </w:tcBorders>
            <w:shd w:val="clear" w:color="auto" w:fill="E6E6F9"/>
          </w:tcPr>
          <w:p>
            <w:pPr>
              <w:spacing w:after="0"/>
              <w:rPr>
                <w:sz w:val="23"/>
                <w:szCs w:val="23"/>
                <w:color w:val="auto"/>
              </w:rPr>
            </w:pPr>
          </w:p>
        </w:tc>
        <w:tc>
          <w:tcPr>
            <w:tcW w:w="280" w:type="dxa"/>
            <w:vAlign w:val="bottom"/>
            <w:tcBorders>
              <w:top w:val="single" w:sz="8" w:color="E6E6F9"/>
            </w:tcBorders>
            <w:shd w:val="clear" w:color="auto" w:fill="E6E6F9"/>
          </w:tcPr>
          <w:p>
            <w:pPr>
              <w:spacing w:after="0"/>
              <w:rPr>
                <w:sz w:val="23"/>
                <w:szCs w:val="23"/>
                <w:color w:val="auto"/>
              </w:rPr>
            </w:pPr>
          </w:p>
        </w:tc>
        <w:tc>
          <w:tcPr>
            <w:tcW w:w="620" w:type="dxa"/>
            <w:vAlign w:val="bottom"/>
            <w:tcBorders>
              <w:top w:val="single" w:sz="8" w:color="E6E6F9"/>
              <w:right w:val="single" w:sz="8" w:color="auto"/>
            </w:tcBorders>
            <w:shd w:val="clear" w:color="auto" w:fill="E6E6F9"/>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40" w:type="dxa"/>
            <w:vAlign w:val="bottom"/>
            <w:tcBorders>
              <w:right w:val="single" w:sz="8" w:color="auto"/>
            </w:tcBorders>
          </w:tcPr>
          <w:p>
            <w:pPr>
              <w:ind w:left="40"/>
              <w:spacing w:after="0"/>
              <w:rPr>
                <w:sz w:val="20"/>
                <w:szCs w:val="20"/>
                <w:color w:val="auto"/>
              </w:rPr>
            </w:pPr>
            <w:r>
              <w:rPr>
                <w:rFonts w:ascii="Calibri" w:cs="Calibri" w:eastAsia="Calibri" w:hAnsi="Calibri"/>
                <w:sz w:val="20"/>
                <w:szCs w:val="20"/>
                <w:color w:val="auto"/>
              </w:rPr>
              <w:t>2.00 to 1.00</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560" w:type="dxa"/>
            <w:vAlign w:val="bottom"/>
            <w:tcBorders>
              <w:bottom w:val="single" w:sz="8" w:color="E6E6F9"/>
            </w:tcBorders>
            <w:shd w:val="clear" w:color="auto" w:fill="E6E6F9"/>
          </w:tcPr>
          <w:p>
            <w:pPr>
              <w:spacing w:after="0"/>
              <w:rPr>
                <w:sz w:val="24"/>
                <w:szCs w:val="24"/>
                <w:color w:val="auto"/>
              </w:rPr>
            </w:pPr>
          </w:p>
        </w:tc>
        <w:tc>
          <w:tcPr>
            <w:tcW w:w="280" w:type="dxa"/>
            <w:vAlign w:val="bottom"/>
            <w:tcBorders>
              <w:bottom w:val="single" w:sz="8" w:color="E6E6F9"/>
            </w:tcBorders>
            <w:shd w:val="clear" w:color="auto" w:fill="E6E6F9"/>
          </w:tcPr>
          <w:p>
            <w:pPr>
              <w:spacing w:after="0"/>
              <w:rPr>
                <w:sz w:val="24"/>
                <w:szCs w:val="24"/>
                <w:color w:val="auto"/>
              </w:rPr>
            </w:pPr>
          </w:p>
        </w:tc>
        <w:tc>
          <w:tcPr>
            <w:tcW w:w="500" w:type="dxa"/>
            <w:vAlign w:val="bottom"/>
            <w:tcBorders>
              <w:bottom w:val="single" w:sz="8" w:color="E6E6F9"/>
            </w:tcBorders>
            <w:shd w:val="clear" w:color="auto" w:fill="E6E6F9"/>
          </w:tcPr>
          <w:p>
            <w:pPr>
              <w:spacing w:after="0"/>
              <w:rPr>
                <w:sz w:val="24"/>
                <w:szCs w:val="24"/>
                <w:color w:val="auto"/>
              </w:rPr>
            </w:pPr>
          </w:p>
        </w:tc>
        <w:tc>
          <w:tcPr>
            <w:tcW w:w="280" w:type="dxa"/>
            <w:vAlign w:val="bottom"/>
            <w:tcBorders>
              <w:bottom w:val="single" w:sz="8" w:color="E6E6F9"/>
            </w:tcBorders>
            <w:shd w:val="clear" w:color="auto" w:fill="E6E6F9"/>
          </w:tcPr>
          <w:p>
            <w:pPr>
              <w:spacing w:after="0"/>
              <w:rPr>
                <w:sz w:val="24"/>
                <w:szCs w:val="24"/>
                <w:color w:val="auto"/>
              </w:rPr>
            </w:pPr>
          </w:p>
        </w:tc>
        <w:tc>
          <w:tcPr>
            <w:tcW w:w="620" w:type="dxa"/>
            <w:vAlign w:val="bottom"/>
            <w:tcBorders>
              <w:bottom w:val="single" w:sz="8" w:color="E6E6F9"/>
              <w:right w:val="single" w:sz="8" w:color="auto"/>
            </w:tcBorders>
            <w:shd w:val="clear" w:color="auto" w:fill="E6E6F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Calibri" w:cs="Calibri" w:eastAsia="Calibri" w:hAnsi="Calibri"/>
                <w:sz w:val="20"/>
                <w:szCs w:val="20"/>
                <w:color w:val="auto"/>
              </w:rPr>
              <w:t>III</w:t>
            </w:r>
          </w:p>
        </w:tc>
        <w:tc>
          <w:tcPr>
            <w:tcW w:w="2640" w:type="dxa"/>
            <w:vAlign w:val="bottom"/>
            <w:tcBorders>
              <w:top w:val="single" w:sz="8" w:color="auto"/>
              <w:right w:val="single" w:sz="8" w:color="auto"/>
            </w:tcBorders>
          </w:tcPr>
          <w:p>
            <w:pPr>
              <w:ind w:left="40"/>
              <w:spacing w:after="0" w:line="196" w:lineRule="exact"/>
              <w:rPr>
                <w:sz w:val="20"/>
                <w:szCs w:val="20"/>
                <w:color w:val="auto"/>
              </w:rPr>
            </w:pPr>
            <w:r>
              <w:rPr>
                <w:rFonts w:ascii="Calibri" w:cs="Calibri" w:eastAsia="Calibri" w:hAnsi="Calibri"/>
                <w:sz w:val="20"/>
                <w:szCs w:val="20"/>
                <w:color w:val="auto"/>
              </w:rPr>
              <w:t>Greater than 2.00 to</w:t>
            </w:r>
          </w:p>
        </w:tc>
        <w:tc>
          <w:tcPr>
            <w:tcW w:w="98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20"/>
                <w:szCs w:val="20"/>
                <w:color w:val="FF0000"/>
                <w:strike w:val="1"/>
              </w:rPr>
              <w:t>0.20</w:t>
            </w:r>
          </w:p>
        </w:tc>
        <w:tc>
          <w:tcPr>
            <w:tcW w:w="1280" w:type="dxa"/>
            <w:vAlign w:val="bottom"/>
            <w:tcBorders>
              <w:top w:val="single" w:sz="8" w:color="auto"/>
              <w:right w:val="single" w:sz="8" w:color="auto"/>
            </w:tcBorders>
            <w:gridSpan w:val="2"/>
          </w:tcPr>
          <w:p>
            <w:pPr>
              <w:jc w:val="right"/>
              <w:ind w:right="680"/>
              <w:spacing w:after="0" w:line="196" w:lineRule="exact"/>
              <w:rPr>
                <w:sz w:val="20"/>
                <w:szCs w:val="20"/>
                <w:color w:val="auto"/>
              </w:rPr>
            </w:pPr>
            <w:r>
              <w:rPr>
                <w:rFonts w:ascii="Calibri" w:cs="Calibri" w:eastAsia="Calibri" w:hAnsi="Calibri"/>
                <w:sz w:val="20"/>
                <w:szCs w:val="20"/>
                <w:color w:val="0000FF"/>
                <w:w w:val="96"/>
              </w:rPr>
              <w:t>0.225</w:t>
            </w:r>
            <w:r>
              <w:rPr>
                <w:rFonts w:ascii="Calibri" w:cs="Calibri" w:eastAsia="Calibri" w:hAnsi="Calibri"/>
                <w:sz w:val="20"/>
                <w:szCs w:val="20"/>
                <w:color w:val="000000"/>
                <w:w w:val="96"/>
              </w:rPr>
              <w:t>%</w:t>
            </w:r>
          </w:p>
        </w:tc>
        <w:tc>
          <w:tcPr>
            <w:tcW w:w="1340" w:type="dxa"/>
            <w:vAlign w:val="bottom"/>
            <w:tcBorders>
              <w:top w:val="single" w:sz="8" w:color="auto"/>
            </w:tcBorders>
            <w:gridSpan w:val="3"/>
            <w:shd w:val="clear" w:color="auto" w:fill="E6E6F9"/>
          </w:tcPr>
          <w:p>
            <w:pPr>
              <w:jc w:val="center"/>
              <w:ind w:left="741"/>
              <w:spacing w:after="0" w:line="196" w:lineRule="exact"/>
              <w:rPr>
                <w:sz w:val="20"/>
                <w:szCs w:val="20"/>
                <w:color w:val="auto"/>
              </w:rPr>
            </w:pPr>
            <w:r>
              <w:rPr>
                <w:rFonts w:ascii="Calibri" w:cs="Calibri" w:eastAsia="Calibri" w:hAnsi="Calibri"/>
                <w:sz w:val="20"/>
                <w:szCs w:val="20"/>
                <w:color w:val="0000FF"/>
              </w:rPr>
              <w:t>1.50%</w:t>
            </w:r>
          </w:p>
        </w:tc>
        <w:tc>
          <w:tcPr>
            <w:tcW w:w="280" w:type="dxa"/>
            <w:vAlign w:val="bottom"/>
            <w:tcBorders>
              <w:top w:val="single" w:sz="8" w:color="auto"/>
            </w:tcBorders>
            <w:shd w:val="clear" w:color="auto" w:fill="E6E6F9"/>
          </w:tcPr>
          <w:p>
            <w:pPr>
              <w:spacing w:after="0"/>
              <w:rPr>
                <w:sz w:val="17"/>
                <w:szCs w:val="17"/>
                <w:color w:val="auto"/>
              </w:rPr>
            </w:pPr>
          </w:p>
        </w:tc>
        <w:tc>
          <w:tcPr>
            <w:tcW w:w="620" w:type="dxa"/>
            <w:vAlign w:val="bottom"/>
            <w:tcBorders>
              <w:top w:val="single" w:sz="8" w:color="auto"/>
              <w:right w:val="single" w:sz="8" w:color="auto"/>
            </w:tcBorders>
            <w:shd w:val="clear" w:color="auto" w:fill="E6E6F9"/>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620" w:type="dxa"/>
            <w:vAlign w:val="bottom"/>
            <w:tcBorders>
              <w:left w:val="single" w:sz="8" w:color="auto"/>
              <w:right w:val="single" w:sz="8" w:color="auto"/>
            </w:tcBorders>
          </w:tcPr>
          <w:p>
            <w:pPr>
              <w:spacing w:after="0"/>
              <w:rPr>
                <w:sz w:val="23"/>
                <w:szCs w:val="23"/>
                <w:color w:val="auto"/>
              </w:rPr>
            </w:pPr>
          </w:p>
        </w:tc>
        <w:tc>
          <w:tcPr>
            <w:tcW w:w="2640" w:type="dxa"/>
            <w:vAlign w:val="bottom"/>
            <w:tcBorders>
              <w:right w:val="single" w:sz="8" w:color="auto"/>
            </w:tcBorders>
          </w:tcPr>
          <w:p>
            <w:pPr>
              <w:ind w:left="40"/>
              <w:spacing w:after="0"/>
              <w:rPr>
                <w:sz w:val="20"/>
                <w:szCs w:val="20"/>
                <w:color w:val="auto"/>
              </w:rPr>
            </w:pPr>
            <w:r>
              <w:rPr>
                <w:rFonts w:ascii="Calibri" w:cs="Calibri" w:eastAsia="Calibri" w:hAnsi="Calibri"/>
                <w:sz w:val="20"/>
                <w:szCs w:val="20"/>
                <w:color w:val="auto"/>
              </w:rPr>
              <w:t>1.00 but less than 2.50</w:t>
            </w:r>
          </w:p>
        </w:tc>
        <w:tc>
          <w:tcPr>
            <w:tcW w:w="980" w:type="dxa"/>
            <w:vAlign w:val="bottom"/>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560" w:type="dxa"/>
            <w:vAlign w:val="bottom"/>
            <w:tcBorders>
              <w:top w:val="single" w:sz="8" w:color="E6E6F9"/>
            </w:tcBorders>
            <w:shd w:val="clear" w:color="auto" w:fill="E6E6F9"/>
          </w:tcPr>
          <w:p>
            <w:pPr>
              <w:spacing w:after="0"/>
              <w:rPr>
                <w:sz w:val="23"/>
                <w:szCs w:val="23"/>
                <w:color w:val="auto"/>
              </w:rPr>
            </w:pPr>
          </w:p>
        </w:tc>
        <w:tc>
          <w:tcPr>
            <w:tcW w:w="280" w:type="dxa"/>
            <w:vAlign w:val="bottom"/>
            <w:tcBorders>
              <w:top w:val="single" w:sz="8" w:color="E6E6F9"/>
            </w:tcBorders>
            <w:shd w:val="clear" w:color="auto" w:fill="E6E6F9"/>
          </w:tcPr>
          <w:p>
            <w:pPr>
              <w:spacing w:after="0"/>
              <w:rPr>
                <w:sz w:val="23"/>
                <w:szCs w:val="23"/>
                <w:color w:val="auto"/>
              </w:rPr>
            </w:pPr>
          </w:p>
        </w:tc>
        <w:tc>
          <w:tcPr>
            <w:tcW w:w="500" w:type="dxa"/>
            <w:vAlign w:val="bottom"/>
            <w:tcBorders>
              <w:top w:val="single" w:sz="8" w:color="0000FF"/>
            </w:tcBorders>
            <w:shd w:val="clear" w:color="auto" w:fill="E6E6F9"/>
          </w:tcPr>
          <w:p>
            <w:pPr>
              <w:spacing w:after="0"/>
              <w:rPr>
                <w:sz w:val="23"/>
                <w:szCs w:val="23"/>
                <w:color w:val="auto"/>
              </w:rPr>
            </w:pPr>
          </w:p>
        </w:tc>
        <w:tc>
          <w:tcPr>
            <w:tcW w:w="280" w:type="dxa"/>
            <w:vAlign w:val="bottom"/>
            <w:tcBorders>
              <w:top w:val="single" w:sz="8" w:color="E6E6F9"/>
            </w:tcBorders>
            <w:shd w:val="clear" w:color="auto" w:fill="E6E6F9"/>
          </w:tcPr>
          <w:p>
            <w:pPr>
              <w:spacing w:after="0"/>
              <w:rPr>
                <w:sz w:val="23"/>
                <w:szCs w:val="23"/>
                <w:color w:val="auto"/>
              </w:rPr>
            </w:pPr>
          </w:p>
        </w:tc>
        <w:tc>
          <w:tcPr>
            <w:tcW w:w="620" w:type="dxa"/>
            <w:vAlign w:val="bottom"/>
            <w:tcBorders>
              <w:top w:val="single" w:sz="8" w:color="E6E6F9"/>
              <w:right w:val="single" w:sz="8" w:color="auto"/>
            </w:tcBorders>
            <w:shd w:val="clear" w:color="auto" w:fill="E6E6F9"/>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40" w:type="dxa"/>
            <w:vAlign w:val="bottom"/>
            <w:tcBorders>
              <w:right w:val="single" w:sz="8" w:color="auto"/>
            </w:tcBorders>
          </w:tcPr>
          <w:p>
            <w:pPr>
              <w:ind w:left="40"/>
              <w:spacing w:after="0"/>
              <w:rPr>
                <w:sz w:val="20"/>
                <w:szCs w:val="20"/>
                <w:color w:val="auto"/>
              </w:rPr>
            </w:pPr>
            <w:r>
              <w:rPr>
                <w:rFonts w:ascii="Calibri" w:cs="Calibri" w:eastAsia="Calibri" w:hAnsi="Calibri"/>
                <w:sz w:val="20"/>
                <w:szCs w:val="20"/>
                <w:color w:val="auto"/>
              </w:rPr>
              <w:t>to 1.0</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560" w:type="dxa"/>
            <w:vAlign w:val="bottom"/>
            <w:tcBorders>
              <w:bottom w:val="single" w:sz="8" w:color="E6E6F9"/>
            </w:tcBorders>
            <w:shd w:val="clear" w:color="auto" w:fill="E6E6F9"/>
          </w:tcPr>
          <w:p>
            <w:pPr>
              <w:spacing w:after="0"/>
              <w:rPr>
                <w:sz w:val="24"/>
                <w:szCs w:val="24"/>
                <w:color w:val="auto"/>
              </w:rPr>
            </w:pPr>
          </w:p>
        </w:tc>
        <w:tc>
          <w:tcPr>
            <w:tcW w:w="280" w:type="dxa"/>
            <w:vAlign w:val="bottom"/>
            <w:tcBorders>
              <w:bottom w:val="single" w:sz="8" w:color="E6E6F9"/>
            </w:tcBorders>
            <w:shd w:val="clear" w:color="auto" w:fill="E6E6F9"/>
          </w:tcPr>
          <w:p>
            <w:pPr>
              <w:spacing w:after="0"/>
              <w:rPr>
                <w:sz w:val="24"/>
                <w:szCs w:val="24"/>
                <w:color w:val="auto"/>
              </w:rPr>
            </w:pPr>
          </w:p>
        </w:tc>
        <w:tc>
          <w:tcPr>
            <w:tcW w:w="500" w:type="dxa"/>
            <w:vAlign w:val="bottom"/>
            <w:tcBorders>
              <w:bottom w:val="single" w:sz="8" w:color="E6E6F9"/>
            </w:tcBorders>
            <w:shd w:val="clear" w:color="auto" w:fill="E6E6F9"/>
          </w:tcPr>
          <w:p>
            <w:pPr>
              <w:spacing w:after="0"/>
              <w:rPr>
                <w:sz w:val="24"/>
                <w:szCs w:val="24"/>
                <w:color w:val="auto"/>
              </w:rPr>
            </w:pPr>
          </w:p>
        </w:tc>
        <w:tc>
          <w:tcPr>
            <w:tcW w:w="280" w:type="dxa"/>
            <w:vAlign w:val="bottom"/>
            <w:tcBorders>
              <w:bottom w:val="single" w:sz="8" w:color="E6E6F9"/>
            </w:tcBorders>
            <w:shd w:val="clear" w:color="auto" w:fill="E6E6F9"/>
          </w:tcPr>
          <w:p>
            <w:pPr>
              <w:spacing w:after="0"/>
              <w:rPr>
                <w:sz w:val="24"/>
                <w:szCs w:val="24"/>
                <w:color w:val="auto"/>
              </w:rPr>
            </w:pPr>
          </w:p>
        </w:tc>
        <w:tc>
          <w:tcPr>
            <w:tcW w:w="620" w:type="dxa"/>
            <w:vAlign w:val="bottom"/>
            <w:tcBorders>
              <w:bottom w:val="single" w:sz="8" w:color="E6E6F9"/>
              <w:right w:val="single" w:sz="8" w:color="auto"/>
            </w:tcBorders>
            <w:shd w:val="clear" w:color="auto" w:fill="E6E6F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Calibri" w:cs="Calibri" w:eastAsia="Calibri" w:hAnsi="Calibri"/>
                <w:sz w:val="20"/>
                <w:szCs w:val="20"/>
                <w:color w:val="auto"/>
                <w:w w:val="97"/>
              </w:rPr>
              <w:t>IV</w:t>
            </w:r>
          </w:p>
        </w:tc>
        <w:tc>
          <w:tcPr>
            <w:tcW w:w="2640" w:type="dxa"/>
            <w:vAlign w:val="bottom"/>
            <w:tcBorders>
              <w:top w:val="single" w:sz="8" w:color="auto"/>
              <w:right w:val="single" w:sz="8" w:color="auto"/>
            </w:tcBorders>
          </w:tcPr>
          <w:p>
            <w:pPr>
              <w:ind w:left="40"/>
              <w:spacing w:after="0" w:line="196" w:lineRule="exact"/>
              <w:rPr>
                <w:sz w:val="20"/>
                <w:szCs w:val="20"/>
                <w:color w:val="auto"/>
              </w:rPr>
            </w:pPr>
            <w:r>
              <w:rPr>
                <w:rFonts w:ascii="Calibri" w:cs="Calibri" w:eastAsia="Calibri" w:hAnsi="Calibri"/>
                <w:sz w:val="20"/>
                <w:szCs w:val="20"/>
                <w:color w:val="auto"/>
              </w:rPr>
              <w:t>Equal to or greater than</w:t>
            </w:r>
          </w:p>
        </w:tc>
        <w:tc>
          <w:tcPr>
            <w:tcW w:w="98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20"/>
                <w:szCs w:val="20"/>
                <w:color w:val="FF0000"/>
                <w:strike w:val="1"/>
              </w:rPr>
              <w:t>0.20</w:t>
            </w:r>
          </w:p>
        </w:tc>
        <w:tc>
          <w:tcPr>
            <w:tcW w:w="1280" w:type="dxa"/>
            <w:vAlign w:val="bottom"/>
            <w:tcBorders>
              <w:top w:val="single" w:sz="8" w:color="auto"/>
              <w:right w:val="single" w:sz="8" w:color="auto"/>
            </w:tcBorders>
            <w:gridSpan w:val="2"/>
          </w:tcPr>
          <w:p>
            <w:pPr>
              <w:jc w:val="right"/>
              <w:ind w:right="680"/>
              <w:spacing w:after="0" w:line="196" w:lineRule="exact"/>
              <w:rPr>
                <w:sz w:val="20"/>
                <w:szCs w:val="20"/>
                <w:color w:val="auto"/>
              </w:rPr>
            </w:pPr>
            <w:r>
              <w:rPr>
                <w:rFonts w:ascii="Calibri" w:cs="Calibri" w:eastAsia="Calibri" w:hAnsi="Calibri"/>
                <w:sz w:val="20"/>
                <w:szCs w:val="20"/>
                <w:color w:val="0000FF"/>
                <w:w w:val="96"/>
              </w:rPr>
              <w:t>0.225</w:t>
            </w:r>
            <w:r>
              <w:rPr>
                <w:rFonts w:ascii="Calibri" w:cs="Calibri" w:eastAsia="Calibri" w:hAnsi="Calibri"/>
                <w:sz w:val="20"/>
                <w:szCs w:val="20"/>
                <w:color w:val="000000"/>
                <w:w w:val="96"/>
              </w:rPr>
              <w:t>%</w:t>
            </w:r>
          </w:p>
        </w:tc>
        <w:tc>
          <w:tcPr>
            <w:tcW w:w="1340" w:type="dxa"/>
            <w:vAlign w:val="bottom"/>
            <w:tcBorders>
              <w:top w:val="single" w:sz="8" w:color="auto"/>
            </w:tcBorders>
            <w:gridSpan w:val="3"/>
            <w:shd w:val="clear" w:color="auto" w:fill="E6E6F9"/>
          </w:tcPr>
          <w:p>
            <w:pPr>
              <w:jc w:val="center"/>
              <w:ind w:left="741"/>
              <w:spacing w:after="0" w:line="196" w:lineRule="exact"/>
              <w:rPr>
                <w:sz w:val="20"/>
                <w:szCs w:val="20"/>
                <w:color w:val="auto"/>
              </w:rPr>
            </w:pPr>
            <w:r>
              <w:rPr>
                <w:rFonts w:ascii="Calibri" w:cs="Calibri" w:eastAsia="Calibri" w:hAnsi="Calibri"/>
                <w:sz w:val="20"/>
                <w:szCs w:val="20"/>
                <w:color w:val="0000FF"/>
              </w:rPr>
              <w:t>1.75%</w:t>
            </w:r>
          </w:p>
        </w:tc>
        <w:tc>
          <w:tcPr>
            <w:tcW w:w="280" w:type="dxa"/>
            <w:vAlign w:val="bottom"/>
            <w:tcBorders>
              <w:top w:val="single" w:sz="8" w:color="auto"/>
            </w:tcBorders>
            <w:shd w:val="clear" w:color="auto" w:fill="E6E6F9"/>
          </w:tcPr>
          <w:p>
            <w:pPr>
              <w:spacing w:after="0"/>
              <w:rPr>
                <w:sz w:val="17"/>
                <w:szCs w:val="17"/>
                <w:color w:val="auto"/>
              </w:rPr>
            </w:pPr>
          </w:p>
        </w:tc>
        <w:tc>
          <w:tcPr>
            <w:tcW w:w="620" w:type="dxa"/>
            <w:vAlign w:val="bottom"/>
            <w:tcBorders>
              <w:top w:val="single" w:sz="8" w:color="auto"/>
              <w:right w:val="single" w:sz="8" w:color="auto"/>
            </w:tcBorders>
            <w:shd w:val="clear" w:color="auto" w:fill="E6E6F9"/>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620" w:type="dxa"/>
            <w:vAlign w:val="bottom"/>
            <w:tcBorders>
              <w:left w:val="single" w:sz="8" w:color="auto"/>
              <w:right w:val="single" w:sz="8" w:color="auto"/>
            </w:tcBorders>
          </w:tcPr>
          <w:p>
            <w:pPr>
              <w:spacing w:after="0"/>
              <w:rPr>
                <w:sz w:val="24"/>
                <w:szCs w:val="24"/>
                <w:color w:val="auto"/>
              </w:rPr>
            </w:pPr>
          </w:p>
        </w:tc>
        <w:tc>
          <w:tcPr>
            <w:tcW w:w="2640" w:type="dxa"/>
            <w:vAlign w:val="bottom"/>
            <w:tcBorders>
              <w:right w:val="single" w:sz="8" w:color="auto"/>
            </w:tcBorders>
          </w:tcPr>
          <w:p>
            <w:pPr>
              <w:ind w:left="40"/>
              <w:spacing w:after="0"/>
              <w:rPr>
                <w:sz w:val="20"/>
                <w:szCs w:val="20"/>
                <w:color w:val="auto"/>
              </w:rPr>
            </w:pPr>
            <w:r>
              <w:rPr>
                <w:rFonts w:ascii="Calibri" w:cs="Calibri" w:eastAsia="Calibri" w:hAnsi="Calibri"/>
                <w:sz w:val="20"/>
                <w:szCs w:val="20"/>
                <w:color w:val="auto"/>
              </w:rPr>
              <w:t>2.50 to 1.0</w:t>
            </w:r>
          </w:p>
        </w:tc>
        <w:tc>
          <w:tcPr>
            <w:tcW w:w="98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560" w:type="dxa"/>
            <w:vAlign w:val="bottom"/>
            <w:tcBorders>
              <w:top w:val="single" w:sz="8" w:color="E6E6F9"/>
              <w:bottom w:val="single" w:sz="8" w:color="E6E6F9"/>
            </w:tcBorders>
            <w:shd w:val="clear" w:color="auto" w:fill="E6E6F9"/>
          </w:tcPr>
          <w:p>
            <w:pPr>
              <w:spacing w:after="0"/>
              <w:rPr>
                <w:sz w:val="24"/>
                <w:szCs w:val="24"/>
                <w:color w:val="auto"/>
              </w:rPr>
            </w:pPr>
          </w:p>
        </w:tc>
        <w:tc>
          <w:tcPr>
            <w:tcW w:w="280" w:type="dxa"/>
            <w:vAlign w:val="bottom"/>
            <w:tcBorders>
              <w:top w:val="single" w:sz="8" w:color="E6E6F9"/>
              <w:bottom w:val="single" w:sz="8" w:color="E6E6F9"/>
            </w:tcBorders>
            <w:shd w:val="clear" w:color="auto" w:fill="E6E6F9"/>
          </w:tcPr>
          <w:p>
            <w:pPr>
              <w:spacing w:after="0"/>
              <w:rPr>
                <w:sz w:val="24"/>
                <w:szCs w:val="24"/>
                <w:color w:val="auto"/>
              </w:rPr>
            </w:pPr>
          </w:p>
        </w:tc>
        <w:tc>
          <w:tcPr>
            <w:tcW w:w="500" w:type="dxa"/>
            <w:vAlign w:val="bottom"/>
            <w:tcBorders>
              <w:top w:val="single" w:sz="8" w:color="0000FF"/>
              <w:bottom w:val="single" w:sz="8" w:color="E6E6F9"/>
            </w:tcBorders>
            <w:shd w:val="clear" w:color="auto" w:fill="E6E6F9"/>
          </w:tcPr>
          <w:p>
            <w:pPr>
              <w:spacing w:after="0"/>
              <w:rPr>
                <w:sz w:val="24"/>
                <w:szCs w:val="24"/>
                <w:color w:val="auto"/>
              </w:rPr>
            </w:pPr>
          </w:p>
        </w:tc>
        <w:tc>
          <w:tcPr>
            <w:tcW w:w="280" w:type="dxa"/>
            <w:vAlign w:val="bottom"/>
            <w:tcBorders>
              <w:top w:val="single" w:sz="8" w:color="E6E6F9"/>
              <w:bottom w:val="single" w:sz="8" w:color="E6E6F9"/>
            </w:tcBorders>
            <w:shd w:val="clear" w:color="auto" w:fill="E6E6F9"/>
          </w:tcPr>
          <w:p>
            <w:pPr>
              <w:spacing w:after="0"/>
              <w:rPr>
                <w:sz w:val="24"/>
                <w:szCs w:val="24"/>
                <w:color w:val="auto"/>
              </w:rPr>
            </w:pPr>
          </w:p>
        </w:tc>
        <w:tc>
          <w:tcPr>
            <w:tcW w:w="620" w:type="dxa"/>
            <w:vAlign w:val="bottom"/>
            <w:tcBorders>
              <w:top w:val="single" w:sz="8" w:color="E6E6F9"/>
              <w:bottom w:val="single" w:sz="8" w:color="E6E6F9"/>
              <w:right w:val="single" w:sz="8" w:color="auto"/>
            </w:tcBorders>
            <w:shd w:val="clear" w:color="auto" w:fill="E6E6F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20" w:right="160"/>
        <w:spacing w:after="0" w:line="243" w:lineRule="auto"/>
        <w:rPr>
          <w:sz w:val="20"/>
          <w:szCs w:val="20"/>
          <w:color w:val="auto"/>
        </w:rPr>
      </w:pPr>
      <w:r>
        <w:rPr>
          <w:rFonts w:ascii="Calibri" w:cs="Calibri" w:eastAsia="Calibri" w:hAnsi="Calibri"/>
          <w:sz w:val="20"/>
          <w:szCs w:val="20"/>
          <w:color w:val="auto"/>
        </w:rPr>
        <w:t>The Unused Commitment Fee shall, in each case, be determined and adjusted quarterly, on the date on which the Bank has received from Borrower the quarterly financial informaton (in the case of the first three fiscal quarters of Borrower’s fiscal year) or the annual financial informaton (in the case of the fourth fiscal quarter of Borrower’s fiscal year), as applicable, and the certficatons required to be delivered to the Bank in connecton therewith (each, a “Determinaton Date”). Such Unused Commitment Fee shall be eﬀectve from such Determinaton Date untl the next Determinaton Date.</w:t>
      </w:r>
    </w:p>
    <w:p>
      <w:pPr>
        <w:spacing w:after="0" w:line="249"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Afer the closing of transactons contemplated hereby on the date hereof, if Borrower shall fail to provide the financial informaton or certficatons required to determine the Unused Commitment Fee in accordance with the applicable provisions hereof in tmely fashion (without regard to any grace or cure periods), the Unused Commitment Fee shall, on the date five (5) days afer the date by which Borrower was so required to provide such financial informaton or certficatons to the Bank, be based on Level IV untl such tme as such informaton or certficatons or corrected informaton or corrected certficates are provided, whereupon the Level shall be determined by the then-current Total Leverage Rato.</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20" w:lineRule="exact"/>
        <w:rPr>
          <w:sz w:val="20"/>
          <w:szCs w:val="20"/>
          <w:color w:val="auto"/>
        </w:rPr>
      </w:pPr>
    </w:p>
    <w:p>
      <w:pPr>
        <w:ind w:firstLine="518"/>
        <w:spacing w:after="0" w:line="239" w:lineRule="auto"/>
        <w:rPr>
          <w:sz w:val="20"/>
          <w:szCs w:val="20"/>
          <w:color w:val="auto"/>
        </w:rPr>
      </w:pPr>
      <w:r>
        <w:rPr>
          <w:rFonts w:ascii="Calibri" w:cs="Calibri" w:eastAsia="Calibri" w:hAnsi="Calibri"/>
          <w:sz w:val="20"/>
          <w:szCs w:val="20"/>
          <w:color w:val="auto"/>
        </w:rPr>
        <w:t>SECTION 1.3. COLLECTION OF PAYMENTS. Except to the extent expressly specified otherwise in any Loan Document other than this Agreement, Borrower authorizes Bank to collect all amounts due to Bank from Borrower under this Agreement or any other Loan Document (whether for principal, interest or fees, or as reimbursement of drafs paid or other payments made by Bank under any credit subject to this Agreement) by debitng any deposit account maintained by Borrower with Bank for the full amount thereof. Should there be insuﬃcient funds in Borrower's deposit accounts with Bank to pay all such sums when due, the full amount of such deficiency shall be immediately due and payable by Borrower.</w:t>
      </w:r>
    </w:p>
    <w:p>
      <w:pPr>
        <w:spacing w:after="0" w:line="152" w:lineRule="exact"/>
        <w:rPr>
          <w:sz w:val="20"/>
          <w:szCs w:val="20"/>
          <w:color w:val="auto"/>
        </w:rPr>
      </w:pPr>
    </w:p>
    <w:p>
      <w:pPr>
        <w:ind w:left="520"/>
        <w:spacing w:after="0"/>
        <w:tabs>
          <w:tab w:leader="none" w:pos="1740" w:val="left"/>
        </w:tabs>
        <w:rPr>
          <w:sz w:val="20"/>
          <w:szCs w:val="20"/>
          <w:color w:val="auto"/>
        </w:rPr>
      </w:pPr>
      <w:r>
        <w:rPr>
          <w:rFonts w:ascii="Calibri" w:cs="Calibri" w:eastAsia="Calibri" w:hAnsi="Calibri"/>
          <w:sz w:val="20"/>
          <w:szCs w:val="20"/>
          <w:color w:val="auto"/>
        </w:rPr>
        <w:t>SECTION 1.4.</w:t>
        <w:tab/>
        <w:t>COLLATERAL.</w:t>
      </w:r>
    </w:p>
    <w:p>
      <w:pPr>
        <w:spacing w:after="0" w:line="171" w:lineRule="exact"/>
        <w:rPr>
          <w:sz w:val="20"/>
          <w:szCs w:val="20"/>
          <w:color w:val="auto"/>
        </w:rPr>
      </w:pPr>
    </w:p>
    <w:p>
      <w:pPr>
        <w:ind w:right="180" w:firstLine="518"/>
        <w:spacing w:after="0" w:line="239" w:lineRule="auto"/>
        <w:rPr>
          <w:sz w:val="20"/>
          <w:szCs w:val="20"/>
          <w:color w:val="auto"/>
        </w:rPr>
      </w:pPr>
      <w:r>
        <w:rPr>
          <w:rFonts w:ascii="Calibri" w:cs="Calibri" w:eastAsia="Calibri" w:hAnsi="Calibri"/>
          <w:sz w:val="20"/>
          <w:szCs w:val="20"/>
          <w:color w:val="auto"/>
        </w:rPr>
        <w:t>As security for all indebtedness and other obligatons of Borrower to Bank from tme to tme, other than indebtedness that is excluded (if at all) from such secured obligatons by the terms of the security agreement(s) required hereunder, Borrower shall grant to Bank security interests of first priority in all Borrower's assets, except to the extent otherwise provided (if at all) under the above-referenced security agreement(s) and subject only to Permited Priority Liens (as defined below). “Permited Priority Liens” means Permited Liens under Secton 5.9(iii), “Permited Target Liens,” liens on motor vehicles, and “Permited Warehouseman’s Liens” (as such terms are hereinafer defined) which statutorily would have priority over the lien of Bank on the relevant Collateral.</w:t>
      </w:r>
    </w:p>
    <w:p>
      <w:pPr>
        <w:spacing w:after="0" w:line="161" w:lineRule="exact"/>
        <w:rPr>
          <w:sz w:val="20"/>
          <w:szCs w:val="20"/>
          <w:color w:val="auto"/>
        </w:rPr>
      </w:pPr>
    </w:p>
    <w:p>
      <w:pPr>
        <w:ind w:right="180" w:firstLine="518"/>
        <w:spacing w:after="0" w:line="243" w:lineRule="auto"/>
        <w:rPr>
          <w:sz w:val="20"/>
          <w:szCs w:val="20"/>
          <w:color w:val="auto"/>
        </w:rPr>
      </w:pPr>
      <w:r>
        <w:rPr>
          <w:rFonts w:ascii="Calibri" w:cs="Calibri" w:eastAsia="Calibri" w:hAnsi="Calibri"/>
          <w:sz w:val="20"/>
          <w:szCs w:val="20"/>
          <w:color w:val="auto"/>
        </w:rPr>
        <w:t>Borrower shall cause each of the Guarantors referenced in Secton 1.5 hereof from tme to tme, on the date hereof in respect of Coco Café Inc. and AMI Runa U.S. LLC, and within fifeen days of other such person/entty becoming a Guarantor, to grant to Bank security interests of first priority in all assets owned by each such entty, except to the extent otherwise provided (if at all) under the above- referenced security agreement(s) and subject to Permited Priority Liens, as evidenced by and subject to security agreements/joinders in form and substance satsfactory to Bank.</w:t>
      </w:r>
    </w:p>
    <w:p>
      <w:pPr>
        <w:spacing w:after="0" w:line="141" w:lineRule="exact"/>
        <w:rPr>
          <w:sz w:val="20"/>
          <w:szCs w:val="20"/>
          <w:color w:val="auto"/>
        </w:rPr>
      </w:pPr>
    </w:p>
    <w:p>
      <w:pPr>
        <w:ind w:right="80" w:firstLine="518"/>
        <w:spacing w:after="0"/>
        <w:rPr>
          <w:sz w:val="20"/>
          <w:szCs w:val="20"/>
          <w:color w:val="auto"/>
        </w:rPr>
      </w:pPr>
      <w:r>
        <w:rPr>
          <w:rFonts w:ascii="Calibri" w:cs="Calibri" w:eastAsia="Calibri" w:hAnsi="Calibri"/>
          <w:sz w:val="20"/>
          <w:szCs w:val="20"/>
          <w:color w:val="auto"/>
        </w:rPr>
        <w:t>All of the foregoing shall be evidenced by and subject to the terms of such security agreements, financing statements, deeds or mortgages, and other documents as Bank shall reasonably require, all in form and substance reasonably satsfactory to Bank and consistent with the terms of this Agreement.</w:t>
      </w:r>
    </w:p>
    <w:p>
      <w:pPr>
        <w:spacing w:after="0" w:line="253" w:lineRule="exact"/>
        <w:rPr>
          <w:sz w:val="20"/>
          <w:szCs w:val="20"/>
          <w:color w:val="auto"/>
        </w:rPr>
      </w:pPr>
    </w:p>
    <w:p>
      <w:pPr>
        <w:ind w:right="160" w:firstLine="648"/>
        <w:spacing w:after="0"/>
        <w:rPr>
          <w:sz w:val="20"/>
          <w:szCs w:val="20"/>
          <w:color w:val="auto"/>
        </w:rPr>
      </w:pPr>
      <w:r>
        <w:rPr>
          <w:rFonts w:ascii="Calibri" w:cs="Calibri" w:eastAsia="Calibri" w:hAnsi="Calibri"/>
          <w:sz w:val="20"/>
          <w:szCs w:val="20"/>
          <w:color w:val="auto"/>
        </w:rPr>
        <w:t>Borrower shall pay to Bank immediately upon demand the full amount of all out-of-pocket charges, costs and expenses (to include fees paid to third partes but excluding all costs of Bank employees), expended or incurred by Bank in connecton with any of the foregoing security, including without limitaton, filing and recording fees and costs of appraisals, audits and ttle insurance.</w:t>
      </w:r>
    </w:p>
    <w:p>
      <w:pPr>
        <w:spacing w:after="0" w:line="159" w:lineRule="exact"/>
        <w:rPr>
          <w:sz w:val="20"/>
          <w:szCs w:val="20"/>
          <w:color w:val="auto"/>
        </w:rPr>
      </w:pPr>
    </w:p>
    <w:p>
      <w:pPr>
        <w:ind w:right="200" w:firstLine="518"/>
        <w:spacing w:after="0" w:line="241" w:lineRule="auto"/>
        <w:rPr>
          <w:sz w:val="20"/>
          <w:szCs w:val="20"/>
          <w:color w:val="auto"/>
        </w:rPr>
      </w:pPr>
      <w:r>
        <w:rPr>
          <w:rFonts w:ascii="Calibri" w:cs="Calibri" w:eastAsia="Calibri" w:hAnsi="Calibri"/>
          <w:sz w:val="20"/>
          <w:szCs w:val="20"/>
          <w:color w:val="auto"/>
        </w:rPr>
        <w:t>SECTION 1.5. GUARANTIES. The payment and performance of all indebtedness and other obligatons of Borrower to Bank under this Agreement or any of the other Loan Documents (as defined below) shall be guaranteed jointly and severally by: (a) Coco Cafe Inc. and AMI Runa U.S. LLC on and eﬀectve as of the date hereof; (b) hereafer, within fifeen days of the acquisiton or formaton of the same, all other direct or indirect domestc wholly-owned subsidiaries of Borrower from tme to tme; and (c) eﬀectve as of the date of consummaton of any Permited Acquisiton, any direct or indirect subsidiary of Borrower (whether or not wholly-owned) formed or acquired in connecton therewith or which was the acquiror in such Permited Acquisiton (each, a “Guarantor”), as evidenced (in the case of (a), (b) or (c) above) by and subject to guarantes/joinder agreements in form and substance reasonably satsfactory to Bank and consistent with the terms of this Agreement.</w:t>
      </w:r>
    </w:p>
    <w:p>
      <w:pPr>
        <w:sectPr>
          <w:pgSz w:w="11900" w:h="16838" w:orient="portrait"/>
          <w:cols w:equalWidth="0" w:num="1">
            <w:col w:w="11000"/>
          </w:cols>
          <w:pgMar w:left="440" w:top="1440" w:right="459" w:bottom="1440" w:gutter="0" w:footer="0" w:header="0"/>
        </w:sectPr>
      </w:pPr>
    </w:p>
    <w:bookmarkStart w:id="109" w:name="page110"/>
    <w:bookmarkEnd w:id="109"/>
    <w:p>
      <w:pPr>
        <w:spacing w:after="0" w:line="110" w:lineRule="exact"/>
        <w:rPr>
          <w:sz w:val="20"/>
          <w:szCs w:val="20"/>
          <w:color w:val="auto"/>
        </w:rPr>
      </w:pPr>
    </w:p>
    <w:p>
      <w:pPr>
        <w:ind w:left="640"/>
        <w:spacing w:after="0"/>
        <w:tabs>
          <w:tab w:leader="none" w:pos="1860" w:val="left"/>
        </w:tabs>
        <w:rPr>
          <w:sz w:val="20"/>
          <w:szCs w:val="20"/>
          <w:color w:val="auto"/>
        </w:rPr>
      </w:pPr>
      <w:r>
        <w:rPr>
          <w:rFonts w:ascii="Calibri" w:cs="Calibri" w:eastAsia="Calibri" w:hAnsi="Calibri"/>
          <w:sz w:val="20"/>
          <w:szCs w:val="20"/>
          <w:u w:val="single" w:color="auto"/>
          <w:color w:val="0000FF"/>
        </w:rPr>
        <w:t>SECTION 1.6.</w:t>
      </w:r>
      <w:r>
        <w:rPr>
          <w:sz w:val="20"/>
          <w:szCs w:val="20"/>
          <w:color w:val="auto"/>
        </w:rPr>
        <w:tab/>
      </w:r>
      <w:r>
        <w:rPr>
          <w:rFonts w:ascii="Calibri" w:cs="Calibri" w:eastAsia="Calibri" w:hAnsi="Calibri"/>
          <w:sz w:val="19"/>
          <w:szCs w:val="19"/>
          <w:u w:val="single" w:color="auto"/>
          <w:color w:val="0000FF"/>
        </w:rPr>
        <w:t>LETTERS OF CREDIT.</w:t>
      </w:r>
    </w:p>
    <w:p>
      <w:pPr>
        <w:spacing w:after="0" w:line="147" w:lineRule="exact"/>
        <w:rPr>
          <w:sz w:val="20"/>
          <w:szCs w:val="20"/>
          <w:color w:val="auto"/>
        </w:rPr>
      </w:pPr>
    </w:p>
    <w:p>
      <w:pPr>
        <w:ind w:left="920" w:hanging="264"/>
        <w:spacing w:after="0"/>
        <w:tabs>
          <w:tab w:leader="none" w:pos="920" w:val="left"/>
        </w:tabs>
        <w:numPr>
          <w:ilvl w:val="0"/>
          <w:numId w:val="46"/>
        </w:numPr>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 xml:space="preserve">Leters of Credit . As a subfeature </w:t>
      </w:r>
      <w:r>
        <w:rPr>
          <w:rFonts w:ascii="Calibri" w:cs="Calibri" w:eastAsia="Calibri" w:hAnsi="Calibri"/>
          <w:sz w:val="20"/>
          <w:szCs w:val="20"/>
          <w:u w:val="single" w:color="auto"/>
          <w:color w:val="007F00"/>
        </w:rPr>
        <w:t>under the Line of Credit</w:t>
      </w:r>
      <w:r>
        <w:rPr>
          <w:rFonts w:ascii="Calibri" w:cs="Calibri" w:eastAsia="Calibri" w:hAnsi="Calibri"/>
          <w:sz w:val="20"/>
          <w:szCs w:val="20"/>
          <w:u w:val="single" w:color="auto"/>
          <w:color w:val="0000FF"/>
        </w:rPr>
        <w:t>, Bank agrees from tme to tme during the term thereof to issue</w:t>
      </w:r>
    </w:p>
    <w:p>
      <w:pPr>
        <w:spacing w:after="0" w:line="22" w:lineRule="exact"/>
        <w:rPr>
          <w:rFonts w:ascii="Calibri" w:cs="Calibri" w:eastAsia="Calibri" w:hAnsi="Calibri"/>
          <w:sz w:val="20"/>
          <w:szCs w:val="20"/>
          <w:u w:val="single" w:color="auto"/>
          <w:color w:val="0000FF"/>
        </w:rPr>
      </w:pPr>
    </w:p>
    <w:p>
      <w:pPr>
        <w:jc w:val="both"/>
        <w:ind w:right="60"/>
        <w:spacing w:after="0" w:line="236" w:lineRule="auto"/>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or cause a branch, subsidiary or aﬃliate to issue standby leters of credit and sight and/or usance commercial leters of credit on behalf of Borrower (each, a “Leter of Credit”); provided however, that the aggregate undrawn amount of all outstanding Leters of Credit shall not at any tme exceed Ten Million Dollars ($10,000,000).</w:t>
      </w:r>
    </w:p>
    <w:p>
      <w:pPr>
        <w:spacing w:after="0" w:line="265" w:lineRule="exact"/>
        <w:rPr>
          <w:sz w:val="20"/>
          <w:szCs w:val="20"/>
          <w:color w:val="auto"/>
        </w:rPr>
      </w:pPr>
    </w:p>
    <w:p>
      <w:pPr>
        <w:ind w:firstLine="648"/>
        <w:spacing w:after="0" w:line="233" w:lineRule="auto"/>
        <w:rPr>
          <w:sz w:val="20"/>
          <w:szCs w:val="20"/>
          <w:color w:val="auto"/>
        </w:rPr>
      </w:pPr>
      <w:r>
        <w:rPr>
          <w:rFonts w:ascii="Calibri" w:cs="Calibri" w:eastAsia="Calibri" w:hAnsi="Calibri"/>
          <w:sz w:val="20"/>
          <w:szCs w:val="20"/>
          <w:u w:val="single" w:color="auto"/>
          <w:color w:val="0000FF"/>
        </w:rPr>
        <w:t>Bank shall have no obligaton to issue a Leter of Credit if (i) any order, judgment, or decree of any governmental authority or arbitrator shall, by its terms, purport to enjoin or restrain Bank from issuing such Leter of Credit, or any law applicable to Bank or any request or directve (whether or not having the force of law) from any governmental authority with jurisdicton over Bank shall prohibit or request that Bank refrain from issuing leters of credit generally or such Leter of Credit in partcular, or (ii) such Leter of Credit would violate one or more policies of Bank applicable to leters of credit generally, or (iii) if amounts demanded to be paid under any Leter of Credit will or may not be in United States Dollars.</w:t>
      </w:r>
    </w:p>
    <w:p>
      <w:pPr>
        <w:spacing w:after="0" w:line="238" w:lineRule="exact"/>
        <w:rPr>
          <w:sz w:val="20"/>
          <w:szCs w:val="20"/>
          <w:color w:val="auto"/>
        </w:rPr>
      </w:pPr>
    </w:p>
    <w:p>
      <w:pPr>
        <w:ind w:right="40" w:firstLine="648"/>
        <w:spacing w:after="0" w:line="234" w:lineRule="auto"/>
        <w:rPr>
          <w:sz w:val="20"/>
          <w:szCs w:val="20"/>
          <w:color w:val="auto"/>
        </w:rPr>
      </w:pPr>
      <w:r>
        <w:rPr>
          <w:rFonts w:ascii="Calibri" w:cs="Calibri" w:eastAsia="Calibri" w:hAnsi="Calibri"/>
          <w:sz w:val="20"/>
          <w:szCs w:val="20"/>
          <w:u w:val="single" w:color="auto"/>
          <w:color w:val="0000FF"/>
        </w:rPr>
        <w:t xml:space="preserve">The form and substance of each Leter of Credit shall be subject to approval by Bank, in its sole discreton. The undrawn amount of all outstanding Leters of Credit shall be reserved under </w:t>
      </w:r>
      <w:r>
        <w:rPr>
          <w:rFonts w:ascii="Calibri" w:cs="Calibri" w:eastAsia="Calibri" w:hAnsi="Calibri"/>
          <w:sz w:val="20"/>
          <w:szCs w:val="20"/>
          <w:u w:val="single" w:color="auto"/>
          <w:color w:val="007F00"/>
        </w:rPr>
        <w:t>the Line of Credit and</w:t>
      </w:r>
      <w:r>
        <w:rPr>
          <w:rFonts w:ascii="Calibri" w:cs="Calibri" w:eastAsia="Calibri" w:hAnsi="Calibri"/>
          <w:sz w:val="20"/>
          <w:szCs w:val="20"/>
          <w:u w:val="single" w:color="auto"/>
          <w:color w:val="0000FF"/>
        </w:rPr>
        <w:t xml:space="preserve"> shall not be available for borrowing thereunder.</w:t>
      </w:r>
    </w:p>
    <w:p>
      <w:pPr>
        <w:spacing w:after="0" w:line="239" w:lineRule="exact"/>
        <w:rPr>
          <w:sz w:val="20"/>
          <w:szCs w:val="20"/>
          <w:color w:val="auto"/>
        </w:rPr>
      </w:pPr>
    </w:p>
    <w:p>
      <w:pPr>
        <w:ind w:right="160" w:firstLine="648"/>
        <w:spacing w:after="0" w:line="233" w:lineRule="auto"/>
        <w:rPr>
          <w:sz w:val="20"/>
          <w:szCs w:val="20"/>
          <w:color w:val="auto"/>
        </w:rPr>
      </w:pPr>
      <w:r>
        <w:rPr>
          <w:rFonts w:ascii="Calibri" w:cs="Calibri" w:eastAsia="Calibri" w:hAnsi="Calibri"/>
          <w:sz w:val="20"/>
          <w:szCs w:val="20"/>
          <w:u w:val="single" w:color="auto"/>
          <w:color w:val="0000FF"/>
        </w:rPr>
        <w:t>Each Leter of Credit shall be issued for a term not to exceed three hundred sixty-five (365) days, as designated by Borrower; provided however, that no Leter of Credit shall be issued with, nor shall Bank be required to extend or (if applicable) allow automatc extension of any Leter of Credit so that it will have, an expiraton date more than thirty (30) days prior the maturity date of the Line of Credit. Borrower agrees to pay to Bank such fees and charges (as distnguished from commissions) in connecton with the issuance, amendment, negotaton or cancellaton of each Leter of Credit as may be customarily charged by Bank or as are provided for in the applicable Leter of Credit Agreement (as defined below).</w:t>
      </w:r>
    </w:p>
    <w:p>
      <w:pPr>
        <w:spacing w:after="0" w:line="225" w:lineRule="exact"/>
        <w:rPr>
          <w:sz w:val="20"/>
          <w:szCs w:val="20"/>
          <w:color w:val="auto"/>
        </w:rPr>
      </w:pPr>
    </w:p>
    <w:p>
      <w:pPr>
        <w:ind w:right="20" w:firstLine="648"/>
        <w:spacing w:after="0" w:line="242" w:lineRule="auto"/>
        <w:rPr>
          <w:sz w:val="20"/>
          <w:szCs w:val="20"/>
          <w:color w:val="auto"/>
        </w:rPr>
      </w:pPr>
      <w:r>
        <w:rPr>
          <w:rFonts w:ascii="Calibri" w:cs="Calibri" w:eastAsia="Calibri" w:hAnsi="Calibri"/>
          <w:sz w:val="20"/>
          <w:szCs w:val="20"/>
          <w:u w:val="single" w:color="auto"/>
          <w:color w:val="0000FF"/>
        </w:rPr>
        <w:t xml:space="preserve">Each Leter of Credit shall be subject to the additonal terms and conditons of Bank’s standard leter of credit agreement or other reimbursement agreement, however ttled (each, a “Leter of Credit Agreement”), and all applicatons and related documents required by Bank in connecton with the issuance thereof. Each drawing paid under a Leter of Credit shall be due and payable in accordance with the leter of credit agreement or other reimbursement agreement, however ttled. Unless arrangements satsfactory to Bank are made to reimburse Bank for such drawing or amount, Borrower shall be deemed to have requested an advance under the Line of Credit which shall be repaid by Borrower in accordance with the </w:t>
      </w:r>
      <w:r>
        <w:rPr>
          <w:rFonts w:ascii="Calibri" w:cs="Calibri" w:eastAsia="Calibri" w:hAnsi="Calibri"/>
          <w:sz w:val="20"/>
          <w:szCs w:val="20"/>
          <w:u w:val="single" w:color="auto"/>
          <w:color w:val="007F00"/>
        </w:rPr>
        <w:t>terms and conditons of this Agreement</w:t>
      </w:r>
      <w:r>
        <w:rPr>
          <w:rFonts w:ascii="Calibri" w:cs="Calibri" w:eastAsia="Calibri" w:hAnsi="Calibri"/>
          <w:sz w:val="20"/>
          <w:szCs w:val="20"/>
          <w:u w:val="single" w:color="auto"/>
          <w:color w:val="0000FF"/>
        </w:rPr>
        <w:t xml:space="preserve"> applicable to such advances; provided however, that if advances </w:t>
      </w:r>
      <w:r>
        <w:rPr>
          <w:rFonts w:ascii="Calibri" w:cs="Calibri" w:eastAsia="Calibri" w:hAnsi="Calibri"/>
          <w:sz w:val="20"/>
          <w:szCs w:val="20"/>
          <w:u w:val="single" w:color="auto"/>
          <w:color w:val="007F00"/>
        </w:rPr>
        <w:t>under the Line of Credit</w:t>
      </w:r>
      <w:r>
        <w:rPr>
          <w:rFonts w:ascii="Calibri" w:cs="Calibri" w:eastAsia="Calibri" w:hAnsi="Calibri"/>
          <w:sz w:val="20"/>
          <w:szCs w:val="20"/>
          <w:u w:val="single" w:color="auto"/>
          <w:color w:val="0000FF"/>
        </w:rPr>
        <w:t xml:space="preserve"> are not then available, for any reason, Borrower shall immediately pay Bank the full amount then due, together with interest thereon from the date such drawing is paid to the date such amount is fully repaid by Borrower, at the rate of interest applicable to advances </w:t>
      </w:r>
      <w:r>
        <w:rPr>
          <w:rFonts w:ascii="Calibri" w:cs="Calibri" w:eastAsia="Calibri" w:hAnsi="Calibri"/>
          <w:sz w:val="20"/>
          <w:szCs w:val="20"/>
          <w:u w:val="single" w:color="auto"/>
          <w:color w:val="007F00"/>
        </w:rPr>
        <w:t>under the Line of Credit</w:t>
      </w:r>
      <w:r>
        <w:rPr>
          <w:rFonts w:ascii="Calibri" w:cs="Calibri" w:eastAsia="Calibri" w:hAnsi="Calibri"/>
          <w:sz w:val="20"/>
          <w:szCs w:val="20"/>
          <w:u w:val="single" w:color="auto"/>
          <w:color w:val="0000FF"/>
        </w:rPr>
        <w:t>. Cancellaton or expiraton of the Line of Credit shall not terminate Borrower’s obligatons under any leter of credit agreement or other reimbursement agreement, however ttled.</w:t>
      </w:r>
    </w:p>
    <w:p>
      <w:pPr>
        <w:spacing w:after="0" w:line="225" w:lineRule="exact"/>
        <w:rPr>
          <w:sz w:val="20"/>
          <w:szCs w:val="20"/>
          <w:color w:val="auto"/>
        </w:rPr>
      </w:pPr>
    </w:p>
    <w:p>
      <w:pPr>
        <w:ind w:right="1040" w:firstLine="656"/>
        <w:spacing w:after="0" w:line="234" w:lineRule="auto"/>
        <w:tabs>
          <w:tab w:leader="none" w:pos="923" w:val="left"/>
        </w:tabs>
        <w:numPr>
          <w:ilvl w:val="0"/>
          <w:numId w:val="47"/>
        </w:numPr>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 xml:space="preserve">Repayment. Each drawing under any Leter of Credit shall be repaid/reimbursed by Borrower </w:t>
      </w:r>
      <w:r>
        <w:rPr>
          <w:rFonts w:ascii="Calibri" w:cs="Calibri" w:eastAsia="Calibri" w:hAnsi="Calibri"/>
          <w:sz w:val="20"/>
          <w:szCs w:val="20"/>
          <w:u w:val="single" w:color="auto"/>
          <w:color w:val="007F00"/>
        </w:rPr>
        <w:t>in accordance with</w:t>
      </w:r>
      <w:r>
        <w:rPr>
          <w:rFonts w:ascii="Calibri" w:cs="Calibri" w:eastAsia="Calibri" w:hAnsi="Calibri"/>
          <w:sz w:val="20"/>
          <w:szCs w:val="20"/>
          <w:u w:val="single" w:color="auto"/>
          <w:color w:val="0000FF"/>
        </w:rPr>
        <w:t xml:space="preserve"> </w:t>
      </w:r>
      <w:r>
        <w:rPr>
          <w:rFonts w:ascii="Calibri" w:cs="Calibri" w:eastAsia="Calibri" w:hAnsi="Calibri"/>
          <w:sz w:val="20"/>
          <w:szCs w:val="20"/>
          <w:u w:val="single" w:color="auto"/>
          <w:color w:val="007F00"/>
        </w:rPr>
        <w:t xml:space="preserve">the provisions of the </w:t>
      </w:r>
      <w:r>
        <w:rPr>
          <w:rFonts w:ascii="Calibri" w:cs="Calibri" w:eastAsia="Calibri" w:hAnsi="Calibri"/>
          <w:sz w:val="20"/>
          <w:szCs w:val="20"/>
          <w:u w:val="single" w:color="auto"/>
          <w:color w:val="0000FF"/>
        </w:rPr>
        <w:t>applicable Leter of Credit Agreement.</w:t>
      </w:r>
    </w:p>
    <w:p>
      <w:pPr>
        <w:spacing w:after="0" w:line="149"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u w:val="single" w:color="auto"/>
          <w:color w:val="auto"/>
        </w:rPr>
        <w:t>ARTICLE II</w:t>
      </w:r>
    </w:p>
    <w:p>
      <w:pPr>
        <w:sectPr>
          <w:pgSz w:w="11900" w:h="16838" w:orient="portrait"/>
          <w:cols w:equalWidth="0" w:num="1">
            <w:col w:w="11180"/>
          </w:cols>
          <w:pgMar w:left="320" w:top="1440" w:right="399" w:bottom="1440" w:gutter="0" w:footer="0" w:header="0"/>
        </w:sectPr>
      </w:pPr>
    </w:p>
    <w:bookmarkStart w:id="110" w:name="page111"/>
    <w:bookmarkEnd w:id="110"/>
    <w:p>
      <w:pPr>
        <w:spacing w:after="0" w:line="124"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u w:val="single" w:color="auto"/>
          <w:color w:val="auto"/>
        </w:rPr>
        <w:t>REPRESENTATIONS AND WARRANTIES</w:t>
      </w:r>
    </w:p>
    <w:p>
      <w:pPr>
        <w:spacing w:after="0" w:line="171" w:lineRule="exact"/>
        <w:rPr>
          <w:sz w:val="20"/>
          <w:szCs w:val="20"/>
          <w:color w:val="auto"/>
        </w:rPr>
      </w:pPr>
    </w:p>
    <w:p>
      <w:pPr>
        <w:ind w:right="40" w:firstLine="518"/>
        <w:spacing w:after="0" w:line="246" w:lineRule="auto"/>
        <w:rPr>
          <w:sz w:val="20"/>
          <w:szCs w:val="20"/>
          <w:color w:val="auto"/>
        </w:rPr>
      </w:pPr>
      <w:r>
        <w:rPr>
          <w:rFonts w:ascii="Calibri" w:cs="Calibri" w:eastAsia="Calibri" w:hAnsi="Calibri"/>
          <w:sz w:val="20"/>
          <w:szCs w:val="20"/>
          <w:color w:val="auto"/>
        </w:rPr>
        <w:t xml:space="preserve">Borrower makes the following representatons and warrantes to Bank, on the date hereof and on the date of each subsequent request for any extension of credit hereunder and on the date of each such extension of credit </w:t>
      </w:r>
      <w:r>
        <w:rPr>
          <w:rFonts w:ascii="Calibri" w:cs="Calibri" w:eastAsia="Calibri" w:hAnsi="Calibri"/>
          <w:sz w:val="20"/>
          <w:szCs w:val="20"/>
          <w:color w:val="FF0000"/>
          <w:strike w:val="1"/>
        </w:rPr>
        <w:t>(including, without limitaton, the</w:t>
      </w:r>
      <w:r>
        <w:rPr>
          <w:rFonts w:ascii="Calibri" w:cs="Calibri" w:eastAsia="Calibri" w:hAnsi="Calibri"/>
          <w:sz w:val="20"/>
          <w:szCs w:val="20"/>
          <w:color w:val="auto"/>
        </w:rPr>
        <w:t xml:space="preserve"> </w:t>
      </w:r>
      <w:r>
        <w:rPr>
          <w:rFonts w:ascii="Calibri" w:cs="Calibri" w:eastAsia="Calibri" w:hAnsi="Calibri"/>
          <w:sz w:val="20"/>
          <w:szCs w:val="20"/>
          <w:color w:val="FF0000"/>
          <w:strike w:val="1"/>
        </w:rPr>
        <w:t>issuance of any product under any subfeature contained herein, to the extent applicable)</w:t>
      </w:r>
      <w:r>
        <w:rPr>
          <w:rFonts w:ascii="Calibri" w:cs="Calibri" w:eastAsia="Calibri" w:hAnsi="Calibri"/>
          <w:sz w:val="20"/>
          <w:szCs w:val="20"/>
          <w:color w:val="000000"/>
        </w:rPr>
        <w:t>, except with respect to statements that</w:t>
      </w:r>
      <w:r>
        <w:rPr>
          <w:rFonts w:ascii="Calibri" w:cs="Calibri" w:eastAsia="Calibri" w:hAnsi="Calibri"/>
          <w:sz w:val="20"/>
          <w:szCs w:val="20"/>
          <w:color w:val="FF0000"/>
        </w:rPr>
        <w:t xml:space="preserve"> </w:t>
      </w:r>
      <w:r>
        <w:rPr>
          <w:rFonts w:ascii="Calibri" w:cs="Calibri" w:eastAsia="Calibri" w:hAnsi="Calibri"/>
          <w:sz w:val="20"/>
          <w:szCs w:val="20"/>
          <w:color w:val="000000"/>
        </w:rPr>
        <w:t xml:space="preserve">speak to an earlier date, in which case, they shall be made as of such earlier date, which representatons and warrantes shall survive the executon of this Agreement and shall contnue in full force and eﬀect untl the full and final payment, and satsfacton and discharge, of all obligatons of Borrower to Bank subject to this Agreement. </w:t>
      </w:r>
      <w:r>
        <w:rPr>
          <w:rFonts w:ascii="Calibri" w:cs="Calibri" w:eastAsia="Calibri" w:hAnsi="Calibri"/>
          <w:sz w:val="20"/>
          <w:szCs w:val="20"/>
          <w:color w:val="007F00"/>
        </w:rPr>
        <w:t>For purposes of this Agreement, all</w:t>
      </w:r>
      <w:r>
        <w:rPr>
          <w:rFonts w:ascii="Calibri" w:cs="Calibri" w:eastAsia="Calibri" w:hAnsi="Calibri"/>
          <w:sz w:val="20"/>
          <w:szCs w:val="20"/>
          <w:color w:val="000000"/>
        </w:rPr>
        <w:t xml:space="preserve"> </w:t>
      </w:r>
      <w:r>
        <w:rPr>
          <w:rFonts w:ascii="Calibri" w:cs="Calibri" w:eastAsia="Calibri" w:hAnsi="Calibri"/>
          <w:sz w:val="20"/>
          <w:szCs w:val="20"/>
          <w:u w:val="single" w:color="auto"/>
          <w:color w:val="0000FF"/>
        </w:rPr>
        <w:t>references</w:t>
      </w:r>
      <w:r>
        <w:rPr>
          <w:rFonts w:ascii="Calibri" w:cs="Calibri" w:eastAsia="Calibri" w:hAnsi="Calibri"/>
          <w:sz w:val="20"/>
          <w:szCs w:val="20"/>
          <w:color w:val="000000"/>
        </w:rPr>
        <w:t xml:space="preserve"> </w:t>
      </w:r>
      <w:r>
        <w:rPr>
          <w:rFonts w:ascii="Calibri" w:cs="Calibri" w:eastAsia="Calibri" w:hAnsi="Calibri"/>
          <w:sz w:val="20"/>
          <w:szCs w:val="20"/>
          <w:u w:val="single" w:color="auto"/>
          <w:color w:val="007F00"/>
        </w:rPr>
        <w:t>to</w:t>
      </w:r>
      <w:r>
        <w:rPr>
          <w:rFonts w:ascii="Calibri" w:cs="Calibri" w:eastAsia="Calibri" w:hAnsi="Calibri"/>
          <w:sz w:val="20"/>
          <w:szCs w:val="20"/>
          <w:color w:val="000000"/>
        </w:rPr>
        <w:t xml:space="preserve"> </w:t>
      </w:r>
      <w:r>
        <w:rPr>
          <w:rFonts w:ascii="Calibri" w:cs="Calibri" w:eastAsia="Calibri" w:hAnsi="Calibri"/>
          <w:sz w:val="20"/>
          <w:szCs w:val="20"/>
          <w:u w:val="single" w:color="auto"/>
          <w:color w:val="007F00"/>
        </w:rPr>
        <w:t xml:space="preserve">knowledge of Borrower and phrases of similar import shall mean the actual knowledge of </w:t>
      </w:r>
      <w:r>
        <w:rPr>
          <w:rFonts w:ascii="Calibri" w:cs="Calibri" w:eastAsia="Calibri" w:hAnsi="Calibri"/>
          <w:sz w:val="20"/>
          <w:szCs w:val="20"/>
          <w:u w:val="single" w:color="auto"/>
          <w:color w:val="0000FF"/>
        </w:rPr>
        <w:t>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-864870</wp:posOffset>
            </wp:positionV>
            <wp:extent cx="311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-187325</wp:posOffset>
            </wp:positionV>
            <wp:extent cx="18567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132" w:lineRule="exact"/>
        <w:rPr>
          <w:sz w:val="20"/>
          <w:szCs w:val="20"/>
          <w:color w:val="auto"/>
        </w:rPr>
      </w:pPr>
    </w:p>
    <w:p>
      <w:pPr>
        <w:ind w:firstLine="518"/>
        <w:spacing w:after="0" w:line="242" w:lineRule="auto"/>
        <w:rPr>
          <w:sz w:val="20"/>
          <w:szCs w:val="20"/>
          <w:color w:val="auto"/>
        </w:rPr>
      </w:pPr>
      <w:r>
        <w:rPr>
          <w:rFonts w:ascii="Calibri" w:cs="Calibri" w:eastAsia="Calibri" w:hAnsi="Calibri"/>
          <w:sz w:val="20"/>
          <w:szCs w:val="20"/>
          <w:color w:val="auto"/>
        </w:rPr>
        <w:t>SECTION 2.1. LEGAL STATUS. (a) Borrower is a corporaton, duly organized and existng and in good standing under the laws of Delaware, and is qualified or licensed to do business (and is in good standing as a foreign corporaton, if applicable) in all other jurisdictons in which such qualificaton or licensing is required and in which the failure to so qualify or to be so licensed could have a Material Adverse Eﬀect; and (b) no member of the Borrowing Group (as defined below) is a Sanctoned Target (as defined below) of economic or financial sanctons, sectoral sanctons, secondary sanctons, trade embargoes or restrictons and ant-terrorism laws imposed, administered or enforced from tme to tme by the United States of America, the United Natons Security Council, the European Union, the United Kingdom, any other governmental authority with jurisdicton over Borrower or any member of the Borrowing Group (collectvely, “Sanctons”). As used herein, “Borrowing Group” means: (i) Borrower, (ii) any direct or indirect parent of Borrower, (iii) any direct or indirect aﬃliate or subsidiary of Borrower, (iv) any Guarantor, and (v) any oﬃcer, director or agent actng on behalf of any of the partes referred to in items (i) through and including (iv) with respect to the obligatons hereunder, this Agreement or any of the other Loan Documents (as defined below). “Sanctoned Target” means any target of Sanctons, including (i) persons on any list of targets identfied or designated pursuant to any Sanctons, (ii) persons, countries, or territories that are the target of any territorial or country-based Sanctons program, (iii) persons that are a target of Sanctons due to their ownership or control by any Sanctoned Target(s), or</w:t>
      </w:r>
    </w:p>
    <w:p>
      <w:pPr>
        <w:spacing w:after="0"/>
        <w:rPr>
          <w:sz w:val="20"/>
          <w:szCs w:val="20"/>
          <w:color w:val="auto"/>
        </w:rPr>
      </w:pPr>
      <w:r>
        <w:rPr>
          <w:rFonts w:ascii="Calibri" w:cs="Calibri" w:eastAsia="Calibri" w:hAnsi="Calibri"/>
          <w:sz w:val="20"/>
          <w:szCs w:val="20"/>
          <w:color w:val="auto"/>
        </w:rPr>
        <w:t>(iv) persons otherwise a target of Sanctons, including vessels and aircraf, that are designated under any Sanctons program.</w:t>
      </w:r>
    </w:p>
    <w:p>
      <w:pPr>
        <w:spacing w:after="0" w:line="157" w:lineRule="exact"/>
        <w:rPr>
          <w:sz w:val="20"/>
          <w:szCs w:val="20"/>
          <w:color w:val="auto"/>
        </w:rPr>
      </w:pPr>
    </w:p>
    <w:p>
      <w:pPr>
        <w:ind w:right="280" w:firstLine="518"/>
        <w:spacing w:after="0" w:line="239" w:lineRule="auto"/>
        <w:rPr>
          <w:sz w:val="20"/>
          <w:szCs w:val="20"/>
          <w:color w:val="auto"/>
        </w:rPr>
      </w:pPr>
      <w:r>
        <w:rPr>
          <w:rFonts w:ascii="Calibri" w:cs="Calibri" w:eastAsia="Calibri" w:hAnsi="Calibri"/>
          <w:sz w:val="20"/>
          <w:szCs w:val="20"/>
          <w:color w:val="auto"/>
        </w:rPr>
        <w:t>SECTION 2.2. AUTHORIZATION AND VALIDITY. This Agreement and each promissory note, contract, instrument and other document required hereby or at any tme hereafer delivered to Bank in connecton herewith (collectvely, the "Loan Documents") have been duly authorized, and upon their executon and delivery in accordance with the provisions hereof (and assuming due authorizaton and executon by the Bank) will consttute legal, valid and binding agreements and obligatons of Borrower or each other party which executes the same, enforceable in accordance with their respectve terms.</w:t>
      </w:r>
    </w:p>
    <w:p>
      <w:pPr>
        <w:spacing w:after="0" w:line="296" w:lineRule="exact"/>
        <w:rPr>
          <w:sz w:val="20"/>
          <w:szCs w:val="20"/>
          <w:color w:val="auto"/>
        </w:rPr>
      </w:pPr>
    </w:p>
    <w:p>
      <w:pPr>
        <w:ind w:right="180" w:firstLine="518"/>
        <w:spacing w:after="0" w:line="243" w:lineRule="auto"/>
        <w:rPr>
          <w:sz w:val="20"/>
          <w:szCs w:val="20"/>
          <w:color w:val="auto"/>
        </w:rPr>
      </w:pPr>
      <w:r>
        <w:rPr>
          <w:rFonts w:ascii="Calibri" w:cs="Calibri" w:eastAsia="Calibri" w:hAnsi="Calibri"/>
          <w:sz w:val="20"/>
          <w:szCs w:val="20"/>
          <w:color w:val="auto"/>
        </w:rPr>
        <w:t>SECTION 2.3. NO VIOLATION. The executon, delivery and performance by Borrower or any of its subsidiaries of each of the Loan Documents does/will not: violate any provision of any law or regulaton, or contravene any provision of the organizatonal and governing documents of Borrower or any of its subsidiaries; or result in any breach of or default under any contract, obligaton, indenture or other instrument to which Borrower or any of its subsidiaries is a party or by which Borrower or any of its subsidiaries may be bound and where such breach or default could reasonably be expected to have a Material Adverse Eﬀect.</w:t>
      </w:r>
    </w:p>
    <w:p>
      <w:pPr>
        <w:sectPr>
          <w:pgSz w:w="11900" w:h="16838" w:orient="portrait"/>
          <w:cols w:equalWidth="0" w:num="1">
            <w:col w:w="10940"/>
          </w:cols>
          <w:pgMar w:left="440" w:top="1440" w:right="519" w:bottom="1440" w:gutter="0" w:footer="0" w:header="0"/>
        </w:sectPr>
      </w:pPr>
    </w:p>
    <w:bookmarkStart w:id="111" w:name="page112"/>
    <w:bookmarkEnd w:id="111"/>
    <w:p>
      <w:pPr>
        <w:spacing w:after="0" w:line="215" w:lineRule="exact"/>
        <w:rPr>
          <w:sz w:val="20"/>
          <w:szCs w:val="20"/>
          <w:color w:val="auto"/>
        </w:rPr>
      </w:pPr>
    </w:p>
    <w:p>
      <w:pPr>
        <w:jc w:val="both"/>
        <w:ind w:right="560" w:firstLine="518"/>
        <w:spacing w:after="0" w:line="239" w:lineRule="auto"/>
        <w:rPr>
          <w:sz w:val="20"/>
          <w:szCs w:val="20"/>
          <w:color w:val="auto"/>
        </w:rPr>
      </w:pPr>
      <w:r>
        <w:rPr>
          <w:rFonts w:ascii="Calibri" w:cs="Calibri" w:eastAsia="Calibri" w:hAnsi="Calibri"/>
          <w:sz w:val="20"/>
          <w:szCs w:val="20"/>
          <w:color w:val="auto"/>
        </w:rPr>
        <w:t xml:space="preserve">SECTION 2.4. LITIGATION. There are no pending, or to the best of Borrower's knowledge threatened, actons, claims, investgatons, suits or proceedings by or before or involving any person or entty, governmental authority, arbitrator, court or administratve agency which, if adversely determined, could reasonably be expected to have a Material Adverse Eﬀect. Certain claims/litgatons are described on </w:t>
      </w:r>
      <w:r>
        <w:rPr>
          <w:rFonts w:ascii="Calibri" w:cs="Calibri" w:eastAsia="Calibri" w:hAnsi="Calibri"/>
          <w:sz w:val="20"/>
          <w:szCs w:val="20"/>
          <w:u w:val="single" w:color="auto"/>
          <w:color w:val="auto"/>
        </w:rPr>
        <w:t>Schedule 2.4</w:t>
      </w:r>
      <w:r>
        <w:rPr>
          <w:rFonts w:ascii="Calibri" w:cs="Calibri" w:eastAsia="Calibri" w:hAnsi="Calibri"/>
          <w:sz w:val="20"/>
          <w:szCs w:val="20"/>
          <w:color w:val="auto"/>
        </w:rPr>
        <w:t xml:space="preserve"> atached hereto. </w:t>
      </w:r>
      <w:r>
        <w:rPr>
          <w:rFonts w:ascii="Calibri" w:cs="Calibri" w:eastAsia="Calibri" w:hAnsi="Calibri"/>
          <w:sz w:val="20"/>
          <w:szCs w:val="20"/>
          <w:color w:val="007F00"/>
          <w:strike w:val="1"/>
        </w:rPr>
        <w:t>For purposes of this Agreement, all</w:t>
      </w:r>
      <w:r>
        <w:rPr>
          <w:rFonts w:ascii="Calibri" w:cs="Calibri" w:eastAsia="Calibri" w:hAnsi="Calibri"/>
          <w:sz w:val="20"/>
          <w:szCs w:val="20"/>
          <w:color w:val="auto"/>
        </w:rPr>
        <w:t xml:space="preserve"> </w:t>
      </w:r>
      <w:r>
        <w:rPr>
          <w:rFonts w:ascii="Calibri" w:cs="Calibri" w:eastAsia="Calibri" w:hAnsi="Calibri"/>
          <w:sz w:val="20"/>
          <w:szCs w:val="20"/>
          <w:color w:val="FF0000"/>
          <w:strike w:val="1"/>
        </w:rPr>
        <w:t>reference</w:t>
      </w:r>
      <w:r>
        <w:rPr>
          <w:rFonts w:ascii="Calibri" w:cs="Calibri" w:eastAsia="Calibri" w:hAnsi="Calibri"/>
          <w:sz w:val="20"/>
          <w:szCs w:val="20"/>
          <w:color w:val="auto"/>
        </w:rPr>
        <w:t xml:space="preserve"> </w:t>
      </w:r>
      <w:r>
        <w:rPr>
          <w:rFonts w:ascii="Calibri" w:cs="Calibri" w:eastAsia="Calibri" w:hAnsi="Calibri"/>
          <w:sz w:val="20"/>
          <w:szCs w:val="20"/>
          <w:color w:val="007F00"/>
          <w:strike w:val="1"/>
        </w:rPr>
        <w:t>to knowledge of</w:t>
      </w:r>
      <w:r>
        <w:rPr>
          <w:rFonts w:ascii="Calibri" w:cs="Calibri" w:eastAsia="Calibri" w:hAnsi="Calibri"/>
          <w:sz w:val="20"/>
          <w:szCs w:val="20"/>
          <w:color w:val="auto"/>
        </w:rPr>
        <w:t xml:space="preserve"> </w:t>
      </w:r>
      <w:r>
        <w:rPr>
          <w:rFonts w:ascii="Calibri" w:cs="Calibri" w:eastAsia="Calibri" w:hAnsi="Calibri"/>
          <w:sz w:val="20"/>
          <w:szCs w:val="20"/>
          <w:color w:val="007F00"/>
          <w:strike w:val="1"/>
        </w:rPr>
        <w:t xml:space="preserve">Borrower and phrases of similar import shall mean the actual knowledge of </w:t>
      </w:r>
      <w:r>
        <w:rPr>
          <w:rFonts w:ascii="Calibri" w:cs="Calibri" w:eastAsia="Calibri" w:hAnsi="Calibri"/>
          <w:sz w:val="20"/>
          <w:szCs w:val="20"/>
          <w:color w:val="FF0000"/>
          <w:strike w:val="1"/>
        </w:rPr>
        <w:t>Kevin Benmoussa.</w:t>
      </w:r>
    </w:p>
    <w:p>
      <w:pPr>
        <w:spacing w:after="0" w:line="152" w:lineRule="exact"/>
        <w:rPr>
          <w:sz w:val="20"/>
          <w:szCs w:val="20"/>
          <w:color w:val="auto"/>
        </w:rPr>
      </w:pPr>
    </w:p>
    <w:p>
      <w:pPr>
        <w:ind w:left="520"/>
        <w:spacing w:after="0"/>
        <w:tabs>
          <w:tab w:leader="none" w:pos="1740" w:val="left"/>
        </w:tabs>
        <w:rPr>
          <w:sz w:val="20"/>
          <w:szCs w:val="20"/>
          <w:color w:val="auto"/>
        </w:rPr>
      </w:pPr>
      <w:r>
        <w:rPr>
          <w:rFonts w:ascii="Calibri" w:cs="Calibri" w:eastAsia="Calibri" w:hAnsi="Calibri"/>
          <w:sz w:val="20"/>
          <w:szCs w:val="20"/>
          <w:color w:val="auto"/>
        </w:rPr>
        <w:t>SECTION 2.5.</w:t>
        <w:tab/>
        <w:t>CORRECTNESS OF FINANCIAL STATEMENT AND OTHER INFORMATION. The</w:t>
      </w:r>
    </w:p>
    <w:p>
      <w:pPr>
        <w:spacing w:after="0" w:line="2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annual financial statements of Borrower and its subsidiaries dated December 31, 2018, and all interim financial statements delivered to Bank since said date, true copies of which have been delivered by Borrower to Bank prior to the date hereof, (a) are complete and correct in all material respects and present fairly the financial conditon of Borrower and its subsidiaries, subject to normal year-end adjustments, (b) disclose all liabilites of Borrower and its subsidiaries that are required to be reflected or reserved against under generally accepted accountng principles, whether liquidated or unliquidated, fixed or contngent, and (c) subject to the foregoing, have been prepared in accordance with generally accepted accountng principles consistently applied, except as indicated in notes thereto. Since the dates of such financial statements, there has been no event or circumstance that has had or could reasonably be expected to have a Material Adverse Eﬀect, nor has Borrower or any of its subsidiaries mortgaged, pledged, granted a security interest in or otherwise encumbered any of its assets or propertes except in favor of Bank or as otherwise expressly permited under this Agreement or by Bank hereunder in writng and except for Permited Liens. All informaton provided from tme to tme by Borrower or any Guarantor to Bank for the purpose of enabling Bank to fulfill its regulatory and compliance requirements, standards and processes with respect to the Line of Credit or the transactons contemplated hereby was complete and correct at the tme such informaton was provided and, except as specifically identfied to Bank in a subsequent writng, remains complete and correct as of the date hereof.</w:t>
      </w:r>
    </w:p>
    <w:p>
      <w:pPr>
        <w:spacing w:after="0" w:line="200" w:lineRule="exact"/>
        <w:rPr>
          <w:sz w:val="20"/>
          <w:szCs w:val="20"/>
          <w:color w:val="auto"/>
        </w:rPr>
      </w:pPr>
    </w:p>
    <w:p>
      <w:pPr>
        <w:spacing w:after="0" w:line="204" w:lineRule="exact"/>
        <w:rPr>
          <w:sz w:val="20"/>
          <w:szCs w:val="20"/>
          <w:color w:val="auto"/>
        </w:rPr>
      </w:pPr>
    </w:p>
    <w:p>
      <w:pPr>
        <w:ind w:right="340" w:firstLine="518"/>
        <w:spacing w:after="0" w:line="242" w:lineRule="auto"/>
        <w:rPr>
          <w:sz w:val="20"/>
          <w:szCs w:val="20"/>
          <w:color w:val="auto"/>
        </w:rPr>
      </w:pPr>
      <w:r>
        <w:rPr>
          <w:rFonts w:ascii="Calibri" w:cs="Calibri" w:eastAsia="Calibri" w:hAnsi="Calibri"/>
          <w:sz w:val="20"/>
          <w:szCs w:val="20"/>
          <w:color w:val="auto"/>
        </w:rPr>
        <w:t>SECTION 2.6. INCOME TAX RETURNS. Borrower has no knowledge of any pending assessments or adjustments of its or any of its subsidiaries’ income taxes payable with respect to any year.</w:t>
      </w:r>
    </w:p>
    <w:p>
      <w:pPr>
        <w:spacing w:after="0" w:line="156" w:lineRule="exact"/>
        <w:rPr>
          <w:sz w:val="20"/>
          <w:szCs w:val="20"/>
          <w:color w:val="auto"/>
        </w:rPr>
      </w:pPr>
    </w:p>
    <w:p>
      <w:pPr>
        <w:ind w:right="480" w:firstLine="518"/>
        <w:spacing w:after="0"/>
        <w:rPr>
          <w:sz w:val="20"/>
          <w:szCs w:val="20"/>
          <w:color w:val="auto"/>
        </w:rPr>
      </w:pPr>
      <w:r>
        <w:rPr>
          <w:rFonts w:ascii="Calibri" w:cs="Calibri" w:eastAsia="Calibri" w:hAnsi="Calibri"/>
          <w:sz w:val="20"/>
          <w:szCs w:val="20"/>
          <w:color w:val="auto"/>
        </w:rPr>
        <w:t>SECTION 2.7. NO SUBORDINATION. There is no agreement, indenture, contract or instrument to which Borrower or any of its subsidiaries is a party or by which Borrower or any of its subsidiaries may be bound that requires the subordinaton in right of payment of any of Borrower's obligatons subject to this Agreement to any other obligaton of Borrower or any of its subsidiaries.</w:t>
      </w:r>
    </w:p>
    <w:p>
      <w:pPr>
        <w:spacing w:after="0" w:line="200" w:lineRule="exact"/>
        <w:rPr>
          <w:sz w:val="20"/>
          <w:szCs w:val="20"/>
          <w:color w:val="auto"/>
        </w:rPr>
      </w:pPr>
    </w:p>
    <w:p>
      <w:pPr>
        <w:spacing w:after="0" w:line="327" w:lineRule="exact"/>
        <w:rPr>
          <w:sz w:val="20"/>
          <w:szCs w:val="20"/>
          <w:color w:val="auto"/>
        </w:rPr>
      </w:pPr>
    </w:p>
    <w:p>
      <w:pPr>
        <w:ind w:left="520"/>
        <w:spacing w:after="0"/>
        <w:tabs>
          <w:tab w:leader="none" w:pos="1740" w:val="left"/>
        </w:tabs>
        <w:rPr>
          <w:sz w:val="20"/>
          <w:szCs w:val="20"/>
          <w:color w:val="auto"/>
        </w:rPr>
      </w:pPr>
      <w:r>
        <w:rPr>
          <w:rFonts w:ascii="Calibri" w:cs="Calibri" w:eastAsia="Calibri" w:hAnsi="Calibri"/>
          <w:sz w:val="20"/>
          <w:szCs w:val="20"/>
          <w:color w:val="auto"/>
        </w:rPr>
        <w:t>SECTION 2.8.</w:t>
        <w:tab/>
        <w:t>PERMITS; FRANCHISES; INTELLECTUAL PROPERTY; MATERIAL CONTRACTS.</w:t>
      </w:r>
    </w:p>
    <w:p>
      <w:pPr>
        <w:spacing w:after="0" w:line="22" w:lineRule="exact"/>
        <w:rPr>
          <w:sz w:val="20"/>
          <w:szCs w:val="20"/>
          <w:color w:val="auto"/>
        </w:rPr>
      </w:pPr>
    </w:p>
    <w:p>
      <w:pPr>
        <w:ind w:right="40"/>
        <w:spacing w:after="0" w:line="239" w:lineRule="auto"/>
        <w:rPr>
          <w:sz w:val="20"/>
          <w:szCs w:val="20"/>
          <w:color w:val="auto"/>
        </w:rPr>
      </w:pPr>
      <w:r>
        <w:rPr>
          <w:rFonts w:ascii="Calibri" w:cs="Calibri" w:eastAsia="Calibri" w:hAnsi="Calibri"/>
          <w:sz w:val="20"/>
          <w:szCs w:val="20"/>
          <w:color w:val="auto"/>
        </w:rPr>
        <w:t xml:space="preserve">Each of Borrower and each of its subsidiaries possesses, and will hereafer possess, all permits, consents, approvals, franchises and licenses required and rights to all trademarks, trade names, patents, and ficttous names, if any, necessary to enable it to conduct the business in which it is now engaged in compliance with applicable law, and each of Borrower and each of its subsidiaries is in compliance with all laws applicable to it, in each case, except to the extent that such lack of possession or non-compliance has not resulted in, and could not reasonably be expected to result in, a Material Adverse Eﬀect. Set forth on </w:t>
      </w:r>
      <w:r>
        <w:rPr>
          <w:rFonts w:ascii="Calibri" w:cs="Calibri" w:eastAsia="Calibri" w:hAnsi="Calibri"/>
          <w:sz w:val="20"/>
          <w:szCs w:val="20"/>
          <w:u w:val="single" w:color="auto"/>
          <w:color w:val="auto"/>
        </w:rPr>
        <w:t>Schedule 2.8</w:t>
      </w:r>
      <w:r>
        <w:rPr>
          <w:rFonts w:ascii="Calibri" w:cs="Calibri" w:eastAsia="Calibri" w:hAnsi="Calibri"/>
          <w:sz w:val="20"/>
          <w:szCs w:val="20"/>
          <w:color w:val="auto"/>
        </w:rPr>
        <w:t xml:space="preserve"> is a list of all (a) registered and other intellectual property (e.g., trademarks, copyrights, patents, etc.) owned or used by Borrower or any of its</w:t>
      </w:r>
    </w:p>
    <w:p>
      <w:pPr>
        <w:sectPr>
          <w:pgSz w:w="11900" w:h="16838" w:orient="portrait"/>
          <w:cols w:equalWidth="0" w:num="1">
            <w:col w:w="11000"/>
          </w:cols>
          <w:pgMar w:left="440" w:top="1440" w:right="459" w:bottom="1440" w:gutter="0" w:footer="0" w:header="0"/>
        </w:sectPr>
      </w:pPr>
    </w:p>
    <w:bookmarkStart w:id="112" w:name="page113"/>
    <w:bookmarkEnd w:id="112"/>
    <w:p>
      <w:pPr>
        <w:spacing w:after="0"/>
        <w:rPr>
          <w:sz w:val="20"/>
          <w:szCs w:val="20"/>
          <w:color w:val="auto"/>
        </w:rPr>
      </w:pPr>
      <w:r>
        <w:rPr>
          <w:rFonts w:ascii="Calibri" w:cs="Calibri" w:eastAsia="Calibri" w:hAnsi="Calibri"/>
          <w:sz w:val="20"/>
          <w:szCs w:val="20"/>
          <w:color w:val="auto"/>
        </w:rPr>
        <w:t>subsidiaries, and (b) purchase and sale contracts between Borrower and/or any of its subsidiaries, on the one hand, and any of the top three (3) suppliers and top three (3) customers of Borrower and/or any of its subsidiaries, on the other hand, as of the date hereof (each, a “Material Contract”).</w:t>
      </w:r>
    </w:p>
    <w:p>
      <w:pPr>
        <w:spacing w:after="0" w:line="159" w:lineRule="exact"/>
        <w:rPr>
          <w:sz w:val="20"/>
          <w:szCs w:val="20"/>
          <w:color w:val="auto"/>
        </w:rPr>
      </w:pPr>
    </w:p>
    <w:p>
      <w:pPr>
        <w:ind w:right="40" w:firstLine="518"/>
        <w:spacing w:after="0" w:line="241" w:lineRule="auto"/>
        <w:rPr>
          <w:sz w:val="20"/>
          <w:szCs w:val="20"/>
          <w:color w:val="auto"/>
        </w:rPr>
      </w:pPr>
      <w:r>
        <w:rPr>
          <w:rFonts w:ascii="Calibri" w:cs="Calibri" w:eastAsia="Calibri" w:hAnsi="Calibri"/>
          <w:sz w:val="20"/>
          <w:szCs w:val="20"/>
          <w:color w:val="auto"/>
        </w:rPr>
        <w:t>SECTION 2.9. ERISA. Each of Borrower and each of its subsidiaries: is in compliance in all material respects with all applicable provisions of the Employee Retrement Income Security Act of 1974, as amended or recodified from tme to tme ("ERISA"); has not violated any provision of any defined employee pension benefit plan (as defined in ERISA) maintained or contributed to by it (each, a "Plan"); no Reportable Event as defined in ERISA has occurred and is contnuing with respect to any Plan initated by it; has met its minimum funding requirements under ERISA with respect to each Plan; and each Plan will be able to fulfill its benefit obligatons as they come due in accordance with the Plan documents and under generally accepted accountng principles, in each case, except to the extent such non-compliance, violaton, occurrence or non-fulfillment has not resulted in, and could not reasonably be expected to result in, a Material Adverse Eﬀect.</w:t>
      </w:r>
    </w:p>
    <w:p>
      <w:pPr>
        <w:spacing w:after="0" w:line="158" w:lineRule="exact"/>
        <w:rPr>
          <w:sz w:val="20"/>
          <w:szCs w:val="20"/>
          <w:color w:val="auto"/>
        </w:rPr>
      </w:pPr>
    </w:p>
    <w:p>
      <w:pPr>
        <w:ind w:right="140" w:firstLine="518"/>
        <w:spacing w:after="0"/>
        <w:rPr>
          <w:sz w:val="20"/>
          <w:szCs w:val="20"/>
          <w:color w:val="auto"/>
        </w:rPr>
      </w:pPr>
      <w:r>
        <w:rPr>
          <w:rFonts w:ascii="Calibri" w:cs="Calibri" w:eastAsia="Calibri" w:hAnsi="Calibri"/>
          <w:sz w:val="20"/>
          <w:szCs w:val="20"/>
          <w:color w:val="auto"/>
        </w:rPr>
        <w:t xml:space="preserve">SECTION 2.10. OTHER OBLIGATIONS. Neither Borrower nor any of its subsidiaries is, to the knowledge of Borrower, in default (afer the passage of all applicable notce and cure periods) of/under any obligaton for borrowed money, any purchase money obligaton, any material real estate lease or any other Material Contract. Any obligatons existng as of the date hereof which are/would be the subject of the foregoing or either of Sectons 5.4 or 5.6 are listed on </w:t>
      </w:r>
      <w:r>
        <w:rPr>
          <w:rFonts w:ascii="Calibri" w:cs="Calibri" w:eastAsia="Calibri" w:hAnsi="Calibri"/>
          <w:sz w:val="20"/>
          <w:szCs w:val="20"/>
          <w:u w:val="single" w:color="auto"/>
          <w:color w:val="auto"/>
        </w:rPr>
        <w:t>Schedule 5.4</w:t>
      </w:r>
      <w:r>
        <w:rPr>
          <w:rFonts w:ascii="Calibri" w:cs="Calibri" w:eastAsia="Calibri" w:hAnsi="Calibri"/>
          <w:sz w:val="20"/>
          <w:szCs w:val="20"/>
          <w:color w:val="auto"/>
        </w:rPr>
        <w:t xml:space="preserve"> or </w:t>
      </w:r>
      <w:r>
        <w:rPr>
          <w:rFonts w:ascii="Calibri" w:cs="Calibri" w:eastAsia="Calibri" w:hAnsi="Calibri"/>
          <w:sz w:val="20"/>
          <w:szCs w:val="20"/>
          <w:u w:val="single" w:color="auto"/>
          <w:color w:val="auto"/>
        </w:rPr>
        <w:t>Schedule 5.6</w:t>
      </w:r>
      <w:r>
        <w:rPr>
          <w:rFonts w:ascii="Calibri" w:cs="Calibri" w:eastAsia="Calibri" w:hAnsi="Calibri"/>
          <w:sz w:val="20"/>
          <w:szCs w:val="20"/>
          <w:color w:val="auto"/>
        </w:rPr>
        <w:t>, as applicable.</w:t>
      </w:r>
    </w:p>
    <w:p>
      <w:pPr>
        <w:spacing w:after="0" w:line="157" w:lineRule="exact"/>
        <w:rPr>
          <w:sz w:val="20"/>
          <w:szCs w:val="20"/>
          <w:color w:val="auto"/>
        </w:rPr>
      </w:pPr>
    </w:p>
    <w:p>
      <w:pPr>
        <w:ind w:firstLine="518"/>
        <w:spacing w:after="0" w:line="242" w:lineRule="auto"/>
        <w:rPr>
          <w:sz w:val="20"/>
          <w:szCs w:val="20"/>
          <w:color w:val="auto"/>
        </w:rPr>
      </w:pPr>
      <w:r>
        <w:rPr>
          <w:rFonts w:ascii="Calibri" w:cs="Calibri" w:eastAsia="Calibri" w:hAnsi="Calibri"/>
          <w:sz w:val="20"/>
          <w:szCs w:val="20"/>
          <w:color w:val="auto"/>
        </w:rPr>
        <w:t xml:space="preserve">SECTION 2.11. ENVIRONMENTAL MATTERS. Except as on </w:t>
      </w:r>
      <w:r>
        <w:rPr>
          <w:rFonts w:ascii="Calibri" w:cs="Calibri" w:eastAsia="Calibri" w:hAnsi="Calibri"/>
          <w:sz w:val="20"/>
          <w:szCs w:val="20"/>
          <w:u w:val="single" w:color="auto"/>
          <w:color w:val="auto"/>
        </w:rPr>
        <w:t>Schedule 2.11</w:t>
      </w:r>
      <w:r>
        <w:rPr>
          <w:rFonts w:ascii="Calibri" w:cs="Calibri" w:eastAsia="Calibri" w:hAnsi="Calibri"/>
          <w:sz w:val="20"/>
          <w:szCs w:val="20"/>
          <w:color w:val="auto"/>
        </w:rPr>
        <w:t>, each of Borrower and each of its subsidiaries is in compliance in all material respects with all applicable federal or state environmental, hazardous waste, health and safety statutes, and any rules or regulatons adopted pursuant thereto, which govern or aﬀect any of Borrower's or any such subsidiary’s operatons and/or propertes, including without limitaton, the Comprehensive Environmental Response, Compensaton and Liability Act of 1980, the Superfund Amendments and Reauthorizaton Act of 1986, the Federal Resource Conservaton and Recovery Act of 1976, and the Federal Toxic Substances Control Act, as any of the same may be amended, modified or supplemented from tme to tme. None of the operatons of Borrower or any of its subsidiaries is the subject of any federal or state investgaton evaluatng whether any remedial acton involving a material expenditure is needed to respond to a release of any toxic or hazardous waste or substance into the environment. Neither Borrower nor any of its subsidiaries has material contngent liability in connecton with any release of any toxic or hazardous waste or substance into the environment.</w:t>
      </w:r>
    </w:p>
    <w:p>
      <w:pPr>
        <w:spacing w:after="0" w:line="148" w:lineRule="exact"/>
        <w:rPr>
          <w:sz w:val="20"/>
          <w:szCs w:val="20"/>
          <w:color w:val="auto"/>
        </w:rPr>
      </w:pPr>
    </w:p>
    <w:p>
      <w:pPr>
        <w:ind w:left="520"/>
        <w:spacing w:after="0"/>
        <w:tabs>
          <w:tab w:leader="none" w:pos="1800" w:val="left"/>
        </w:tabs>
        <w:rPr>
          <w:sz w:val="20"/>
          <w:szCs w:val="20"/>
          <w:color w:val="auto"/>
        </w:rPr>
      </w:pPr>
      <w:r>
        <w:rPr>
          <w:rFonts w:ascii="Calibri" w:cs="Calibri" w:eastAsia="Calibri" w:hAnsi="Calibri"/>
          <w:sz w:val="20"/>
          <w:szCs w:val="20"/>
          <w:color w:val="auto"/>
        </w:rPr>
        <w:t>SECTION 2.12</w:t>
        <w:tab/>
        <w:t>SANCTIONS, ANTI-MONEY LAUNDERING AND ANTI-CORRUPTION LAWS.</w:t>
      </w:r>
    </w:p>
    <w:p>
      <w:pPr>
        <w:spacing w:after="0" w:line="279" w:lineRule="exact"/>
        <w:rPr>
          <w:sz w:val="20"/>
          <w:szCs w:val="20"/>
          <w:color w:val="auto"/>
        </w:rPr>
      </w:pPr>
    </w:p>
    <w:p>
      <w:pPr>
        <w:ind w:right="500" w:firstLine="513"/>
        <w:spacing w:after="0" w:line="234" w:lineRule="auto"/>
        <w:tabs>
          <w:tab w:leader="none" w:pos="784"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Each member of the Borrowing Group has insttuted, maintains and complies with policies, procedures and controls reasonably designed to assure compliance with Ant-Money Laundering Laws and Ant-Corrupton Laws (each as defined below),</w:t>
      </w:r>
    </w:p>
    <w:p>
      <w:pPr>
        <w:spacing w:after="0" w:line="23" w:lineRule="exact"/>
        <w:rPr>
          <w:rFonts w:ascii="Calibri" w:cs="Calibri" w:eastAsia="Calibri" w:hAnsi="Calibri"/>
          <w:sz w:val="20"/>
          <w:szCs w:val="20"/>
          <w:color w:val="auto"/>
        </w:rPr>
      </w:pPr>
    </w:p>
    <w:p>
      <w:pPr>
        <w:ind w:right="2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and Sanctons; and (b) to the best of Borrower’s knowledge, no member of the Borrowing Group is under investgaton for an alleged violaton of any Sanctons, Ant-Money Laundering Laws or Ant-Corrupton Laws by a governmental authority that enforces such laws. As used herein: “Ant-Corrupton Laws” means: (i) the U.S. Foreign Corrupt Practces Act of 1977, as amended; (ii) the</w:t>
      </w:r>
    </w:p>
    <w:p>
      <w:pPr>
        <w:spacing w:after="0" w:line="22" w:lineRule="exact"/>
        <w:rPr>
          <w:rFonts w:ascii="Calibri" w:cs="Calibri" w:eastAsia="Calibri" w:hAnsi="Calibri"/>
          <w:sz w:val="20"/>
          <w:szCs w:val="20"/>
          <w:color w:val="auto"/>
        </w:rPr>
      </w:pPr>
    </w:p>
    <w:p>
      <w:pPr>
        <w:ind w:right="30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U.K. Bribery Act 2010, as amended; and (iii) any other ant- bribery or ant-corrupton laws, regulatons or ordinances in any jurisdicton in which Borrower or any member of the Borrowing Group is located or doing business. “Ant-Money Laundering Laws” means applicable laws or regulatons in any jurisdicton in</w:t>
      </w:r>
    </w:p>
    <w:p>
      <w:pPr>
        <w:sectPr>
          <w:pgSz w:w="11900" w:h="16838" w:orient="portrait"/>
          <w:cols w:equalWidth="0" w:num="1">
            <w:col w:w="11000"/>
          </w:cols>
          <w:pgMar w:left="440" w:top="1425" w:right="459" w:bottom="1440" w:gutter="0" w:footer="0" w:header="0"/>
        </w:sectPr>
      </w:pPr>
    </w:p>
    <w:bookmarkStart w:id="113" w:name="page114"/>
    <w:bookmarkEnd w:id="113"/>
    <w:p>
      <w:pPr>
        <w:spacing w:after="0" w:line="12" w:lineRule="exact"/>
        <w:rPr>
          <w:sz w:val="20"/>
          <w:szCs w:val="20"/>
          <w:color w:val="auto"/>
        </w:rPr>
      </w:pPr>
    </w:p>
    <w:p>
      <w:pPr>
        <w:ind w:right="980"/>
        <w:spacing w:after="0" w:line="234" w:lineRule="auto"/>
        <w:rPr>
          <w:sz w:val="20"/>
          <w:szCs w:val="20"/>
          <w:color w:val="auto"/>
        </w:rPr>
      </w:pPr>
      <w:r>
        <w:rPr>
          <w:rFonts w:ascii="Calibri" w:cs="Calibri" w:eastAsia="Calibri" w:hAnsi="Calibri"/>
          <w:sz w:val="20"/>
          <w:szCs w:val="20"/>
          <w:color w:val="auto"/>
        </w:rPr>
        <w:t>which Borrower or any member of the Borrowing Group is located or doing business that relates to money laundering, any predicate crime to money laundering, or any financial record keeping and reportng requirements related thereto.</w:t>
      </w:r>
    </w:p>
    <w:p>
      <w:pPr>
        <w:spacing w:after="0" w:line="158" w:lineRule="exact"/>
        <w:rPr>
          <w:sz w:val="20"/>
          <w:szCs w:val="20"/>
          <w:color w:val="auto"/>
        </w:rPr>
      </w:pPr>
    </w:p>
    <w:p>
      <w:pPr>
        <w:ind w:right="100" w:firstLine="518"/>
        <w:spacing w:after="0"/>
        <w:rPr>
          <w:sz w:val="20"/>
          <w:szCs w:val="20"/>
          <w:color w:val="auto"/>
        </w:rPr>
      </w:pPr>
      <w:r>
        <w:rPr>
          <w:rFonts w:ascii="Calibri" w:cs="Calibri" w:eastAsia="Calibri" w:hAnsi="Calibri"/>
          <w:sz w:val="20"/>
          <w:szCs w:val="20"/>
          <w:color w:val="auto"/>
        </w:rPr>
        <w:t xml:space="preserve">SECTION 2.13. SUBSIDIARIES. </w:t>
      </w:r>
      <w:r>
        <w:rPr>
          <w:rFonts w:ascii="Calibri" w:cs="Calibri" w:eastAsia="Calibri" w:hAnsi="Calibri"/>
          <w:sz w:val="20"/>
          <w:szCs w:val="20"/>
          <w:u w:val="single" w:color="auto"/>
          <w:color w:val="auto"/>
        </w:rPr>
        <w:t>Schedule 2.13</w:t>
      </w:r>
      <w:r>
        <w:rPr>
          <w:rFonts w:ascii="Calibri" w:cs="Calibri" w:eastAsia="Calibri" w:hAnsi="Calibri"/>
          <w:sz w:val="20"/>
          <w:szCs w:val="20"/>
          <w:color w:val="auto"/>
        </w:rPr>
        <w:t xml:space="preserve"> contains a list of all subsidiaries of Borrower (whether directly-owned or indirectly-owned, and whether or not wholly-owned), along with the percentages of ownership and the jurisdictons of organizaton or formaton.</w:t>
      </w:r>
    </w:p>
    <w:p>
      <w:pPr>
        <w:spacing w:after="0" w:line="389" w:lineRule="exact"/>
        <w:rPr>
          <w:sz w:val="20"/>
          <w:szCs w:val="20"/>
          <w:color w:val="auto"/>
        </w:rPr>
      </w:pPr>
    </w:p>
    <w:p>
      <w:pPr>
        <w:ind w:right="260" w:firstLine="518"/>
        <w:spacing w:after="0"/>
        <w:rPr>
          <w:sz w:val="20"/>
          <w:szCs w:val="20"/>
          <w:color w:val="auto"/>
        </w:rPr>
      </w:pPr>
      <w:r>
        <w:rPr>
          <w:rFonts w:ascii="Calibri" w:cs="Calibri" w:eastAsia="Calibri" w:hAnsi="Calibri"/>
          <w:sz w:val="20"/>
          <w:szCs w:val="20"/>
          <w:color w:val="auto"/>
        </w:rPr>
        <w:t xml:space="preserve">SECTION 2.14. OWNERSHIP OF BORROWER. </w:t>
      </w:r>
      <w:r>
        <w:rPr>
          <w:rFonts w:ascii="Calibri" w:cs="Calibri" w:eastAsia="Calibri" w:hAnsi="Calibri"/>
          <w:sz w:val="20"/>
          <w:szCs w:val="20"/>
          <w:u w:val="single" w:color="auto"/>
          <w:color w:val="auto"/>
        </w:rPr>
        <w:t>Schedule 2.14</w:t>
      </w:r>
      <w:r>
        <w:rPr>
          <w:rFonts w:ascii="Calibri" w:cs="Calibri" w:eastAsia="Calibri" w:hAnsi="Calibri"/>
          <w:sz w:val="20"/>
          <w:szCs w:val="20"/>
          <w:color w:val="auto"/>
        </w:rPr>
        <w:t xml:space="preserve"> contains a list of all owners of Borrower (including owners of warrants or optons relatng thereto), along with the percentage owned by each such owner, as of the date hereof, in each case, who/which own more than five percent (5%) of its issued and outstanding stock on fully diluted basis or who/which have control of Borrower.</w:t>
      </w:r>
    </w:p>
    <w:p>
      <w:pPr>
        <w:spacing w:after="0" w:line="265" w:lineRule="exact"/>
        <w:rPr>
          <w:sz w:val="20"/>
          <w:szCs w:val="20"/>
          <w:color w:val="auto"/>
        </w:rPr>
      </w:pPr>
    </w:p>
    <w:p>
      <w:pPr>
        <w:ind w:right="800" w:firstLine="648"/>
        <w:spacing w:after="0" w:line="236" w:lineRule="auto"/>
        <w:rPr>
          <w:sz w:val="20"/>
          <w:szCs w:val="20"/>
          <w:color w:val="auto"/>
        </w:rPr>
      </w:pPr>
      <w:r>
        <w:rPr>
          <w:rFonts w:ascii="Calibri" w:cs="Calibri" w:eastAsia="Calibri" w:hAnsi="Calibri"/>
          <w:sz w:val="20"/>
          <w:szCs w:val="20"/>
          <w:color w:val="auto"/>
        </w:rPr>
        <w:t>Except as expressly set forth in this Artcle II or in any of the Loan Documents, Borrower makes no representatons or warrantes related to Borrower, other members of Borrowing Group or their respectve businesses or products (“additonal representatons and warrantes”); and all such additonal representatons and warrantes are hereby disclaimed.</w:t>
      </w: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ARTICLE III</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CONDITIONS</w:t>
      </w:r>
    </w:p>
    <w:p>
      <w:pPr>
        <w:spacing w:after="0" w:line="242" w:lineRule="exact"/>
        <w:rPr>
          <w:sz w:val="20"/>
          <w:szCs w:val="20"/>
          <w:color w:val="auto"/>
        </w:rPr>
      </w:pPr>
    </w:p>
    <w:p>
      <w:pPr>
        <w:ind w:left="520"/>
        <w:spacing w:after="0"/>
        <w:tabs>
          <w:tab w:leader="none" w:pos="1740" w:val="left"/>
        </w:tabs>
        <w:rPr>
          <w:sz w:val="20"/>
          <w:szCs w:val="20"/>
          <w:color w:val="auto"/>
        </w:rPr>
      </w:pPr>
      <w:r>
        <w:rPr>
          <w:rFonts w:ascii="Calibri" w:cs="Calibri" w:eastAsia="Calibri" w:hAnsi="Calibri"/>
          <w:sz w:val="20"/>
          <w:szCs w:val="20"/>
          <w:color w:val="auto"/>
        </w:rPr>
        <w:t>SECTION 3.1.</w:t>
        <w:tab/>
        <w:t>CONDITIONS TO THE EFFECTIVENESS OF THIS AGREEMENT. The eﬀectve date</w:t>
      </w:r>
    </w:p>
    <w:p>
      <w:pPr>
        <w:spacing w:after="0" w:line="22" w:lineRule="exact"/>
        <w:rPr>
          <w:sz w:val="20"/>
          <w:szCs w:val="20"/>
          <w:color w:val="auto"/>
        </w:rPr>
      </w:pPr>
    </w:p>
    <w:p>
      <w:pPr>
        <w:spacing w:after="0" w:line="239" w:lineRule="auto"/>
        <w:rPr>
          <w:sz w:val="20"/>
          <w:szCs w:val="20"/>
          <w:color w:val="auto"/>
        </w:rPr>
      </w:pPr>
      <w:r>
        <w:rPr>
          <w:rFonts w:ascii="Calibri" w:cs="Calibri" w:eastAsia="Calibri" w:hAnsi="Calibri"/>
          <w:sz w:val="20"/>
          <w:szCs w:val="20"/>
          <w:color w:val="auto"/>
        </w:rPr>
        <w:t>of this Agreement shall be (a) the date that each of the following conditons set forth in this Secton 3.1 have been satsfied or waived, as determined by Bank, or (b) such alternatve date to which Bank and Borrower may mutually agree, in each case as evidenced by Bank’s system of record. Notwithstanding the occurrence of the eﬀectve date of this Agreement, Bank shall not be obligated to extend credit under this Agreement or any other Loan Document untl all conditons to each extension of credit set forth in Secton 3.2 have been fulfilled to Bank's satsfacton.</w:t>
      </w:r>
    </w:p>
    <w:p>
      <w:pPr>
        <w:spacing w:after="0" w:line="161" w:lineRule="exact"/>
        <w:rPr>
          <w:sz w:val="20"/>
          <w:szCs w:val="20"/>
          <w:color w:val="auto"/>
        </w:rPr>
      </w:pPr>
    </w:p>
    <w:p>
      <w:pPr>
        <w:ind w:left="-120" w:right="1880" w:firstLine="656"/>
        <w:spacing w:after="0" w:line="234" w:lineRule="auto"/>
        <w:tabs>
          <w:tab w:leader="none" w:pos="931" w:val="left"/>
        </w:tabs>
        <w:numPr>
          <w:ilvl w:val="0"/>
          <w:numId w:val="49"/>
        </w:numPr>
        <w:rPr>
          <w:rFonts w:ascii="Calibri" w:cs="Calibri" w:eastAsia="Calibri" w:hAnsi="Calibri"/>
          <w:sz w:val="20"/>
          <w:szCs w:val="20"/>
          <w:color w:val="auto"/>
        </w:rPr>
      </w:pPr>
      <w:r>
        <w:rPr>
          <w:rFonts w:ascii="Calibri" w:cs="Calibri" w:eastAsia="Calibri" w:hAnsi="Calibri"/>
          <w:sz w:val="20"/>
          <w:szCs w:val="20"/>
          <w:u w:val="single" w:color="auto"/>
          <w:color w:val="auto"/>
        </w:rPr>
        <w:t>Approval of Bank Counsel</w:t>
      </w:r>
      <w:r>
        <w:rPr>
          <w:rFonts w:ascii="Calibri" w:cs="Calibri" w:eastAsia="Calibri" w:hAnsi="Calibri"/>
          <w:sz w:val="20"/>
          <w:szCs w:val="20"/>
          <w:color w:val="auto"/>
        </w:rPr>
        <w:t>. All legal maters incidental to the eﬀectveness of this Agreement shall be satsfactory to Bank's counsel.</w:t>
      </w:r>
    </w:p>
    <w:p>
      <w:pPr>
        <w:spacing w:after="0" w:line="266" w:lineRule="exact"/>
        <w:rPr>
          <w:rFonts w:ascii="Calibri" w:cs="Calibri" w:eastAsia="Calibri" w:hAnsi="Calibri"/>
          <w:sz w:val="20"/>
          <w:szCs w:val="20"/>
          <w:color w:val="auto"/>
        </w:rPr>
      </w:pPr>
    </w:p>
    <w:p>
      <w:pPr>
        <w:ind w:left="-120" w:right="60" w:firstLine="656"/>
        <w:spacing w:after="0" w:line="228" w:lineRule="auto"/>
        <w:tabs>
          <w:tab w:leader="none" w:pos="940" w:val="left"/>
        </w:tabs>
        <w:numPr>
          <w:ilvl w:val="0"/>
          <w:numId w:val="49"/>
        </w:numPr>
        <w:rPr>
          <w:rFonts w:ascii="Calibri" w:cs="Calibri" w:eastAsia="Calibri" w:hAnsi="Calibri"/>
          <w:sz w:val="20"/>
          <w:szCs w:val="20"/>
          <w:color w:val="auto"/>
        </w:rPr>
      </w:pPr>
      <w:r>
        <w:rPr>
          <w:rFonts w:ascii="Calibri" w:cs="Calibri" w:eastAsia="Calibri" w:hAnsi="Calibri"/>
          <w:sz w:val="20"/>
          <w:szCs w:val="20"/>
          <w:u w:val="single" w:color="auto"/>
          <w:color w:val="auto"/>
        </w:rPr>
        <w:t>Documentaton</w:t>
      </w:r>
      <w:r>
        <w:rPr>
          <w:rFonts w:ascii="Calibri" w:cs="Calibri" w:eastAsia="Calibri" w:hAnsi="Calibri"/>
          <w:sz w:val="20"/>
          <w:szCs w:val="20"/>
          <w:color w:val="auto"/>
        </w:rPr>
        <w:t>. Bank shall have received, in form and substance satsfactory to Bank, each of the following, duly executed by all partes:</w:t>
      </w:r>
    </w:p>
    <w:p>
      <w:pPr>
        <w:spacing w:after="0" w:line="147" w:lineRule="exact"/>
        <w:rPr>
          <w:rFonts w:ascii="Calibri" w:cs="Calibri" w:eastAsia="Calibri" w:hAnsi="Calibri"/>
          <w:sz w:val="20"/>
          <w:szCs w:val="20"/>
          <w:color w:val="auto"/>
        </w:rPr>
      </w:pPr>
    </w:p>
    <w:p>
      <w:pPr>
        <w:ind w:left="1520" w:hanging="643"/>
        <w:spacing w:after="0"/>
        <w:tabs>
          <w:tab w:leader="none" w:pos="1520" w:val="left"/>
        </w:tabs>
        <w:numPr>
          <w:ilvl w:val="1"/>
          <w:numId w:val="49"/>
        </w:numPr>
        <w:rPr>
          <w:rFonts w:ascii="Calibri" w:cs="Calibri" w:eastAsia="Calibri" w:hAnsi="Calibri"/>
          <w:sz w:val="20"/>
          <w:szCs w:val="20"/>
          <w:color w:val="auto"/>
        </w:rPr>
      </w:pPr>
      <w:r>
        <w:rPr>
          <w:rFonts w:ascii="Calibri" w:cs="Calibri" w:eastAsia="Calibri" w:hAnsi="Calibri"/>
          <w:sz w:val="20"/>
          <w:szCs w:val="20"/>
          <w:color w:val="auto"/>
        </w:rPr>
        <w:t>This Agreement and each promissory note or other instrument or document required hereby.</w:t>
      </w:r>
    </w:p>
    <w:p>
      <w:pPr>
        <w:spacing w:after="0" w:line="241" w:lineRule="exact"/>
        <w:rPr>
          <w:rFonts w:ascii="Calibri" w:cs="Calibri" w:eastAsia="Calibri" w:hAnsi="Calibri"/>
          <w:sz w:val="20"/>
          <w:szCs w:val="20"/>
          <w:color w:val="auto"/>
        </w:rPr>
      </w:pPr>
    </w:p>
    <w:p>
      <w:pPr>
        <w:ind w:left="1540" w:hanging="663"/>
        <w:spacing w:after="0"/>
        <w:tabs>
          <w:tab w:leader="none" w:pos="1540" w:val="left"/>
        </w:tabs>
        <w:numPr>
          <w:ilvl w:val="1"/>
          <w:numId w:val="49"/>
        </w:numPr>
        <w:rPr>
          <w:rFonts w:ascii="Calibri" w:cs="Calibri" w:eastAsia="Calibri" w:hAnsi="Calibri"/>
          <w:sz w:val="20"/>
          <w:szCs w:val="20"/>
          <w:color w:val="auto"/>
        </w:rPr>
      </w:pPr>
      <w:r>
        <w:rPr>
          <w:rFonts w:ascii="Calibri" w:cs="Calibri" w:eastAsia="Calibri" w:hAnsi="Calibri"/>
          <w:sz w:val="20"/>
          <w:szCs w:val="20"/>
          <w:color w:val="auto"/>
        </w:rPr>
        <w:t>The guarantees of each of Coco Cafe Inc. and AMI Runa U.S. LLC.</w:t>
      </w:r>
    </w:p>
    <w:p>
      <w:pPr>
        <w:spacing w:after="0" w:line="228" w:lineRule="exact"/>
        <w:rPr>
          <w:rFonts w:ascii="Calibri" w:cs="Calibri" w:eastAsia="Calibri" w:hAnsi="Calibri"/>
          <w:sz w:val="20"/>
          <w:szCs w:val="20"/>
          <w:color w:val="auto"/>
        </w:rPr>
      </w:pPr>
    </w:p>
    <w:p>
      <w:pPr>
        <w:ind w:left="1540" w:hanging="663"/>
        <w:spacing w:after="0"/>
        <w:tabs>
          <w:tab w:leader="none" w:pos="1540" w:val="left"/>
        </w:tabs>
        <w:numPr>
          <w:ilvl w:val="1"/>
          <w:numId w:val="49"/>
        </w:numPr>
        <w:rPr>
          <w:rFonts w:ascii="Calibri" w:cs="Calibri" w:eastAsia="Calibri" w:hAnsi="Calibri"/>
          <w:sz w:val="20"/>
          <w:szCs w:val="20"/>
          <w:color w:val="auto"/>
        </w:rPr>
      </w:pPr>
      <w:r>
        <w:rPr>
          <w:rFonts w:ascii="Calibri" w:cs="Calibri" w:eastAsia="Calibri" w:hAnsi="Calibri"/>
          <w:sz w:val="20"/>
          <w:szCs w:val="20"/>
          <w:color w:val="auto"/>
        </w:rPr>
        <w:t>The security and pledge agreements of Borrower and each Guarantor.</w:t>
      </w:r>
    </w:p>
    <w:p>
      <w:pPr>
        <w:spacing w:after="0" w:line="251" w:lineRule="exact"/>
        <w:rPr>
          <w:rFonts w:ascii="Calibri" w:cs="Calibri" w:eastAsia="Calibri" w:hAnsi="Calibri"/>
          <w:sz w:val="20"/>
          <w:szCs w:val="20"/>
          <w:color w:val="auto"/>
        </w:rPr>
      </w:pPr>
    </w:p>
    <w:p>
      <w:pPr>
        <w:ind w:left="1540" w:right="400" w:hanging="663"/>
        <w:spacing w:after="0" w:line="233" w:lineRule="auto"/>
        <w:tabs>
          <w:tab w:leader="none" w:pos="1527" w:val="left"/>
        </w:tabs>
        <w:numPr>
          <w:ilvl w:val="1"/>
          <w:numId w:val="49"/>
        </w:numPr>
        <w:rPr>
          <w:rFonts w:ascii="Calibri" w:cs="Calibri" w:eastAsia="Calibri" w:hAnsi="Calibri"/>
          <w:sz w:val="20"/>
          <w:szCs w:val="20"/>
          <w:color w:val="auto"/>
        </w:rPr>
      </w:pPr>
      <w:r>
        <w:rPr>
          <w:rFonts w:ascii="Calibri" w:cs="Calibri" w:eastAsia="Calibri" w:hAnsi="Calibri"/>
          <w:sz w:val="20"/>
          <w:szCs w:val="20"/>
          <w:color w:val="auto"/>
        </w:rPr>
        <w:t xml:space="preserve">Secretaries’/oﬃcers’ certficates of Borrower and each Guarantor (in the form atached hereto as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 certfying as to each such entty’s organizatonal documents (e.g., certficates of incorporaton, by-laws, shareholders agreements, limited liability company agreements, etc.), authorizing resolutons or approvals, the incumbency of the relevant personnel/signatories, good standing certficates</w:t>
      </w:r>
    </w:p>
    <w:p>
      <w:pPr>
        <w:sectPr>
          <w:pgSz w:w="11900" w:h="16838" w:orient="portrait"/>
          <w:cols w:equalWidth="0" w:num="1">
            <w:col w:w="11020"/>
          </w:cols>
          <w:pgMar w:left="440" w:top="1440" w:right="439" w:bottom="1440" w:gutter="0" w:footer="0" w:header="0"/>
        </w:sectPr>
      </w:pPr>
    </w:p>
    <w:bookmarkStart w:id="114" w:name="page115"/>
    <w:bookmarkEnd w:id="114"/>
    <w:p>
      <w:pPr>
        <w:ind w:left="1660" w:right="900"/>
        <w:spacing w:after="0" w:line="234" w:lineRule="auto"/>
        <w:rPr>
          <w:sz w:val="20"/>
          <w:szCs w:val="20"/>
          <w:color w:val="auto"/>
        </w:rPr>
      </w:pPr>
      <w:r>
        <w:rPr>
          <w:rFonts w:ascii="Calibri" w:cs="Calibri" w:eastAsia="Calibri" w:hAnsi="Calibri"/>
          <w:sz w:val="20"/>
          <w:szCs w:val="20"/>
          <w:color w:val="auto"/>
        </w:rPr>
        <w:t>and such other maters as Bank may require, along with certficates of government oﬃcials relatng to the foregoing, as applicable.</w:t>
      </w:r>
    </w:p>
    <w:p>
      <w:pPr>
        <w:spacing w:after="0" w:line="239" w:lineRule="exact"/>
        <w:rPr>
          <w:sz w:val="20"/>
          <w:szCs w:val="20"/>
          <w:color w:val="auto"/>
        </w:rPr>
      </w:pPr>
    </w:p>
    <w:p>
      <w:pPr>
        <w:ind w:left="1660" w:right="340" w:hanging="663"/>
        <w:spacing w:after="0" w:line="234" w:lineRule="auto"/>
        <w:tabs>
          <w:tab w:leader="none" w:pos="164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UCC and related searches regarding Borrower and Guarantors reflectng no liens on any of their respectve assets other than Permited Liens.</w:t>
      </w:r>
    </w:p>
    <w:p>
      <w:pPr>
        <w:spacing w:after="0" w:line="229" w:lineRule="exact"/>
        <w:rPr>
          <w:rFonts w:ascii="Calibri" w:cs="Calibri" w:eastAsia="Calibri" w:hAnsi="Calibri"/>
          <w:sz w:val="20"/>
          <w:szCs w:val="20"/>
          <w:color w:val="auto"/>
        </w:rPr>
      </w:pPr>
    </w:p>
    <w:p>
      <w:pPr>
        <w:ind w:left="1660" w:hanging="663"/>
        <w:spacing w:after="0"/>
        <w:tabs>
          <w:tab w:leader="none" w:pos="166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Certficates of Insurance (e.g., evidencing compliance with the applicable provisions hereof).</w:t>
      </w:r>
    </w:p>
    <w:p>
      <w:pPr>
        <w:spacing w:after="0" w:line="241" w:lineRule="exact"/>
        <w:rPr>
          <w:rFonts w:ascii="Calibri" w:cs="Calibri" w:eastAsia="Calibri" w:hAnsi="Calibri"/>
          <w:sz w:val="20"/>
          <w:szCs w:val="20"/>
          <w:color w:val="auto"/>
        </w:rPr>
      </w:pPr>
    </w:p>
    <w:p>
      <w:pPr>
        <w:ind w:left="1660" w:hanging="663"/>
        <w:spacing w:after="0"/>
        <w:tabs>
          <w:tab w:leader="none" w:pos="166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Such other documents as Bank may require under any other Secton of this Agreement.</w:t>
      </w:r>
    </w:p>
    <w:p>
      <w:pPr>
        <w:spacing w:after="0" w:line="251" w:lineRule="exact"/>
        <w:rPr>
          <w:rFonts w:ascii="Calibri" w:cs="Calibri" w:eastAsia="Calibri" w:hAnsi="Calibri"/>
          <w:sz w:val="20"/>
          <w:szCs w:val="20"/>
          <w:color w:val="auto"/>
        </w:rPr>
      </w:pPr>
    </w:p>
    <w:p>
      <w:pPr>
        <w:ind w:left="1660" w:right="240" w:hanging="663"/>
        <w:spacing w:after="0" w:line="230" w:lineRule="auto"/>
        <w:tabs>
          <w:tab w:leader="none" w:pos="1661"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Notwithstanding anything contained in Secton 6(c)(i) of any of the security agreements delivered contemporaneously herewith, the “Debtors” thereunder shall (and Borrower shall cause such Debtors to), and such Debtors shall be permited to, deliver to Bank the certficates which are the subject of such Secton within 90 days of the date hereof.</w:t>
      </w:r>
    </w:p>
    <w:p>
      <w:pPr>
        <w:spacing w:after="0" w:line="134" w:lineRule="exact"/>
        <w:rPr>
          <w:rFonts w:ascii="Calibri" w:cs="Calibri" w:eastAsia="Calibri" w:hAnsi="Calibri"/>
          <w:sz w:val="20"/>
          <w:szCs w:val="20"/>
          <w:color w:val="auto"/>
        </w:rPr>
      </w:pPr>
    </w:p>
    <w:p>
      <w:pPr>
        <w:ind w:left="1040" w:hanging="384"/>
        <w:spacing w:after="0"/>
        <w:tabs>
          <w:tab w:leader="none" w:pos="1040" w:val="left"/>
        </w:tabs>
        <w:numPr>
          <w:ilvl w:val="0"/>
          <w:numId w:val="51"/>
        </w:numPr>
        <w:rPr>
          <w:rFonts w:ascii="Calibri" w:cs="Calibri" w:eastAsia="Calibri" w:hAnsi="Calibri"/>
          <w:sz w:val="20"/>
          <w:szCs w:val="20"/>
          <w:color w:val="auto"/>
        </w:rPr>
      </w:pPr>
      <w:r>
        <w:rPr>
          <w:rFonts w:ascii="Calibri" w:cs="Calibri" w:eastAsia="Calibri" w:hAnsi="Calibri"/>
          <w:sz w:val="20"/>
          <w:szCs w:val="20"/>
          <w:u w:val="single" w:color="auto"/>
          <w:color w:val="auto"/>
        </w:rPr>
        <w:t>Satsfacton of Regulatory and Compliance Requirements</w:t>
      </w:r>
      <w:r>
        <w:rPr>
          <w:rFonts w:ascii="Calibri" w:cs="Calibri" w:eastAsia="Calibri" w:hAnsi="Calibri"/>
          <w:sz w:val="20"/>
          <w:szCs w:val="20"/>
          <w:color w:val="auto"/>
        </w:rPr>
        <w:t>. In additon to any requirements set forth above, and</w:t>
      </w:r>
    </w:p>
    <w:p>
      <w:pPr>
        <w:spacing w:after="0" w:line="22" w:lineRule="exact"/>
        <w:rPr>
          <w:rFonts w:ascii="Calibri" w:cs="Calibri" w:eastAsia="Calibri" w:hAnsi="Calibri"/>
          <w:sz w:val="20"/>
          <w:szCs w:val="20"/>
          <w:color w:val="auto"/>
        </w:rPr>
      </w:pPr>
    </w:p>
    <w:p>
      <w:pPr>
        <w:ind w:right="70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notwithstanding Borrower’s executon or delivery of this Agreement or any other Loan Document, all regulatory and compliance requirements, standards and processes shall be completed to the satsfacton of Bank.</w:t>
      </w:r>
    </w:p>
    <w:p>
      <w:pPr>
        <w:spacing w:after="0" w:line="158" w:lineRule="exact"/>
        <w:rPr>
          <w:sz w:val="20"/>
          <w:szCs w:val="20"/>
          <w:color w:val="auto"/>
        </w:rPr>
      </w:pPr>
    </w:p>
    <w:p>
      <w:pPr>
        <w:ind w:left="120" w:right="840" w:firstLine="518"/>
        <w:spacing w:after="0" w:line="234" w:lineRule="auto"/>
        <w:rPr>
          <w:sz w:val="20"/>
          <w:szCs w:val="20"/>
          <w:color w:val="auto"/>
        </w:rPr>
      </w:pPr>
      <w:r>
        <w:rPr>
          <w:rFonts w:ascii="Calibri" w:cs="Calibri" w:eastAsia="Calibri" w:hAnsi="Calibri"/>
          <w:sz w:val="20"/>
          <w:szCs w:val="20"/>
          <w:color w:val="auto"/>
        </w:rPr>
        <w:t>SECTION 3.2. CONDITIONS OF EACH EXTENSION OF CREDIT. The obligaton of Bank to make each extension of credit requested by Borrower hereunder shall be subject to the fulfillment to Bank's satsfacton of each of the following conditons:</w:t>
      </w:r>
    </w:p>
    <w:p>
      <w:pPr>
        <w:spacing w:after="0" w:line="149" w:lineRule="exact"/>
        <w:rPr>
          <w:sz w:val="20"/>
          <w:szCs w:val="20"/>
          <w:color w:val="auto"/>
        </w:rPr>
      </w:pPr>
    </w:p>
    <w:p>
      <w:pPr>
        <w:ind w:left="920" w:hanging="264"/>
        <w:spacing w:after="0"/>
        <w:tabs>
          <w:tab w:leader="none" w:pos="920" w:val="left"/>
        </w:tabs>
        <w:numPr>
          <w:ilvl w:val="0"/>
          <w:numId w:val="52"/>
        </w:numPr>
        <w:rPr>
          <w:rFonts w:ascii="Calibri" w:cs="Calibri" w:eastAsia="Calibri" w:hAnsi="Calibri"/>
          <w:sz w:val="20"/>
          <w:szCs w:val="20"/>
          <w:color w:val="auto"/>
        </w:rPr>
      </w:pPr>
      <w:r>
        <w:rPr>
          <w:rFonts w:ascii="Calibri" w:cs="Calibri" w:eastAsia="Calibri" w:hAnsi="Calibri"/>
          <w:sz w:val="20"/>
          <w:szCs w:val="20"/>
          <w:u w:val="single" w:color="auto"/>
          <w:color w:val="auto"/>
        </w:rPr>
        <w:t>Compliance</w:t>
      </w:r>
      <w:r>
        <w:rPr>
          <w:rFonts w:ascii="Calibri" w:cs="Calibri" w:eastAsia="Calibri" w:hAnsi="Calibri"/>
          <w:sz w:val="20"/>
          <w:szCs w:val="20"/>
          <w:color w:val="auto"/>
        </w:rPr>
        <w:t>. The representatons and warrantes contained herein and in each of the other Loan Documents shall be true</w:t>
      </w:r>
    </w:p>
    <w:p>
      <w:pPr>
        <w:spacing w:after="0" w:line="22" w:lineRule="exact"/>
        <w:rPr>
          <w:rFonts w:ascii="Calibri" w:cs="Calibri" w:eastAsia="Calibri" w:hAnsi="Calibri"/>
          <w:sz w:val="20"/>
          <w:szCs w:val="20"/>
          <w:color w:val="auto"/>
        </w:rPr>
      </w:pPr>
    </w:p>
    <w:p>
      <w:pPr>
        <w:ind w:right="4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on and as of the date of the signing of this Agreement and on the date of each extension of credit by Bank pursuant hereto with the same eﬀect as though such representatons and warrantes had been made on and as of each such date (except with respect to statements that speak to an earlier date, in which case they shall be true as of the earlier date), and on each such date, no Event of</w:t>
      </w:r>
    </w:p>
    <w:p>
      <w:pPr>
        <w:spacing w:after="0" w:line="22" w:lineRule="exact"/>
        <w:rPr>
          <w:rFonts w:ascii="Calibri" w:cs="Calibri" w:eastAsia="Calibri" w:hAnsi="Calibri"/>
          <w:sz w:val="20"/>
          <w:szCs w:val="20"/>
          <w:color w:val="auto"/>
        </w:rPr>
      </w:pPr>
    </w:p>
    <w:p>
      <w:pPr>
        <w:ind w:right="80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Default as defined herein, and no conditon, event or act which with the giving of notce or the passage of tme or both would consttute such an Event of Default, shall have occurred and be contnuing or would or result from any such extension of credit.</w:t>
      </w:r>
    </w:p>
    <w:p>
      <w:pPr>
        <w:spacing w:after="0" w:line="252" w:lineRule="exact"/>
        <w:rPr>
          <w:rFonts w:ascii="Calibri" w:cs="Calibri" w:eastAsia="Calibri" w:hAnsi="Calibri"/>
          <w:sz w:val="20"/>
          <w:szCs w:val="20"/>
          <w:color w:val="auto"/>
        </w:rPr>
      </w:pPr>
    </w:p>
    <w:p>
      <w:pPr>
        <w:ind w:right="960" w:firstLine="656"/>
        <w:spacing w:after="0" w:line="234" w:lineRule="auto"/>
        <w:tabs>
          <w:tab w:leader="none" w:pos="923" w:val="left"/>
        </w:tabs>
        <w:numPr>
          <w:ilvl w:val="0"/>
          <w:numId w:val="52"/>
        </w:numPr>
        <w:rPr>
          <w:rFonts w:ascii="Calibri" w:cs="Calibri" w:eastAsia="Calibri" w:hAnsi="Calibri"/>
          <w:sz w:val="20"/>
          <w:szCs w:val="20"/>
          <w:color w:val="auto"/>
        </w:rPr>
      </w:pPr>
      <w:r>
        <w:rPr>
          <w:rFonts w:ascii="Calibri" w:cs="Calibri" w:eastAsia="Calibri" w:hAnsi="Calibri"/>
          <w:sz w:val="20"/>
          <w:szCs w:val="20"/>
          <w:u w:val="single" w:color="auto"/>
          <w:color w:val="auto"/>
        </w:rPr>
        <w:t>Documentaton</w:t>
      </w:r>
      <w:r>
        <w:rPr>
          <w:rFonts w:ascii="Calibri" w:cs="Calibri" w:eastAsia="Calibri" w:hAnsi="Calibri"/>
          <w:sz w:val="20"/>
          <w:szCs w:val="20"/>
          <w:color w:val="auto"/>
        </w:rPr>
        <w:t>. Bank shall have received all additonal documents under this Agreement or any of the other Loan Documents which may be required in connecton with such extension of credit.</w:t>
      </w:r>
    </w:p>
    <w:p>
      <w:pPr>
        <w:spacing w:after="0" w:line="252" w:lineRule="exact"/>
        <w:rPr>
          <w:rFonts w:ascii="Calibri" w:cs="Calibri" w:eastAsia="Calibri" w:hAnsi="Calibri"/>
          <w:sz w:val="20"/>
          <w:szCs w:val="20"/>
          <w:color w:val="auto"/>
        </w:rPr>
      </w:pPr>
    </w:p>
    <w:p>
      <w:pPr>
        <w:ind w:right="200" w:firstLine="656"/>
        <w:spacing w:after="0" w:line="230" w:lineRule="auto"/>
        <w:tabs>
          <w:tab w:leader="none" w:pos="902" w:val="left"/>
        </w:tabs>
        <w:numPr>
          <w:ilvl w:val="0"/>
          <w:numId w:val="52"/>
        </w:numPr>
        <w:rPr>
          <w:rFonts w:ascii="Calibri" w:cs="Calibri" w:eastAsia="Calibri" w:hAnsi="Calibri"/>
          <w:sz w:val="20"/>
          <w:szCs w:val="20"/>
          <w:color w:val="auto"/>
        </w:rPr>
      </w:pPr>
      <w:r>
        <w:rPr>
          <w:rFonts w:ascii="Calibri" w:cs="Calibri" w:eastAsia="Calibri" w:hAnsi="Calibri"/>
          <w:sz w:val="20"/>
          <w:szCs w:val="20"/>
          <w:u w:val="single" w:color="auto"/>
          <w:color w:val="auto"/>
        </w:rPr>
        <w:t>Payment of Fees</w:t>
      </w:r>
      <w:r>
        <w:rPr>
          <w:rFonts w:ascii="Calibri" w:cs="Calibri" w:eastAsia="Calibri" w:hAnsi="Calibri"/>
          <w:sz w:val="20"/>
          <w:szCs w:val="20"/>
          <w:color w:val="auto"/>
        </w:rPr>
        <w:t>. Bank shall have received payment in full of any fees and expenses required by any of the Loan Documents to be paid at the tme such credit extension is made. For the purposes of clarity, other than reimbursement of legal fees and legal and other expenses as provided for in Secton 7.3 below, no other fees or expenses shall be owed by Borrower to Bank in connecton with the negotaton or executon of this Agreement or the inital extension of credit hereunder.</w:t>
      </w:r>
    </w:p>
    <w:p>
      <w:pPr>
        <w:spacing w:after="0" w:line="252" w:lineRule="exact"/>
        <w:rPr>
          <w:rFonts w:ascii="Calibri" w:cs="Calibri" w:eastAsia="Calibri" w:hAnsi="Calibri"/>
          <w:sz w:val="20"/>
          <w:szCs w:val="20"/>
          <w:color w:val="auto"/>
        </w:rPr>
      </w:pPr>
    </w:p>
    <w:p>
      <w:pPr>
        <w:ind w:firstLine="656"/>
        <w:spacing w:after="0" w:line="228" w:lineRule="auto"/>
        <w:tabs>
          <w:tab w:leader="none" w:pos="923" w:val="left"/>
        </w:tabs>
        <w:numPr>
          <w:ilvl w:val="0"/>
          <w:numId w:val="52"/>
        </w:numPr>
        <w:rPr>
          <w:rFonts w:ascii="Calibri" w:cs="Calibri" w:eastAsia="Calibri" w:hAnsi="Calibri"/>
          <w:sz w:val="20"/>
          <w:szCs w:val="20"/>
          <w:color w:val="auto"/>
        </w:rPr>
      </w:pPr>
      <w:r>
        <w:rPr>
          <w:rFonts w:ascii="Calibri" w:cs="Calibri" w:eastAsia="Calibri" w:hAnsi="Calibri"/>
          <w:sz w:val="20"/>
          <w:szCs w:val="20"/>
          <w:u w:val="single" w:color="auto"/>
          <w:color w:val="auto"/>
        </w:rPr>
        <w:t>Financial Conditon</w:t>
      </w:r>
      <w:r>
        <w:rPr>
          <w:rFonts w:ascii="Calibri" w:cs="Calibri" w:eastAsia="Calibri" w:hAnsi="Calibri"/>
          <w:sz w:val="20"/>
          <w:szCs w:val="20"/>
          <w:color w:val="auto"/>
        </w:rPr>
        <w:t>. There shall have been no events or circumstances that have had or could reasonably be expected to have a Material Adverse Eﬀect, as determined by Bank.</w:t>
      </w:r>
    </w:p>
    <w:p>
      <w:pPr>
        <w:sectPr>
          <w:pgSz w:w="11900" w:h="16838" w:orient="portrait"/>
          <w:cols w:equalWidth="0" w:num="1">
            <w:col w:w="11220"/>
          </w:cols>
          <w:pgMar w:left="320" w:top="1411" w:right="359" w:bottom="1440" w:gutter="0" w:footer="0" w:header="0"/>
        </w:sectPr>
      </w:pPr>
    </w:p>
    <w:bookmarkStart w:id="115" w:name="page116"/>
    <w:bookmarkEnd w:id="115"/>
    <w:p>
      <w:pPr>
        <w:jc w:val="center"/>
        <w:ind w:right="-79"/>
        <w:spacing w:after="0"/>
        <w:rPr>
          <w:sz w:val="20"/>
          <w:szCs w:val="20"/>
          <w:color w:val="auto"/>
        </w:rPr>
      </w:pPr>
      <w:r>
        <w:rPr>
          <w:rFonts w:ascii="Calibri" w:cs="Calibri" w:eastAsia="Calibri" w:hAnsi="Calibri"/>
          <w:sz w:val="20"/>
          <w:szCs w:val="20"/>
          <w:u w:val="single" w:color="auto"/>
          <w:color w:val="auto"/>
        </w:rPr>
        <w:t>ARTICLE IV</w:t>
      </w:r>
    </w:p>
    <w:p>
      <w:pPr>
        <w:spacing w:after="0" w:line="161"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u w:val="single" w:color="auto"/>
          <w:color w:val="auto"/>
        </w:rPr>
        <w:t>AFFIRMATIVE COVENANTS</w:t>
      </w:r>
    </w:p>
    <w:p>
      <w:pPr>
        <w:spacing w:after="0" w:line="238" w:lineRule="exact"/>
        <w:rPr>
          <w:sz w:val="20"/>
          <w:szCs w:val="20"/>
          <w:color w:val="auto"/>
        </w:rPr>
      </w:pPr>
    </w:p>
    <w:p>
      <w:pPr>
        <w:ind w:left="120" w:right="20" w:firstLine="518"/>
        <w:spacing w:after="0"/>
        <w:rPr>
          <w:sz w:val="20"/>
          <w:szCs w:val="20"/>
          <w:color w:val="auto"/>
        </w:rPr>
      </w:pPr>
      <w:r>
        <w:rPr>
          <w:rFonts w:ascii="Calibri" w:cs="Calibri" w:eastAsia="Calibri" w:hAnsi="Calibri"/>
          <w:sz w:val="20"/>
          <w:szCs w:val="20"/>
          <w:color w:val="auto"/>
        </w:rPr>
        <w:t>Borrower covenants that so long as Bank remains commited to extend credit to Borrower pursuant hereto, or any liabilites (whether direct or contngent, liquidated or unliquidated) of Borrower to Bank under any of the Loan Documents remain outstanding, and untl payment in full of all obligatons of Borrower subject hereto, Borrower shall, and shall cause each of its subsidiaries to, unless Bank otherwise consents in writng:</w:t>
      </w:r>
    </w:p>
    <w:p>
      <w:pPr>
        <w:spacing w:after="0" w:line="157" w:lineRule="exact"/>
        <w:rPr>
          <w:sz w:val="20"/>
          <w:szCs w:val="20"/>
          <w:color w:val="auto"/>
        </w:rPr>
      </w:pPr>
    </w:p>
    <w:p>
      <w:pPr>
        <w:ind w:left="120" w:right="300" w:firstLine="518"/>
        <w:spacing w:after="0"/>
        <w:rPr>
          <w:sz w:val="20"/>
          <w:szCs w:val="20"/>
          <w:color w:val="auto"/>
        </w:rPr>
      </w:pPr>
      <w:r>
        <w:rPr>
          <w:rFonts w:ascii="Calibri" w:cs="Calibri" w:eastAsia="Calibri" w:hAnsi="Calibri"/>
          <w:sz w:val="20"/>
          <w:szCs w:val="20"/>
          <w:color w:val="auto"/>
        </w:rPr>
        <w:t>SECTION 4.1. PUNCTUAL PAYMENTS. Punctually pay all principal, interest, fees or other liabilites due under any of the Loan Documents to which it is a party at the tmes and place and in the manner specified therein, and immediately upon demand by Bank, the amount by which the outstanding principal balance of any credit subject hereto at any tme exceeds any limitaton on borrowings applicable thereto.</w:t>
      </w:r>
    </w:p>
    <w:p>
      <w:pPr>
        <w:spacing w:after="0" w:line="157" w:lineRule="exact"/>
        <w:rPr>
          <w:sz w:val="20"/>
          <w:szCs w:val="20"/>
          <w:color w:val="auto"/>
        </w:rPr>
      </w:pPr>
    </w:p>
    <w:p>
      <w:pPr>
        <w:ind w:left="120" w:right="140" w:firstLine="518"/>
        <w:spacing w:after="0" w:line="241" w:lineRule="auto"/>
        <w:rPr>
          <w:sz w:val="20"/>
          <w:szCs w:val="20"/>
          <w:color w:val="auto"/>
        </w:rPr>
      </w:pPr>
      <w:r>
        <w:rPr>
          <w:rFonts w:ascii="Calibri" w:cs="Calibri" w:eastAsia="Calibri" w:hAnsi="Calibri"/>
          <w:sz w:val="20"/>
          <w:szCs w:val="20"/>
          <w:color w:val="auto"/>
        </w:rPr>
        <w:t>SECTION 4.2. ACCOUNTING RECORDS. Maintain adequate books and records in accordance with generally accepted accountng principles consistently applied, and permit any representatve of Bank, at any reasonable tme, to inspect, audit and examine such books and records, to make copies of the same, and to inspect the propertes of Borrower or any of its subsidiaries, in each case, so long as the foregoing does not interfere with the business of Borrower in any material respect. If at any tme any change in generally accepted accountng principles would aﬀect the computaton of any covenant (including the computaton of any financial covenant) and/or pricing grid set forth in this Agreement or any other Loan Document, Borrower and Bank shall negotate in good faith to amend such covenant and/or pricing grid to preserve the original intent in light of such change; provided, that, untl so amended, (i) such covenant and/or pricing grid shall contnue to be computed in accordance with the applicaton of generally accepted accountng principles prior to such change and (ii) Borrower shall provide to Bank a writen reconciliaton in form and substance reasonably satsfactory to Bank, between calculatons of such covenant and/or pricing grid made before and afer giving eﬀect to such change in generally accepted accountng principles.</w:t>
      </w:r>
    </w:p>
    <w:p>
      <w:pPr>
        <w:spacing w:after="0" w:line="273" w:lineRule="exact"/>
        <w:rPr>
          <w:sz w:val="20"/>
          <w:szCs w:val="20"/>
          <w:color w:val="auto"/>
        </w:rPr>
      </w:pPr>
    </w:p>
    <w:p>
      <w:pPr>
        <w:ind w:right="80" w:firstLine="648"/>
        <w:spacing w:after="0" w:line="231" w:lineRule="auto"/>
        <w:rPr>
          <w:sz w:val="20"/>
          <w:szCs w:val="20"/>
          <w:color w:val="auto"/>
        </w:rPr>
      </w:pPr>
      <w:r>
        <w:rPr>
          <w:rFonts w:ascii="Calibri" w:cs="Calibri" w:eastAsia="Calibri" w:hAnsi="Calibri"/>
          <w:sz w:val="20"/>
          <w:szCs w:val="20"/>
          <w:color w:val="auto"/>
        </w:rPr>
        <w:t>SECTION 4.3. FINANCIAL STATEMENTS AND OTHER INFORMATION. Provide to Bank all of the following, in form and detail satsfactory to Bank (including, without limitaton, that the financial statements to be delivered as referenced below shall, among other things, meet the criteria for financial statements of Borrower and its subsidiaries described in Secton 2.5):</w:t>
      </w:r>
    </w:p>
    <w:p>
      <w:pPr>
        <w:spacing w:after="0" w:line="254" w:lineRule="exact"/>
        <w:rPr>
          <w:sz w:val="20"/>
          <w:szCs w:val="20"/>
          <w:color w:val="auto"/>
        </w:rPr>
      </w:pPr>
    </w:p>
    <w:p>
      <w:pPr>
        <w:ind w:firstLine="656"/>
        <w:spacing w:after="0" w:line="233" w:lineRule="auto"/>
        <w:tabs>
          <w:tab w:leader="none" w:pos="914" w:val="left"/>
        </w:tabs>
        <w:numPr>
          <w:ilvl w:val="0"/>
          <w:numId w:val="53"/>
        </w:numPr>
        <w:rPr>
          <w:rFonts w:ascii="Calibri" w:cs="Calibri" w:eastAsia="Calibri" w:hAnsi="Calibri"/>
          <w:sz w:val="20"/>
          <w:szCs w:val="20"/>
          <w:color w:val="auto"/>
        </w:rPr>
      </w:pPr>
      <w:r>
        <w:rPr>
          <w:rFonts w:ascii="Calibri" w:cs="Calibri" w:eastAsia="Calibri" w:hAnsi="Calibri"/>
          <w:sz w:val="20"/>
          <w:szCs w:val="20"/>
          <w:color w:val="auto"/>
        </w:rPr>
        <w:t>as soon as practcable and in any event within ninety (90) days (or, if earlier, on the date of any required public filing thereof) afer the end of each fiscal year of Borrower, unqualified audited financial statements of Borrower on a consolidated and consolidatng (which consolidatng financial statements, notwithstanding the foregoing, may be unaudited and internally prepared) basis, audited by certfied public accountants acceptable to Bank, to include balance sheets, income statements, statements of cash flows, and changes in stockholders’ equity statement(s). The audited annual financial statements shall be accompanied by the unqualified opinion of such accountants;</w:t>
      </w:r>
    </w:p>
    <w:p>
      <w:pPr>
        <w:spacing w:after="0" w:line="238" w:lineRule="exact"/>
        <w:rPr>
          <w:rFonts w:ascii="Calibri" w:cs="Calibri" w:eastAsia="Calibri" w:hAnsi="Calibri"/>
          <w:sz w:val="20"/>
          <w:szCs w:val="20"/>
          <w:color w:val="auto"/>
        </w:rPr>
      </w:pPr>
    </w:p>
    <w:p>
      <w:pPr>
        <w:ind w:right="180" w:firstLine="656"/>
        <w:spacing w:after="0" w:line="233" w:lineRule="auto"/>
        <w:tabs>
          <w:tab w:leader="none" w:pos="923" w:val="left"/>
        </w:tabs>
        <w:numPr>
          <w:ilvl w:val="0"/>
          <w:numId w:val="53"/>
        </w:numPr>
        <w:rPr>
          <w:rFonts w:ascii="Calibri" w:cs="Calibri" w:eastAsia="Calibri" w:hAnsi="Calibri"/>
          <w:sz w:val="20"/>
          <w:szCs w:val="20"/>
          <w:color w:val="auto"/>
        </w:rPr>
      </w:pPr>
      <w:r>
        <w:rPr>
          <w:rFonts w:ascii="Calibri" w:cs="Calibri" w:eastAsia="Calibri" w:hAnsi="Calibri"/>
          <w:sz w:val="20"/>
          <w:szCs w:val="20"/>
          <w:color w:val="auto"/>
        </w:rPr>
        <w:t>as soon as practcable and in any event within forty-five (45) days (or, if earlier, on the date of any required public filing thereof) afer the end of each fiscal quarter (including the fourth fiscal quarter) of each fiscal year of Borrower, financial statements of Borrower on a consolidated basis, prepared by Borrower, to include a balance sheet, an income statement, and a statement of cash flows;</w:t>
      </w:r>
    </w:p>
    <w:p>
      <w:pPr>
        <w:sectPr>
          <w:pgSz w:w="11900" w:h="16838" w:orient="portrait"/>
          <w:cols w:equalWidth="0" w:num="1">
            <w:col w:w="11160"/>
          </w:cols>
          <w:pgMar w:left="320" w:top="1401" w:right="419" w:bottom="1440" w:gutter="0" w:footer="0" w:header="0"/>
        </w:sectPr>
      </w:pPr>
    </w:p>
    <w:bookmarkStart w:id="116" w:name="page117"/>
    <w:bookmarkEnd w:id="116"/>
    <w:p>
      <w:pPr>
        <w:spacing w:after="0" w:line="215" w:lineRule="exact"/>
        <w:rPr>
          <w:sz w:val="20"/>
          <w:szCs w:val="20"/>
          <w:color w:val="auto"/>
        </w:rPr>
      </w:pPr>
    </w:p>
    <w:p>
      <w:pPr>
        <w:ind w:left="-120" w:firstLine="656"/>
        <w:spacing w:after="0" w:line="233" w:lineRule="auto"/>
        <w:tabs>
          <w:tab w:leader="none" w:pos="782"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 xml:space="preserve">contemporaneously with all annual and quarterly financial statements of Borrower required hereby, a certficate of the president or chief financial oﬃcer of Borrower (in the form atached hereto as </w:t>
      </w:r>
      <w:r>
        <w:rPr>
          <w:rFonts w:ascii="Calibri" w:cs="Calibri" w:eastAsia="Calibri" w:hAnsi="Calibri"/>
          <w:sz w:val="20"/>
          <w:szCs w:val="20"/>
          <w:u w:val="single" w:color="auto"/>
          <w:color w:val="auto"/>
        </w:rPr>
        <w:t>Exhibit B</w:t>
      </w:r>
      <w:r>
        <w:rPr>
          <w:rFonts w:ascii="Calibri" w:cs="Calibri" w:eastAsia="Calibri" w:hAnsi="Calibri"/>
          <w:sz w:val="20"/>
          <w:szCs w:val="20"/>
          <w:color w:val="auto"/>
        </w:rPr>
        <w:t>) certfying, in his or her capacity as an oﬃcer and not in his or her individual capacity, that such financial statements are accurate, that Borrower is in compliance with all financial covenants in this Agreement (as evidenced by detailed calculatons atached to such certficate), and that there exists no Event of Default nor, to his or her knowledge, any conditon, act or event which with the giving of notce or the passage of tme or both would consttute an Event of Default;</w:t>
      </w:r>
    </w:p>
    <w:p>
      <w:pPr>
        <w:spacing w:after="0" w:line="251" w:lineRule="exact"/>
        <w:rPr>
          <w:rFonts w:ascii="Calibri" w:cs="Calibri" w:eastAsia="Calibri" w:hAnsi="Calibri"/>
          <w:sz w:val="20"/>
          <w:szCs w:val="20"/>
          <w:color w:val="auto"/>
        </w:rPr>
      </w:pPr>
    </w:p>
    <w:p>
      <w:pPr>
        <w:ind w:left="-120" w:right="380" w:firstLine="656"/>
        <w:spacing w:after="0" w:line="228" w:lineRule="auto"/>
        <w:tabs>
          <w:tab w:leader="none" w:pos="803"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within 75 days afer the commencement of each fiscal year, Borrower's projectons for such fiscal year (on a consolidated basis), to include a balance sheet, an income statement, and a statement of cash flows;</w:t>
      </w:r>
    </w:p>
    <w:p>
      <w:pPr>
        <w:spacing w:after="0" w:line="251" w:lineRule="exact"/>
        <w:rPr>
          <w:rFonts w:ascii="Calibri" w:cs="Calibri" w:eastAsia="Calibri" w:hAnsi="Calibri"/>
          <w:sz w:val="20"/>
          <w:szCs w:val="20"/>
          <w:color w:val="auto"/>
        </w:rPr>
      </w:pPr>
    </w:p>
    <w:p>
      <w:pPr>
        <w:ind w:left="-120" w:right="260" w:firstLine="656"/>
        <w:spacing w:after="0" w:line="228" w:lineRule="auto"/>
        <w:tabs>
          <w:tab w:leader="none" w:pos="797"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from tme to tme such other financial and business informaton relatng to Borrower or any of its subsidiaries as Bank may reasonably request (and as when requested);</w:t>
      </w:r>
    </w:p>
    <w:p>
      <w:pPr>
        <w:spacing w:after="0" w:line="251" w:lineRule="exact"/>
        <w:rPr>
          <w:rFonts w:ascii="Calibri" w:cs="Calibri" w:eastAsia="Calibri" w:hAnsi="Calibri"/>
          <w:sz w:val="20"/>
          <w:szCs w:val="20"/>
          <w:color w:val="auto"/>
        </w:rPr>
      </w:pPr>
    </w:p>
    <w:p>
      <w:pPr>
        <w:ind w:left="-120" w:right="300" w:firstLine="656"/>
        <w:spacing w:after="0" w:line="234" w:lineRule="auto"/>
        <w:tabs>
          <w:tab w:leader="none" w:pos="761"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from tme to tme such other informaton as Bank may request for the purpose of enabling Bank to fulfill its regulatory and compliance requirements, standards and processes; and</w:t>
      </w:r>
    </w:p>
    <w:p>
      <w:pPr>
        <w:spacing w:after="0" w:line="239" w:lineRule="exact"/>
        <w:rPr>
          <w:rFonts w:ascii="Calibri" w:cs="Calibri" w:eastAsia="Calibri" w:hAnsi="Calibri"/>
          <w:sz w:val="20"/>
          <w:szCs w:val="20"/>
          <w:color w:val="auto"/>
        </w:rPr>
      </w:pPr>
    </w:p>
    <w:p>
      <w:pPr>
        <w:ind w:left="-120" w:right="100" w:firstLine="656"/>
        <w:spacing w:after="0" w:line="233" w:lineRule="auto"/>
        <w:tabs>
          <w:tab w:leader="none" w:pos="793" w:val="left"/>
        </w:tabs>
        <w:numPr>
          <w:ilvl w:val="0"/>
          <w:numId w:val="54"/>
        </w:numPr>
        <w:rPr>
          <w:rFonts w:ascii="Calibri" w:cs="Calibri" w:eastAsia="Calibri" w:hAnsi="Calibri"/>
          <w:sz w:val="20"/>
          <w:szCs w:val="20"/>
          <w:color w:val="auto"/>
        </w:rPr>
      </w:pPr>
      <w:r>
        <w:rPr>
          <w:rFonts w:ascii="Calibri" w:cs="Calibri" w:eastAsia="Calibri" w:hAnsi="Calibri"/>
          <w:sz w:val="20"/>
          <w:szCs w:val="20"/>
          <w:u w:val="single" w:color="auto"/>
          <w:color w:val="0000FF"/>
        </w:rPr>
        <w:t>on February 14, 2025 (or within 30 days thereafer), and</w:t>
      </w:r>
      <w:r>
        <w:rPr>
          <w:rFonts w:ascii="Calibri" w:cs="Calibri" w:eastAsia="Calibri" w:hAnsi="Calibri"/>
          <w:sz w:val="20"/>
          <w:szCs w:val="20"/>
          <w:color w:val="0000FF"/>
        </w:rPr>
        <w:t xml:space="preserve"> </w:t>
      </w:r>
      <w:r>
        <w:rPr>
          <w:rFonts w:ascii="Calibri" w:cs="Calibri" w:eastAsia="Calibri" w:hAnsi="Calibri"/>
          <w:sz w:val="20"/>
          <w:szCs w:val="20"/>
          <w:color w:val="000000"/>
        </w:rPr>
        <w:t>contemporaneously with</w:t>
      </w:r>
      <w:r>
        <w:rPr>
          <w:rFonts w:ascii="Calibri" w:cs="Calibri" w:eastAsia="Calibri" w:hAnsi="Calibri"/>
          <w:sz w:val="20"/>
          <w:szCs w:val="20"/>
          <w:color w:val="0000FF"/>
        </w:rPr>
        <w:t xml:space="preserve"> </w:t>
      </w:r>
      <w:r>
        <w:rPr>
          <w:rFonts w:ascii="Calibri" w:cs="Calibri" w:eastAsia="Calibri" w:hAnsi="Calibri"/>
          <w:sz w:val="20"/>
          <w:szCs w:val="20"/>
          <w:color w:val="FF0000"/>
          <w:strike w:val="1"/>
        </w:rPr>
        <w:t>the financial statements of Borrower for</w:t>
      </w:r>
      <w:r>
        <w:rPr>
          <w:rFonts w:ascii="Calibri" w:cs="Calibri" w:eastAsia="Calibri" w:hAnsi="Calibri"/>
          <w:sz w:val="20"/>
          <w:szCs w:val="20"/>
          <w:color w:val="0000FF"/>
        </w:rPr>
        <w:t xml:space="preserve"> </w:t>
      </w:r>
      <w:r>
        <w:rPr>
          <w:rFonts w:ascii="Calibri" w:cs="Calibri" w:eastAsia="Calibri" w:hAnsi="Calibri"/>
          <w:sz w:val="20"/>
          <w:szCs w:val="20"/>
          <w:color w:val="FF0000"/>
          <w:strike w:val="1"/>
        </w:rPr>
        <w:t>the fiscal quarter ended June 30, 2021, an updated Schedule 5.7 (reflectng the</w:t>
      </w:r>
      <w:r>
        <w:rPr>
          <w:rFonts w:ascii="Calibri" w:cs="Calibri" w:eastAsia="Calibri" w:hAnsi="Calibri"/>
          <w:sz w:val="20"/>
          <w:szCs w:val="20"/>
          <w:u w:val="single" w:color="auto"/>
          <w:color w:val="0000FF"/>
          <w:strike w:val="1"/>
        </w:rPr>
        <w:t>each compliance certficate delivered to Bank hereunder</w:t>
      </w:r>
      <w:r>
        <w:rPr>
          <w:rFonts w:ascii="Calibri" w:cs="Calibri" w:eastAsia="Calibri" w:hAnsi="Calibri"/>
          <w:sz w:val="20"/>
          <w:szCs w:val="20"/>
          <w:color w:val="FF0000"/>
          <w:strike w:val="1"/>
        </w:rPr>
        <w:t xml:space="preserve"> </w:t>
      </w:r>
      <w:r>
        <w:rPr>
          <w:rFonts w:ascii="Calibri" w:cs="Calibri" w:eastAsia="Calibri" w:hAnsi="Calibri"/>
          <w:sz w:val="20"/>
          <w:szCs w:val="20"/>
          <w:u w:val="single" w:color="auto"/>
          <w:color w:val="0000FF"/>
          <w:strike w:val="1"/>
        </w:rPr>
        <w:t xml:space="preserve">pursuant to Secton 4.3 (c) hereof, Borrower shall deliver to Bank a schedule listng all investments, loans and advances (e.g., including the dollar amount and the recipient of each) made to or maintained in any of the direct or indirect subsidiaries of Borrower (with such </w:t>
      </w:r>
      <w:r>
        <w:rPr>
          <w:rFonts w:ascii="Calibri" w:cs="Calibri" w:eastAsia="Calibri" w:hAnsi="Calibri"/>
          <w:sz w:val="20"/>
          <w:szCs w:val="20"/>
          <w:color w:val="000000"/>
          <w:strike w:val="1"/>
        </w:rPr>
        <w:t xml:space="preserve">informaton </w:t>
      </w:r>
      <w:r>
        <w:rPr>
          <w:rFonts w:ascii="Calibri" w:cs="Calibri" w:eastAsia="Calibri" w:hAnsi="Calibri"/>
          <w:sz w:val="20"/>
          <w:szCs w:val="20"/>
          <w:color w:val="FF0000"/>
          <w:strike w:val="1"/>
        </w:rPr>
        <w:t>which is the subject thereof for and</w:t>
      </w:r>
      <w:r>
        <w:rPr>
          <w:rFonts w:ascii="Calibri" w:cs="Calibri" w:eastAsia="Calibri" w:hAnsi="Calibri"/>
          <w:sz w:val="20"/>
          <w:szCs w:val="20"/>
          <w:color w:val="000000"/>
          <w:strike w:val="1"/>
        </w:rPr>
        <w:t xml:space="preserve"> eﬀectve as of </w:t>
      </w:r>
      <w:r>
        <w:rPr>
          <w:rFonts w:ascii="Calibri" w:cs="Calibri" w:eastAsia="Calibri" w:hAnsi="Calibri"/>
          <w:sz w:val="20"/>
          <w:szCs w:val="20"/>
          <w:color w:val="FF0000"/>
          <w:strike w:val="1"/>
        </w:rPr>
        <w:t>such updated schedule delivery date).</w:t>
      </w:r>
      <w:r>
        <w:rPr>
          <w:rFonts w:ascii="Calibri" w:cs="Calibri" w:eastAsia="Calibri" w:hAnsi="Calibri"/>
          <w:sz w:val="20"/>
          <w:szCs w:val="20"/>
          <w:u w:val="single" w:color="auto"/>
          <w:color w:val="0000FF"/>
          <w:strike w:val="1"/>
        </w:rPr>
        <w:t>February 14, 2025 (or within 30</w:t>
      </w:r>
      <w:r>
        <w:rPr>
          <w:rFonts w:ascii="Calibri" w:cs="Calibri" w:eastAsia="Calibri" w:hAnsi="Calibri"/>
          <w:sz w:val="20"/>
          <w:szCs w:val="20"/>
          <w:color w:val="000000"/>
          <w:strike w:val="1"/>
        </w:rPr>
        <w:t xml:space="preserve"> </w:t>
      </w:r>
      <w:r>
        <w:rPr>
          <w:rFonts w:ascii="Calibri" w:cs="Calibri" w:eastAsia="Calibri" w:hAnsi="Calibri"/>
          <w:sz w:val="20"/>
          <w:szCs w:val="20"/>
          <w:u w:val="single" w:color="auto"/>
          <w:color w:val="0000FF"/>
          <w:strike w:val="1"/>
        </w:rPr>
        <w:t>days thereafer, if applicable), or as of the date of each such compliance certficate/contemporaneous schedule, as applicable);</w:t>
      </w:r>
    </w:p>
    <w:p>
      <w:pPr>
        <w:spacing w:after="0" w:line="251" w:lineRule="exact"/>
        <w:rPr>
          <w:rFonts w:ascii="Calibri" w:cs="Calibri" w:eastAsia="Calibri" w:hAnsi="Calibri"/>
          <w:sz w:val="20"/>
          <w:szCs w:val="20"/>
          <w:color w:val="auto"/>
        </w:rPr>
      </w:pPr>
    </w:p>
    <w:p>
      <w:pPr>
        <w:ind w:left="-120" w:right="480" w:firstLine="656"/>
        <w:spacing w:after="0" w:line="230" w:lineRule="auto"/>
        <w:tabs>
          <w:tab w:leader="none" w:pos="803"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promptly afer the same are available, copies of each annual report, proxy or financial statement or other report or communicaton sent to the stockholders of Borrower, and copies of all annual, regular, periodic and special reports and registraton statements which Borrower may file or be required to file with the SEC under Secton 13 or 15(d) of the Exchange Act, or with any natonal securites exchange, and in any case not otherwise required to be delivered to Bank pursuant hereto; and</w:t>
      </w:r>
    </w:p>
    <w:p>
      <w:pPr>
        <w:spacing w:after="0" w:line="252" w:lineRule="exact"/>
        <w:rPr>
          <w:rFonts w:ascii="Calibri" w:cs="Calibri" w:eastAsia="Calibri" w:hAnsi="Calibri"/>
          <w:sz w:val="20"/>
          <w:szCs w:val="20"/>
          <w:color w:val="auto"/>
        </w:rPr>
      </w:pPr>
    </w:p>
    <w:p>
      <w:pPr>
        <w:ind w:left="-120" w:right="40" w:firstLine="656"/>
        <w:spacing w:after="0" w:line="233" w:lineRule="auto"/>
        <w:tabs>
          <w:tab w:leader="none" w:pos="743"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promptly, and in any event within five (5) business days afer receipt thereof by Borrower or any subsidiary thereof, copies of each notce or other correspondence received from the SEC (or comparable agency in any applicable non-U.S. jurisdicton) concerning any investgaton or possible investgaton or other inquiry by such agency regarding financial or other operatonal results of Borrower or any subsidiary thereof.</w:t>
      </w:r>
    </w:p>
    <w:p>
      <w:pPr>
        <w:spacing w:after="0" w:line="145" w:lineRule="exact"/>
        <w:rPr>
          <w:sz w:val="20"/>
          <w:szCs w:val="20"/>
          <w:color w:val="auto"/>
        </w:rPr>
      </w:pPr>
    </w:p>
    <w:p>
      <w:pPr>
        <w:ind w:right="240" w:firstLine="648"/>
        <w:spacing w:after="0" w:line="242" w:lineRule="auto"/>
        <w:rPr>
          <w:sz w:val="20"/>
          <w:szCs w:val="20"/>
          <w:color w:val="auto"/>
        </w:rPr>
      </w:pPr>
      <w:r>
        <w:rPr>
          <w:rFonts w:ascii="Calibri" w:cs="Calibri" w:eastAsia="Calibri" w:hAnsi="Calibri"/>
          <w:sz w:val="20"/>
          <w:szCs w:val="20"/>
          <w:color w:val="auto"/>
        </w:rPr>
        <w:t xml:space="preserve">Documents required to be delivered pursuant to </w:t>
      </w:r>
      <w:r>
        <w:rPr>
          <w:rFonts w:ascii="Calibri" w:cs="Calibri" w:eastAsia="Calibri" w:hAnsi="Calibri"/>
          <w:sz w:val="20"/>
          <w:szCs w:val="20"/>
          <w:u w:val="single" w:color="auto"/>
          <w:color w:val="auto"/>
        </w:rPr>
        <w:t>Secton 4.3(a)</w:t>
      </w:r>
      <w:r>
        <w:rPr>
          <w:rFonts w:ascii="Calibri" w:cs="Calibri" w:eastAsia="Calibri" w:hAnsi="Calibri"/>
          <w:sz w:val="20"/>
          <w:szCs w:val="20"/>
          <w:color w:val="auto"/>
        </w:rPr>
        <w:t xml:space="preserve"> or </w:t>
      </w:r>
      <w:r>
        <w:rPr>
          <w:rFonts w:ascii="Calibri" w:cs="Calibri" w:eastAsia="Calibri" w:hAnsi="Calibri"/>
          <w:sz w:val="20"/>
          <w:szCs w:val="20"/>
          <w:u w:val="single" w:color="auto"/>
          <w:color w:val="auto"/>
        </w:rPr>
        <w:t>(b)</w:t>
      </w:r>
      <w:r>
        <w:rPr>
          <w:rFonts w:ascii="Calibri" w:cs="Calibri" w:eastAsia="Calibri" w:hAnsi="Calibri"/>
          <w:sz w:val="20"/>
          <w:szCs w:val="20"/>
          <w:color w:val="auto"/>
        </w:rPr>
        <w:t xml:space="preserve"> or </w:t>
      </w:r>
      <w:r>
        <w:rPr>
          <w:rFonts w:ascii="Calibri" w:cs="Calibri" w:eastAsia="Calibri" w:hAnsi="Calibri"/>
          <w:sz w:val="20"/>
          <w:szCs w:val="20"/>
          <w:u w:val="single" w:color="auto"/>
          <w:color w:val="auto"/>
        </w:rPr>
        <w:t>Secton 4.3(i)</w:t>
      </w:r>
      <w:r>
        <w:rPr>
          <w:rFonts w:ascii="Calibri" w:cs="Calibri" w:eastAsia="Calibri" w:hAnsi="Calibri"/>
          <w:sz w:val="20"/>
          <w:szCs w:val="20"/>
          <w:color w:val="auto"/>
        </w:rPr>
        <w:t xml:space="preserve"> (to the extent any such documents are included in materials otherwise filed with the SEC) may be delivered electronically and if so delivered, shall be deemed to have been delivered on the date (i) on which Borrower posts such documents, or provides a link thereto on Borrower’s website on the Internet; or (ii) on which such documents are posted on Borrower’s behalf on an Internet or intranet website, if any, to which the Bank has access (whether a commercial, third-party website or whether sponsored by the Bank); </w:t>
      </w:r>
      <w:r>
        <w:rPr>
          <w:rFonts w:ascii="Calibri" w:cs="Calibri" w:eastAsia="Calibri" w:hAnsi="Calibri"/>
          <w:sz w:val="20"/>
          <w:szCs w:val="20"/>
          <w:u w:val="single" w:color="auto"/>
          <w:color w:val="auto"/>
        </w:rPr>
        <w:t>provided</w:t>
      </w:r>
      <w:r>
        <w:rPr>
          <w:rFonts w:ascii="Calibri" w:cs="Calibri" w:eastAsia="Calibri" w:hAnsi="Calibri"/>
          <w:sz w:val="20"/>
          <w:szCs w:val="20"/>
          <w:color w:val="auto"/>
        </w:rPr>
        <w:t xml:space="preserve"> that: (i) Borrower shall, simultaneously therewith, deliver paper copies of such</w:t>
      </w:r>
    </w:p>
    <w:p>
      <w:pPr>
        <w:sectPr>
          <w:pgSz w:w="11900" w:h="16838" w:orient="portrait"/>
          <w:cols w:equalWidth="0" w:num="1">
            <w:col w:w="11100"/>
          </w:cols>
          <w:pgMar w:left="440" w:top="1440" w:right="359" w:bottom="1440" w:gutter="0" w:footer="0" w:header="0"/>
        </w:sectPr>
      </w:pPr>
    </w:p>
    <w:bookmarkStart w:id="117" w:name="page118"/>
    <w:bookmarkEnd w:id="117"/>
    <w:p>
      <w:pPr>
        <w:spacing w:after="0" w:line="120" w:lineRule="exact"/>
        <w:rPr>
          <w:sz w:val="20"/>
          <w:szCs w:val="20"/>
          <w:color w:val="auto"/>
        </w:rPr>
      </w:pPr>
    </w:p>
    <w:p>
      <w:pPr>
        <w:ind w:left="120"/>
        <w:spacing w:after="0" w:line="239" w:lineRule="auto"/>
        <w:rPr>
          <w:sz w:val="20"/>
          <w:szCs w:val="20"/>
          <w:color w:val="auto"/>
        </w:rPr>
      </w:pPr>
      <w:r>
        <w:rPr>
          <w:rFonts w:ascii="Calibri" w:cs="Calibri" w:eastAsia="Calibri" w:hAnsi="Calibri"/>
          <w:sz w:val="20"/>
          <w:szCs w:val="20"/>
          <w:color w:val="auto"/>
        </w:rPr>
        <w:t xml:space="preserve">documents to the Bank if it requests in writng that Borrower deliver such paper copies untl a writen request to cease delivering paper copies is given by the Bank and (ii) Borrower shall, simultaneously therewith, notfy the Bank (by facsimile, electronic mail or in the certficate delivered pursuant to clause (c)) of the postng of any such documents and promptly upon the Bank’s writen request, provide to the Bank by electronic mail electronic versions of such documents. Notwithstanding anything contained herein, in every instance Borrower shall be required to provide copies of the Compliance Certficates required by </w:t>
      </w:r>
      <w:r>
        <w:rPr>
          <w:rFonts w:ascii="Calibri" w:cs="Calibri" w:eastAsia="Calibri" w:hAnsi="Calibri"/>
          <w:sz w:val="20"/>
          <w:szCs w:val="20"/>
          <w:u w:val="single" w:color="auto"/>
          <w:color w:val="auto"/>
        </w:rPr>
        <w:t>Secton 4.3</w:t>
      </w:r>
      <w:r>
        <w:rPr>
          <w:rFonts w:ascii="Calibri" w:cs="Calibri" w:eastAsia="Calibri" w:hAnsi="Calibri"/>
          <w:sz w:val="20"/>
          <w:szCs w:val="20"/>
          <w:color w:val="auto"/>
        </w:rPr>
        <w:t xml:space="preserve"> to the Administratve Agent in accordance with the procedures set forth in </w:t>
      </w:r>
      <w:r>
        <w:rPr>
          <w:rFonts w:ascii="Calibri" w:cs="Calibri" w:eastAsia="Calibri" w:hAnsi="Calibri"/>
          <w:sz w:val="20"/>
          <w:szCs w:val="20"/>
          <w:u w:val="single" w:color="auto"/>
          <w:color w:val="auto"/>
        </w:rPr>
        <w:t>Secton 7.2</w:t>
      </w:r>
      <w:r>
        <w:rPr>
          <w:rFonts w:ascii="Calibri" w:cs="Calibri" w:eastAsia="Calibri" w:hAnsi="Calibri"/>
          <w:sz w:val="20"/>
          <w:szCs w:val="20"/>
          <w:color w:val="auto"/>
        </w:rPr>
        <w:t>.</w:t>
      </w:r>
    </w:p>
    <w:p>
      <w:pPr>
        <w:spacing w:after="0" w:line="152" w:lineRule="exact"/>
        <w:rPr>
          <w:sz w:val="20"/>
          <w:szCs w:val="20"/>
          <w:color w:val="auto"/>
        </w:rPr>
      </w:pPr>
    </w:p>
    <w:p>
      <w:pPr>
        <w:ind w:left="640"/>
        <w:spacing w:after="0"/>
        <w:tabs>
          <w:tab w:leader="none" w:pos="1860" w:val="left"/>
        </w:tabs>
        <w:rPr>
          <w:sz w:val="20"/>
          <w:szCs w:val="20"/>
          <w:color w:val="auto"/>
        </w:rPr>
      </w:pPr>
      <w:r>
        <w:rPr>
          <w:rFonts w:ascii="Calibri" w:cs="Calibri" w:eastAsia="Calibri" w:hAnsi="Calibri"/>
          <w:sz w:val="20"/>
          <w:szCs w:val="20"/>
          <w:color w:val="auto"/>
        </w:rPr>
        <w:t>SECTION 4.4.</w:t>
        <w:tab/>
        <w:t>COMPLIANCE.</w:t>
      </w:r>
    </w:p>
    <w:p>
      <w:pPr>
        <w:spacing w:after="0" w:line="171" w:lineRule="exact"/>
        <w:rPr>
          <w:sz w:val="20"/>
          <w:szCs w:val="20"/>
          <w:color w:val="auto"/>
        </w:rPr>
      </w:pPr>
    </w:p>
    <w:p>
      <w:pPr>
        <w:ind w:right="40" w:firstLine="656"/>
        <w:spacing w:after="0" w:line="236" w:lineRule="auto"/>
        <w:tabs>
          <w:tab w:leader="none" w:pos="914" w:val="left"/>
        </w:tabs>
        <w:numPr>
          <w:ilvl w:val="0"/>
          <w:numId w:val="55"/>
        </w:numPr>
        <w:rPr>
          <w:rFonts w:ascii="Calibri" w:cs="Calibri" w:eastAsia="Calibri" w:hAnsi="Calibri"/>
          <w:sz w:val="20"/>
          <w:szCs w:val="20"/>
          <w:color w:val="auto"/>
        </w:rPr>
      </w:pPr>
      <w:r>
        <w:rPr>
          <w:rFonts w:ascii="Calibri" w:cs="Calibri" w:eastAsia="Calibri" w:hAnsi="Calibri"/>
          <w:sz w:val="20"/>
          <w:szCs w:val="20"/>
          <w:color w:val="auto"/>
        </w:rPr>
        <w:t>Preserve and maintain all licenses, permits, governmental approvals, rights, privileges and franchises necessary for the conduct of its business; comply with the provisions of all documents pursuant to which Borrower or any of its subsidiaries is organized and/or which govern any such entty’s contnued existence; and comply with the requirements of all laws, rules, regulatons and</w:t>
      </w:r>
    </w:p>
    <w:p>
      <w:pPr>
        <w:spacing w:after="0" w:line="22" w:lineRule="exact"/>
        <w:rPr>
          <w:rFonts w:ascii="Calibri" w:cs="Calibri" w:eastAsia="Calibri" w:hAnsi="Calibri"/>
          <w:sz w:val="20"/>
          <w:szCs w:val="20"/>
          <w:color w:val="auto"/>
        </w:rPr>
      </w:pPr>
    </w:p>
    <w:p>
      <w:pPr>
        <w:jc w:val="both"/>
        <w:ind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orders of any jurisdicton in which Borrower or any of its subsidiaries is located or doing business or which requirements are otherwise applicable to Borrower or any of its subsidiaries, in each case, except where such non-compliance could not reasonably be expected to result in a Material Adverse Eﬀect; and</w:t>
      </w:r>
    </w:p>
    <w:p>
      <w:pPr>
        <w:spacing w:after="0" w:line="157" w:lineRule="exact"/>
        <w:rPr>
          <w:rFonts w:ascii="Calibri" w:cs="Calibri" w:eastAsia="Calibri" w:hAnsi="Calibri"/>
          <w:sz w:val="20"/>
          <w:szCs w:val="20"/>
          <w:color w:val="auto"/>
        </w:rPr>
      </w:pPr>
    </w:p>
    <w:p>
      <w:pPr>
        <w:ind w:right="80" w:firstLine="656"/>
        <w:spacing w:after="0" w:line="242" w:lineRule="auto"/>
        <w:tabs>
          <w:tab w:leader="none" w:pos="923" w:val="left"/>
        </w:tabs>
        <w:numPr>
          <w:ilvl w:val="0"/>
          <w:numId w:val="55"/>
        </w:numPr>
        <w:rPr>
          <w:rFonts w:ascii="Calibri" w:cs="Calibri" w:eastAsia="Calibri" w:hAnsi="Calibri"/>
          <w:sz w:val="20"/>
          <w:szCs w:val="20"/>
          <w:color w:val="auto"/>
        </w:rPr>
      </w:pPr>
      <w:r>
        <w:rPr>
          <w:rFonts w:ascii="Calibri" w:cs="Calibri" w:eastAsia="Calibri" w:hAnsi="Calibri"/>
          <w:sz w:val="20"/>
          <w:szCs w:val="20"/>
          <w:color w:val="auto"/>
        </w:rPr>
        <w:t>comply with, and cause each member of the Borrowing Group to comply with, all Sanctons, Ant-Money Laundering Laws, and Ant-Corrupton Laws.</w:t>
      </w:r>
    </w:p>
    <w:p>
      <w:pPr>
        <w:spacing w:after="0" w:line="142" w:lineRule="exact"/>
        <w:rPr>
          <w:sz w:val="20"/>
          <w:szCs w:val="20"/>
          <w:color w:val="auto"/>
        </w:rPr>
      </w:pPr>
    </w:p>
    <w:p>
      <w:pPr>
        <w:ind w:left="120" w:right="40" w:firstLine="518"/>
        <w:spacing w:after="0" w:line="242" w:lineRule="auto"/>
        <w:rPr>
          <w:sz w:val="20"/>
          <w:szCs w:val="20"/>
          <w:color w:val="auto"/>
        </w:rPr>
      </w:pPr>
      <w:r>
        <w:rPr>
          <w:rFonts w:ascii="Calibri" w:cs="Calibri" w:eastAsia="Calibri" w:hAnsi="Calibri"/>
          <w:sz w:val="20"/>
          <w:szCs w:val="20"/>
          <w:color w:val="auto"/>
        </w:rPr>
        <w:t>SECTION 4.5. INSURANCE. (a) Maintain and keep in force, for each business in which Borrower or any of its subsidiaries is engaged, insurance of the types and in amounts customarily carried in similar lines of business, including but not limited to fire, extended coverage, commercial general liability, flood, and, if required by governmental regulaton or Bank, hurricane, windstorm, seismic property damage, workers' compensaton, marine cargo insurance, and specific hazards aﬀectng any real property, including terrorism, with all such insurance carried in amounts reasonably satsfactory to Bank and where required by Bank, with replacement cost, mortgagee loss payable, lender loss payable and additonal insured endorsements in favor of Bank, and (b) deliver to Bank prior to the date hereof, and from tme to tme at Bank's request, schedules setng forth all insurance then in eﬀect, together with a lender’s loss payee and additonal insured endorsement for all such insurance naming Bank as a lender loss payee and additonal insured. Such insurance may be obtained from an insurer or through an insurance agent of Borrower’s choice, provided that any insurer chosen by Borrower is reasonably acceptable to Bank on such reasonable grounds as may be permited under applicable law.</w:t>
      </w:r>
    </w:p>
    <w:p>
      <w:pPr>
        <w:spacing w:after="0" w:line="157" w:lineRule="exact"/>
        <w:rPr>
          <w:sz w:val="20"/>
          <w:szCs w:val="20"/>
          <w:color w:val="auto"/>
        </w:rPr>
      </w:pPr>
    </w:p>
    <w:p>
      <w:pPr>
        <w:jc w:val="both"/>
        <w:ind w:left="120" w:right="40" w:firstLine="518"/>
        <w:spacing w:after="0"/>
        <w:rPr>
          <w:sz w:val="20"/>
          <w:szCs w:val="20"/>
          <w:color w:val="auto"/>
        </w:rPr>
      </w:pPr>
      <w:r>
        <w:rPr>
          <w:rFonts w:ascii="Calibri" w:cs="Calibri" w:eastAsia="Calibri" w:hAnsi="Calibri"/>
          <w:sz w:val="20"/>
          <w:szCs w:val="20"/>
          <w:color w:val="auto"/>
        </w:rPr>
        <w:t>SECTION 4.6. FACILITIES, ETC. Keep all assets and propertes that are useful or necessary to business of Borrower or any of its subsidiaries in good repair and conditon, ordinary wear and tear excepted, and from tme to tme make necessary repairs, renewals and replacements thereto so that such propertes shall be adequately preserved and maintained.</w:t>
      </w:r>
    </w:p>
    <w:p>
      <w:pPr>
        <w:spacing w:after="0" w:line="159" w:lineRule="exact"/>
        <w:rPr>
          <w:sz w:val="20"/>
          <w:szCs w:val="20"/>
          <w:color w:val="auto"/>
        </w:rPr>
      </w:pPr>
    </w:p>
    <w:p>
      <w:pPr>
        <w:ind w:left="120" w:firstLine="518"/>
        <w:spacing w:after="0" w:line="239" w:lineRule="auto"/>
        <w:rPr>
          <w:sz w:val="20"/>
          <w:szCs w:val="20"/>
          <w:color w:val="auto"/>
        </w:rPr>
      </w:pPr>
      <w:r>
        <w:rPr>
          <w:rFonts w:ascii="Calibri" w:cs="Calibri" w:eastAsia="Calibri" w:hAnsi="Calibri"/>
          <w:sz w:val="20"/>
          <w:szCs w:val="20"/>
          <w:color w:val="auto"/>
        </w:rPr>
        <w:t>SECTION 4.7. TAXES AND OTHER LIABILITIES. Pay and discharge when due any and all indebtedness, obligatons, assessments and taxes, both real or personal, including without limitaton federal and state income taxes and state and local property taxes and assessments, except (a) such as Borrower or any of its subsidiaries, as applicable, may in good faith contest or as to which a bona fide dispute may arise, and (b) as it relates to contests or disputes involving indebtedness or obligatons, other than taxes and assessments, in an aggregate amount in excess of $750,000, for</w:t>
      </w:r>
    </w:p>
    <w:p>
      <w:pPr>
        <w:sectPr>
          <w:pgSz w:w="11900" w:h="16838" w:orient="portrait"/>
          <w:cols w:equalWidth="0" w:num="1">
            <w:col w:w="11040"/>
          </w:cols>
          <w:pgMar w:left="320" w:top="1440" w:right="539" w:bottom="1440" w:gutter="0" w:footer="0" w:header="0"/>
        </w:sectPr>
      </w:pPr>
    </w:p>
    <w:bookmarkStart w:id="118" w:name="page119"/>
    <w:bookmarkEnd w:id="118"/>
    <w:p>
      <w:pPr>
        <w:spacing w:after="0" w:line="120" w:lineRule="exact"/>
        <w:rPr>
          <w:sz w:val="20"/>
          <w:szCs w:val="20"/>
          <w:color w:val="auto"/>
        </w:rPr>
      </w:pPr>
    </w:p>
    <w:p>
      <w:pPr>
        <w:ind w:left="120" w:right="380"/>
        <w:spacing w:after="0" w:line="234" w:lineRule="auto"/>
        <w:rPr>
          <w:sz w:val="20"/>
          <w:szCs w:val="20"/>
          <w:color w:val="auto"/>
        </w:rPr>
      </w:pPr>
      <w:r>
        <w:rPr>
          <w:rFonts w:ascii="Calibri" w:cs="Calibri" w:eastAsia="Calibri" w:hAnsi="Calibri"/>
          <w:sz w:val="20"/>
          <w:szCs w:val="20"/>
          <w:color w:val="auto"/>
        </w:rPr>
        <w:t>which Borrower or any of its subsidiaries, as applicable, has made provision, to Bank's satsfacton, for eventual payment thereof in the event Borrower or any of its subsidiaries, as applicable, is obligated to make such payment.</w:t>
      </w:r>
    </w:p>
    <w:p>
      <w:pPr>
        <w:spacing w:after="0" w:line="158" w:lineRule="exact"/>
        <w:rPr>
          <w:sz w:val="20"/>
          <w:szCs w:val="20"/>
          <w:color w:val="auto"/>
        </w:rPr>
      </w:pPr>
    </w:p>
    <w:p>
      <w:pPr>
        <w:ind w:left="120" w:right="460" w:firstLine="518"/>
        <w:spacing w:after="0" w:line="234" w:lineRule="auto"/>
        <w:rPr>
          <w:sz w:val="20"/>
          <w:szCs w:val="20"/>
          <w:color w:val="auto"/>
        </w:rPr>
      </w:pPr>
      <w:r>
        <w:rPr>
          <w:rFonts w:ascii="Calibri" w:cs="Calibri" w:eastAsia="Calibri" w:hAnsi="Calibri"/>
          <w:sz w:val="20"/>
          <w:szCs w:val="20"/>
          <w:color w:val="auto"/>
        </w:rPr>
        <w:t>SECTION 4.8. LITIGATION. Promptly give notce in writng to Bank of any litgaton pending or threatened against Borrower or any of its subsidiaries which, if adversely determined, could reasonably be expected to result in a Material Adverse Eﬀect.</w:t>
      </w:r>
    </w:p>
    <w:p>
      <w:pPr>
        <w:spacing w:after="0" w:line="158" w:lineRule="exact"/>
        <w:rPr>
          <w:sz w:val="20"/>
          <w:szCs w:val="20"/>
          <w:color w:val="auto"/>
        </w:rPr>
      </w:pPr>
    </w:p>
    <w:p>
      <w:pPr>
        <w:ind w:left="120" w:right="320" w:firstLine="518"/>
        <w:spacing w:after="0"/>
        <w:rPr>
          <w:sz w:val="20"/>
          <w:szCs w:val="20"/>
          <w:color w:val="auto"/>
        </w:rPr>
      </w:pPr>
      <w:r>
        <w:rPr>
          <w:rFonts w:ascii="Calibri" w:cs="Calibri" w:eastAsia="Calibri" w:hAnsi="Calibri"/>
          <w:sz w:val="20"/>
          <w:szCs w:val="20"/>
          <w:color w:val="auto"/>
        </w:rPr>
        <w:t>SECTION 4.9. FINANCIAL CONDITION. Maintain the financial conditon of Borrower and its subsidiaries as follows, using/determined based on generally accepted accountng principles consistently applied and used consistently with prior practces (except to the extent modified by the definitons herein), and performing or satsfying the other below-referenced obligatons or conditons:</w:t>
      </w:r>
    </w:p>
    <w:p>
      <w:pPr>
        <w:spacing w:after="0" w:line="157" w:lineRule="exact"/>
        <w:rPr>
          <w:sz w:val="20"/>
          <w:szCs w:val="20"/>
          <w:color w:val="auto"/>
        </w:rPr>
      </w:pPr>
    </w:p>
    <w:p>
      <w:pPr>
        <w:jc w:val="both"/>
        <w:ind w:right="80" w:firstLine="656"/>
        <w:spacing w:after="0"/>
        <w:tabs>
          <w:tab w:leader="none" w:pos="951"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 xml:space="preserve">by not permitng the rato (the “Total Leverage Rato”) of Total Funded Debt (as defined below) of Borrower and its subsidiaries to EBITDA of Borrower and its subsidiaries to be greater than 3.0 to 1.0, as of each fiscal quarter end, determined on a rolling 4-quarter basis, with: “Total Funded Debt” defined as the sum of all obligatons for borrowed money (including subordinated debt) plus all capital lease obligatons, and with “EBITDA” defined as, without duplicaton, net profit before taxes, plus interest expense (net of capitalized interest expense), depreciaton expense and amortzaton expense, </w:t>
      </w:r>
      <w:r>
        <w:rPr>
          <w:rFonts w:ascii="Calibri" w:cs="Calibri" w:eastAsia="Calibri" w:hAnsi="Calibri"/>
          <w:sz w:val="20"/>
          <w:szCs w:val="20"/>
          <w:u w:val="single" w:color="auto"/>
          <w:color w:val="auto"/>
        </w:rPr>
        <w:t>plus</w:t>
      </w:r>
      <w:r>
        <w:rPr>
          <w:rFonts w:ascii="Calibri" w:cs="Calibri" w:eastAsia="Calibri" w:hAnsi="Calibri"/>
          <w:sz w:val="20"/>
          <w:szCs w:val="20"/>
          <w:color w:val="auto"/>
        </w:rPr>
        <w:t xml:space="preserve"> (1) non-cash costs, charges, and expenses including but not limited to non-cash stock compensaton, foreign currency translaton losses, and impairment charges related to intangible assets and (2) non- operatng or extra-ordinary cash charges and expenses including but not limited to restructuring costs, severance, asset write-oﬀs (excluding those on intangible assets), distributon agreement buy-outs, and acquisiton related costs and related fees, </w:t>
      </w:r>
      <w:r>
        <w:rPr>
          <w:rFonts w:ascii="Calibri" w:cs="Calibri" w:eastAsia="Calibri" w:hAnsi="Calibri"/>
          <w:sz w:val="20"/>
          <w:szCs w:val="20"/>
          <w:u w:val="single" w:color="auto"/>
          <w:color w:val="auto"/>
        </w:rPr>
        <w:t>provided</w:t>
      </w:r>
      <w:r>
        <w:rPr>
          <w:rFonts w:ascii="Calibri" w:cs="Calibri" w:eastAsia="Calibri" w:hAnsi="Calibri"/>
          <w:sz w:val="20"/>
          <w:szCs w:val="20"/>
          <w:color w:val="auto"/>
        </w:rPr>
        <w:t xml:space="preserve"> that all such items in </w:t>
      </w:r>
      <w:r>
        <w:rPr>
          <w:rFonts w:ascii="Calibri" w:cs="Calibri" w:eastAsia="Calibri" w:hAnsi="Calibri"/>
          <w:sz w:val="20"/>
          <w:szCs w:val="20"/>
          <w:u w:val="single" w:color="auto"/>
          <w:color w:val="0000FF"/>
        </w:rPr>
        <w:t>this clause</w:t>
      </w:r>
      <w:r>
        <w:rPr>
          <w:rFonts w:ascii="Calibri" w:cs="Calibri" w:eastAsia="Calibri" w:hAnsi="Calibri"/>
          <w:sz w:val="20"/>
          <w:szCs w:val="20"/>
          <w:color w:val="auto"/>
        </w:rPr>
        <w:t xml:space="preserve"> (2) shall not exceed 25% of EBITDA before the additon of these items, </w:t>
      </w:r>
      <w:r>
        <w:rPr>
          <w:rFonts w:ascii="Calibri" w:cs="Calibri" w:eastAsia="Calibri" w:hAnsi="Calibri"/>
          <w:sz w:val="20"/>
          <w:szCs w:val="20"/>
          <w:u w:val="single" w:color="auto"/>
          <w:color w:val="auto"/>
        </w:rPr>
        <w:t>minus</w:t>
      </w:r>
      <w:r>
        <w:rPr>
          <w:rFonts w:ascii="Calibri" w:cs="Calibri" w:eastAsia="Calibri" w:hAnsi="Calibri"/>
          <w:sz w:val="20"/>
          <w:szCs w:val="20"/>
          <w:color w:val="auto"/>
        </w:rPr>
        <w:t xml:space="preserve"> any non-cash gains arising from foreign currency transactons or any other non-cash gains that served to increase net income </w:t>
      </w:r>
      <w:r>
        <w:rPr>
          <w:rFonts w:ascii="Calibri" w:cs="Calibri" w:eastAsia="Calibri" w:hAnsi="Calibri"/>
          <w:sz w:val="20"/>
          <w:szCs w:val="20"/>
          <w:color w:val="FF0000"/>
          <w:strike w:val="1"/>
        </w:rPr>
        <w:t>(for the</w:t>
      </w:r>
      <w:r>
        <w:rPr>
          <w:rFonts w:ascii="Calibri" w:cs="Calibri" w:eastAsia="Calibri" w:hAnsi="Calibri"/>
          <w:sz w:val="20"/>
          <w:szCs w:val="20"/>
          <w:color w:val="auto"/>
        </w:rPr>
        <w:t xml:space="preserve"> </w:t>
      </w:r>
      <w:r>
        <w:rPr>
          <w:rFonts w:ascii="Calibri" w:cs="Calibri" w:eastAsia="Calibri" w:hAnsi="Calibri"/>
          <w:sz w:val="20"/>
          <w:szCs w:val="20"/>
          <w:color w:val="FF0000"/>
          <w:strike w:val="1"/>
        </w:rPr>
        <w:t>purposes of clarity, the Runa Payments (as defined below), as well as any yearly non-cash gain or loss resultng from the Runa Payments-related contngent liability, shall be added back to/subtracted from, as applicable, net profit in respect of the calculaton of EBITDA hereunder)</w:t>
      </w:r>
      <w:r>
        <w:rPr>
          <w:rFonts w:ascii="Calibri" w:cs="Calibri" w:eastAsia="Calibri" w:hAnsi="Calibri"/>
          <w:sz w:val="20"/>
          <w:szCs w:val="20"/>
          <w:color w:val="000000"/>
          <w:strike w:val="1"/>
        </w:rPr>
        <w:t>;</w:t>
      </w:r>
      <w:r>
        <w:rPr>
          <w:rFonts w:ascii="Calibri" w:cs="Calibri" w:eastAsia="Calibri" w:hAnsi="Calibri"/>
          <w:sz w:val="20"/>
          <w:szCs w:val="20"/>
          <w:color w:val="FF0000"/>
          <w:strike w:val="1"/>
        </w:rPr>
        <w:t xml:space="preserve"> </w:t>
      </w:r>
      <w:r>
        <w:rPr>
          <w:rFonts w:ascii="Calibri" w:cs="Calibri" w:eastAsia="Calibri" w:hAnsi="Calibri"/>
          <w:sz w:val="20"/>
          <w:szCs w:val="20"/>
          <w:u w:val="single" w:color="auto"/>
          <w:color w:val="000000"/>
          <w:strike w:val="1"/>
        </w:rPr>
        <w:t>provided</w:t>
      </w:r>
      <w:r>
        <w:rPr>
          <w:rFonts w:ascii="Calibri" w:cs="Calibri" w:eastAsia="Calibri" w:hAnsi="Calibri"/>
          <w:sz w:val="20"/>
          <w:szCs w:val="20"/>
          <w:color w:val="FF0000"/>
          <w:strike w:val="1"/>
        </w:rPr>
        <w:t xml:space="preserve"> </w:t>
      </w:r>
      <w:r>
        <w:rPr>
          <w:rFonts w:ascii="Calibri" w:cs="Calibri" w:eastAsia="Calibri" w:hAnsi="Calibri"/>
          <w:sz w:val="20"/>
          <w:szCs w:val="20"/>
          <w:color w:val="000000"/>
          <w:strike w:val="1"/>
        </w:rPr>
        <w:t>that in connecton with a Permited Acquisiton</w:t>
      </w:r>
      <w:r>
        <w:rPr>
          <w:rFonts w:ascii="Calibri" w:cs="Calibri" w:eastAsia="Calibri" w:hAnsi="Calibri"/>
          <w:sz w:val="1"/>
          <w:szCs w:val="1"/>
          <w:color w:val="auto"/>
        </w:rPr>
        <w:drawing>
          <wp:inline distT="0" distB="0" distL="0" distR="0">
            <wp:extent cx="60325" cy="5143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60325" cy="51435"/>
                    </a:xfrm>
                    <a:prstGeom prst="rect">
                      <a:avLst/>
                    </a:prstGeom>
                    <a:noFill/>
                    <a:ln>
                      <a:noFill/>
                    </a:ln>
                  </pic:spPr>
                </pic:pic>
              </a:graphicData>
            </a:graphic>
          </wp:inline>
        </w:drawing>
      </w:r>
      <w:r>
        <w:rPr>
          <w:rFonts w:ascii="Calibri" w:cs="Calibri" w:eastAsia="Calibri" w:hAnsi="Calibri"/>
          <w:sz w:val="20"/>
          <w:szCs w:val="20"/>
          <w:color w:val="auto"/>
        </w:rPr>
        <w:t xml:space="preserve">with respect to which the total consideraton paid </w:t>
      </w:r>
      <w:r>
        <w:rPr>
          <w:rFonts w:ascii="Calibri" w:cs="Calibri" w:eastAsia="Calibri" w:hAnsi="Calibri"/>
          <w:sz w:val="20"/>
          <w:szCs w:val="20"/>
          <w:color w:val="000000"/>
        </w:rPr>
        <w:t>exceeds $20 million, Borrower may elect, by delivering to Bank a certficate of the president or chief financial oﬃcer of Borrower to that eﬀect, to increase the permited Total Leverage Rato to 3.50 to 1.00 (an “Acquisiton Leverage Increase”) for a period of four (4) consecutve fiscal quarters, startng with the fiscal quarter in which such Permited Acquisiton is consummated (such period, a “Leverage Increase Period”). During the term of this Agreement, no more than two (2) Acquisiton Leverage Increases may be elected and at least two (2) consecutve fiscal quarters must pass between the end of the first Leverage Increase Period and the beginning of the second Leverage Increase Period. For the avoidance of doubt, upon the end of each Leverage Increase Period, the permited Total Leverage Rato shall automatcally revert to 3.00 to 1.00</w:t>
      </w:r>
      <w:r>
        <w:rPr>
          <w:rFonts w:ascii="Calibri" w:cs="Calibri" w:eastAsia="Calibri" w:hAnsi="Calibri"/>
          <w:sz w:val="20"/>
          <w:szCs w:val="20"/>
          <w:color w:val="FF0000"/>
        </w:rPr>
        <w:t>.</w:t>
      </w:r>
      <w:r>
        <w:rPr>
          <w:rFonts w:ascii="Calibri" w:cs="Calibri" w:eastAsia="Calibri" w:hAnsi="Calibri"/>
          <w:sz w:val="20"/>
          <w:szCs w:val="20"/>
          <w:color w:val="0000FF"/>
        </w:rPr>
        <w:t>;</w:t>
      </w:r>
    </w:p>
    <w:p>
      <w:pPr>
        <w:spacing w:after="0" w:line="279" w:lineRule="exact"/>
        <w:rPr>
          <w:rFonts w:ascii="Calibri" w:cs="Calibri" w:eastAsia="Calibri" w:hAnsi="Calibri"/>
          <w:sz w:val="20"/>
          <w:szCs w:val="20"/>
          <w:color w:val="auto"/>
        </w:rPr>
      </w:pPr>
    </w:p>
    <w:p>
      <w:pPr>
        <w:ind w:left="940" w:hanging="284"/>
        <w:spacing w:after="0"/>
        <w:tabs>
          <w:tab w:leader="none" w:pos="940"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by maintaining a Fixed Charge Coverage Rato of greater than or equal to 1.25 to 1.0 as of each fiscal quarter end, determined</w:t>
      </w:r>
    </w:p>
    <w:p>
      <w:pPr>
        <w:spacing w:after="0" w:line="22" w:lineRule="exact"/>
        <w:rPr>
          <w:rFonts w:ascii="Calibri" w:cs="Calibri" w:eastAsia="Calibri" w:hAnsi="Calibri"/>
          <w:sz w:val="20"/>
          <w:szCs w:val="20"/>
          <w:color w:val="auto"/>
        </w:rPr>
      </w:pPr>
    </w:p>
    <w:p>
      <w:pPr>
        <w:ind w:right="140"/>
        <w:spacing w:after="0" w:line="235" w:lineRule="auto"/>
        <w:rPr>
          <w:rFonts w:ascii="Calibri" w:cs="Calibri" w:eastAsia="Calibri" w:hAnsi="Calibri"/>
          <w:sz w:val="20"/>
          <w:szCs w:val="20"/>
          <w:color w:val="auto"/>
        </w:rPr>
      </w:pPr>
      <w:r>
        <w:rPr>
          <w:rFonts w:ascii="Calibri" w:cs="Calibri" w:eastAsia="Calibri" w:hAnsi="Calibri"/>
          <w:sz w:val="20"/>
          <w:szCs w:val="20"/>
          <w:color w:val="auto"/>
        </w:rPr>
        <w:t xml:space="preserve">on a rolling 4-quarter basis, with “Fixed Charge Coverage Rato” defined as </w:t>
      </w:r>
      <w:r>
        <w:rPr>
          <w:rFonts w:ascii="Calibri" w:cs="Calibri" w:eastAsia="Calibri" w:hAnsi="Calibri"/>
          <w:sz w:val="20"/>
          <w:szCs w:val="20"/>
          <w:color w:val="FF0000"/>
          <w:strike w:val="1"/>
        </w:rPr>
        <w:t>(a)</w:t>
      </w:r>
      <w:r>
        <w:rPr>
          <w:rFonts w:ascii="Calibri" w:cs="Calibri" w:eastAsia="Calibri" w:hAnsi="Calibri"/>
          <w:sz w:val="20"/>
          <w:szCs w:val="20"/>
          <w:color w:val="auto"/>
        </w:rPr>
        <w:t xml:space="preserve">, without duplicaton, </w:t>
      </w:r>
      <w:r>
        <w:rPr>
          <w:rFonts w:ascii="Calibri" w:cs="Calibri" w:eastAsia="Calibri" w:hAnsi="Calibri"/>
          <w:sz w:val="20"/>
          <w:szCs w:val="20"/>
          <w:u w:val="single" w:color="auto"/>
          <w:color w:val="0000FF"/>
        </w:rPr>
        <w:t>(a)</w:t>
      </w:r>
      <w:r>
        <w:rPr>
          <w:rFonts w:ascii="Calibri" w:cs="Calibri" w:eastAsia="Calibri" w:hAnsi="Calibri"/>
          <w:sz w:val="20"/>
          <w:szCs w:val="20"/>
          <w:color w:val="auto"/>
        </w:rPr>
        <w:t xml:space="preserve"> EBITDA, plus cash capital contributons and increases in subordinated debt, minus dividends, distributons, redemptons and repurchases of equity interest </w:t>
      </w:r>
      <w:r>
        <w:rPr>
          <w:rFonts w:ascii="Calibri" w:cs="Calibri" w:eastAsia="Calibri" w:hAnsi="Calibri"/>
          <w:sz w:val="20"/>
          <w:szCs w:val="20"/>
          <w:color w:val="FF0000"/>
          <w:strike w:val="1"/>
        </w:rPr>
        <w:t>(for</w:t>
      </w:r>
      <w:r>
        <w:rPr>
          <w:rFonts w:ascii="Calibri" w:cs="Calibri" w:eastAsia="Calibri" w:hAnsi="Calibri"/>
          <w:sz w:val="20"/>
          <w:szCs w:val="20"/>
          <w:color w:val="auto"/>
        </w:rPr>
        <w:t xml:space="preserve"> </w:t>
      </w:r>
      <w:r>
        <w:rPr>
          <w:rFonts w:ascii="Calibri" w:cs="Calibri" w:eastAsia="Calibri" w:hAnsi="Calibri"/>
          <w:sz w:val="20"/>
          <w:szCs w:val="20"/>
          <w:color w:val="FF0000"/>
          <w:strike w:val="1"/>
        </w:rPr>
        <w:t>the sake of clarity, the Runa Payments are not dividends, distributons, redemptons or repurchases of equity) other than the Permited Redempton (as defined in Secton 5.8; for the sake of clarity, only if and to the extent such Permited Redempton occurs and the proceeds thereof are paid prior to March 31, 2021 ),</w:t>
      </w:r>
      <w:r>
        <w:rPr>
          <w:rFonts w:ascii="Calibri" w:cs="Calibri" w:eastAsia="Calibri" w:hAnsi="Calibri"/>
          <w:sz w:val="20"/>
          <w:szCs w:val="20"/>
          <w:color w:val="0000FF"/>
          <w:strike w:val="1"/>
        </w:rPr>
        <w:t>,</w:t>
      </w:r>
      <w:r>
        <w:rPr>
          <w:rFonts w:ascii="Calibri" w:cs="Calibri" w:eastAsia="Calibri" w:hAnsi="Calibri"/>
          <w:sz w:val="20"/>
          <w:szCs w:val="20"/>
          <w:color w:val="FF0000"/>
          <w:strike w:val="1"/>
        </w:rPr>
        <w:t xml:space="preserve"> </w:t>
      </w:r>
      <w:r>
        <w:rPr>
          <w:rFonts w:ascii="Calibri" w:cs="Calibri" w:eastAsia="Calibri" w:hAnsi="Calibri"/>
          <w:sz w:val="20"/>
          <w:szCs w:val="20"/>
          <w:color w:val="000000"/>
          <w:strike w:val="1"/>
        </w:rPr>
        <w:t>minus decreases in subordinated debt, divided by (b) the aggregate of (1) the</w:t>
      </w:r>
      <w:r>
        <w:rPr>
          <w:rFonts w:ascii="Calibri" w:cs="Calibri" w:eastAsia="Calibri" w:hAnsi="Calibri"/>
          <w:sz w:val="20"/>
          <w:szCs w:val="20"/>
          <w:color w:val="FF0000"/>
          <w:strike w:val="1"/>
        </w:rPr>
        <w:t xml:space="preserve"> </w:t>
      </w:r>
      <w:r>
        <w:rPr>
          <w:rFonts w:ascii="Calibri" w:cs="Calibri" w:eastAsia="Calibri" w:hAnsi="Calibri"/>
          <w:sz w:val="20"/>
          <w:szCs w:val="20"/>
          <w:color w:val="000000"/>
          <w:strike w:val="1"/>
        </w:rPr>
        <w:t>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6609080</wp:posOffset>
            </wp:positionH>
            <wp:positionV relativeFrom="paragraph">
              <wp:posOffset>-2763520</wp:posOffset>
            </wp:positionV>
            <wp:extent cx="482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48260" cy="8890"/>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-834390</wp:posOffset>
            </wp:positionV>
            <wp:extent cx="311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-680085</wp:posOffset>
            </wp:positionV>
            <wp:extent cx="31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34"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current maturity of long-term debt (other than Line of Credit debt), (2) the current maturity of capitalized lease payments, (3) interest expense and (4) cash taxes paid; and</w:t>
      </w:r>
    </w:p>
    <w:p>
      <w:pPr>
        <w:spacing w:after="0" w:line="145" w:lineRule="exact"/>
        <w:rPr>
          <w:sz w:val="20"/>
          <w:szCs w:val="20"/>
          <w:color w:val="auto"/>
        </w:rPr>
      </w:pPr>
    </w:p>
    <w:p>
      <w:pPr>
        <w:jc w:val="both"/>
        <w:ind w:right="40" w:firstLine="656"/>
        <w:spacing w:after="0" w:line="234" w:lineRule="auto"/>
        <w:tabs>
          <w:tab w:leader="none" w:pos="902" w:val="left"/>
        </w:tabs>
        <w:numPr>
          <w:ilvl w:val="1"/>
          <w:numId w:val="57"/>
        </w:numPr>
        <w:rPr>
          <w:rFonts w:ascii="Calibri" w:cs="Calibri" w:eastAsia="Calibri" w:hAnsi="Calibri"/>
          <w:sz w:val="20"/>
          <w:szCs w:val="20"/>
          <w:color w:val="FF0000"/>
          <w:strike w:val="1"/>
        </w:rPr>
      </w:pPr>
      <w:r>
        <w:rPr>
          <w:rFonts w:ascii="Calibri" w:cs="Calibri" w:eastAsia="Calibri" w:hAnsi="Calibri"/>
          <w:sz w:val="20"/>
          <w:szCs w:val="20"/>
          <w:color w:val="FF0000"/>
          <w:strike w:val="1"/>
        </w:rPr>
        <w:t>any payment required to be paid to Runa, LLC (as part of the consideraton for the acquisiton of certain assets and liabilites of Runa, LLC and Runa Exportadora S.A. in 2018; the “Runa Payments”) shall be subject to (and may only be paid if/upon) (1) Borrower</w:t>
      </w:r>
    </w:p>
    <w:p>
      <w:pPr>
        <w:spacing w:after="0" w:line="23" w:lineRule="exact"/>
        <w:rPr>
          <w:rFonts w:ascii="Calibri" w:cs="Calibri" w:eastAsia="Calibri" w:hAnsi="Calibri"/>
          <w:sz w:val="20"/>
          <w:szCs w:val="20"/>
          <w:color w:val="FF0000"/>
          <w:strike w:val="1"/>
        </w:rPr>
      </w:pPr>
    </w:p>
    <w:p>
      <w:pPr>
        <w:ind w:right="80"/>
        <w:spacing w:after="0" w:line="236" w:lineRule="auto"/>
        <w:rPr>
          <w:rFonts w:ascii="Calibri" w:cs="Calibri" w:eastAsia="Calibri" w:hAnsi="Calibri"/>
          <w:sz w:val="20"/>
          <w:szCs w:val="20"/>
          <w:color w:val="FF0000"/>
          <w:strike w:val="1"/>
        </w:rPr>
      </w:pPr>
      <w:r>
        <w:rPr>
          <w:rFonts w:ascii="Calibri" w:cs="Calibri" w:eastAsia="Calibri" w:hAnsi="Calibri"/>
          <w:sz w:val="20"/>
          <w:szCs w:val="20"/>
          <w:color w:val="FF0000"/>
          <w:strike w:val="1"/>
        </w:rPr>
        <w:t>having liquidity (defined as “Unrestricted Cash” (as defined below) and Line of Credit availability) of at least 1.25x the amount required to be paid on the date which is 90 days prior to the payment due date (the “Test Date”), and (2) there existng no Event of Default on either the Test Date or on the date of any such Runa Payments; provided that, in the event that the requirements of this clause (c) are not met, yet the Runa Payments are otherwise due and owing under the acquisiton agreement related thereto, the partes shall</w:t>
      </w:r>
    </w:p>
    <w:p>
      <w:pPr>
        <w:spacing w:after="0" w:line="25" w:lineRule="exact"/>
        <w:rPr>
          <w:rFonts w:ascii="Calibri" w:cs="Calibri" w:eastAsia="Calibri" w:hAnsi="Calibri"/>
          <w:sz w:val="20"/>
          <w:szCs w:val="20"/>
          <w:color w:val="FF0000"/>
          <w:strike w:val="1"/>
        </w:rPr>
      </w:pPr>
    </w:p>
    <w:p>
      <w:pPr>
        <w:spacing w:after="0" w:line="236" w:lineRule="auto"/>
        <w:rPr>
          <w:rFonts w:ascii="Calibri" w:cs="Calibri" w:eastAsia="Calibri" w:hAnsi="Calibri"/>
          <w:sz w:val="20"/>
          <w:szCs w:val="20"/>
          <w:color w:val="FF0000"/>
          <w:strike w:val="1"/>
        </w:rPr>
      </w:pPr>
      <w:r>
        <w:rPr>
          <w:rFonts w:ascii="Calibri" w:cs="Calibri" w:eastAsia="Calibri" w:hAnsi="Calibri"/>
          <w:sz w:val="20"/>
          <w:szCs w:val="20"/>
          <w:color w:val="FF0000"/>
          <w:strike w:val="1"/>
        </w:rPr>
        <w:t>discuss, in good faith, amendments hereto or other measures which may be taken by the partes so that Borrower may make such Runa Payments in order to avoid a breach of the acquisiton agreement. “Unrestricted Cash” means all cash and cash equivalents of Borrower and its subsidiaries at such tme that is not (a) subject to any pledge, lien or control of any person or entty other than Bank,</w:t>
      </w:r>
    </w:p>
    <w:p>
      <w:pPr>
        <w:spacing w:after="0" w:line="22" w:lineRule="exact"/>
        <w:rPr>
          <w:rFonts w:ascii="Calibri" w:cs="Calibri" w:eastAsia="Calibri" w:hAnsi="Calibri"/>
          <w:sz w:val="20"/>
          <w:szCs w:val="20"/>
          <w:color w:val="FF0000"/>
          <w:strike w:val="1"/>
        </w:rPr>
      </w:pPr>
    </w:p>
    <w:p>
      <w:pPr>
        <w:ind w:right="80" w:firstLine="8"/>
        <w:spacing w:after="0" w:line="234" w:lineRule="auto"/>
        <w:tabs>
          <w:tab w:leader="none" w:pos="275" w:val="left"/>
        </w:tabs>
        <w:numPr>
          <w:ilvl w:val="0"/>
          <w:numId w:val="58"/>
        </w:numPr>
        <w:rPr>
          <w:rFonts w:ascii="Calibri" w:cs="Calibri" w:eastAsia="Calibri" w:hAnsi="Calibri"/>
          <w:sz w:val="20"/>
          <w:szCs w:val="20"/>
          <w:color w:val="FF0000"/>
          <w:strike w:val="1"/>
        </w:rPr>
      </w:pPr>
      <w:r>
        <w:rPr>
          <w:rFonts w:ascii="Calibri" w:cs="Calibri" w:eastAsia="Calibri" w:hAnsi="Calibri"/>
          <w:sz w:val="20"/>
          <w:szCs w:val="20"/>
          <w:color w:val="FF0000"/>
          <w:strike w:val="1"/>
        </w:rPr>
        <w:t>subject to any contractual arrangement requiring the maintenance or segregaton of such cash for a specified use or (c) reflected/recorded on the financial statements of Borrower and its subsidiaries at any tme as restricted cash in accordance with GAAP.</w:t>
      </w:r>
    </w:p>
    <w:p>
      <w:pPr>
        <w:spacing w:after="0" w:line="158" w:lineRule="exact"/>
        <w:rPr>
          <w:sz w:val="20"/>
          <w:szCs w:val="20"/>
          <w:color w:val="auto"/>
        </w:rPr>
      </w:pPr>
    </w:p>
    <w:p>
      <w:pPr>
        <w:ind w:left="120" w:right="60"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color w:val="FF0000"/>
          <w:strike w:val="1"/>
        </w:rPr>
        <w:t>d</w:t>
      </w:r>
      <w:r>
        <w:rPr>
          <w:rFonts w:ascii="Calibri" w:cs="Calibri" w:eastAsia="Calibri" w:hAnsi="Calibri"/>
          <w:sz w:val="20"/>
          <w:szCs w:val="20"/>
          <w:u w:val="single" w:color="auto"/>
          <w:color w:val="0000FF"/>
        </w:rPr>
        <w:t>c</w:t>
      </w:r>
      <w:r>
        <w:rPr>
          <w:rFonts w:ascii="Calibri" w:cs="Calibri" w:eastAsia="Calibri" w:hAnsi="Calibri"/>
          <w:sz w:val="20"/>
          <w:szCs w:val="20"/>
          <w:color w:val="auto"/>
        </w:rPr>
        <w:t>) by not permitng, at any tme that the outstanding principal balance of Line of Credit exceeds $40,000,000, the rato (the “Asset Coverage Rato”), for Borrower and its subsidiaries on a consolidated basis, of the sum of accounts receivable (exclusive of the item described on Schedule 5.7 as the employee note) and inventory, divided by the outstanding principal balance of the Line of Credit, to be less than 1.25 to 1.0 as of/at any fiscal quarter end.</w:t>
      </w:r>
    </w:p>
    <w:p>
      <w:pPr>
        <w:spacing w:after="0" w:line="157" w:lineRule="exact"/>
        <w:rPr>
          <w:sz w:val="20"/>
          <w:szCs w:val="20"/>
          <w:color w:val="auto"/>
        </w:rPr>
      </w:pPr>
    </w:p>
    <w:p>
      <w:pPr>
        <w:ind w:left="120" w:right="200" w:firstLine="518"/>
        <w:spacing w:after="0" w:line="241" w:lineRule="auto"/>
        <w:rPr>
          <w:sz w:val="20"/>
          <w:szCs w:val="20"/>
          <w:color w:val="auto"/>
        </w:rPr>
      </w:pPr>
      <w:r>
        <w:rPr>
          <w:rFonts w:ascii="Calibri" w:cs="Calibri" w:eastAsia="Calibri" w:hAnsi="Calibri"/>
          <w:sz w:val="20"/>
          <w:szCs w:val="20"/>
          <w:color w:val="auto"/>
        </w:rPr>
        <w:t>SECTION 4.10. NOTICE TO BANK. Promptly (but in no event more than five (5) days) afer Borrower’s knowledge of the occurrence of each such event or mater, but notwithstanding the foregoing in no event more than one (1) business day afer Borrower’s knowledge of the occurrence of each such event or mater described below with respect to Sanctons, Ant-Money Laundering Laws, and Ant-Corrupton Laws, give writen notce to Bank in reasonable detail of: (a) the occurrence of any Event of Default, or any conditon, event or act which with the giving of notce or the passage of tme or both would consttute an Event of Default; (b) any change in the name or the organizatonal structure of Borrower or any of its subsidiaries, including, by illustraton, merger, conversion or division; (c) the occurrence and nature of any Reportable Event or Prohibited Transacton, each as defined in ERISA, or any funding deficiency with respect to any Plan; (d) any terminaton or cancellaton of any insurance policy which Borrower or any of its subsidiaries is required to maintain, or any uninsured or partally uninsured loss through liability or property damage, or through fire, thef or any other cause aﬀectng the property of Borrower or any of its subsidiaries having a replacement value in excess of $1,000,000 in the aggregate; or (e) any breach of any covenant contained herein related to Sanctons, Ant-Money Laundering Laws, and Ant-Corrupton Laws or Borrower’s inability to make the representatons and warrantes contained herein related to Sanctons, Ant-Money Laundering Laws, and Ant-Corrupton Laws on any date, or the failure of any representatons and warrantes contained herein related to Sanctons, Ant-Money Laundering Laws, and Ant-Corrupton Laws to be true and correct in all respects on or as of any date.</w:t>
      </w:r>
    </w:p>
    <w:p>
      <w:pPr>
        <w:spacing w:after="0" w:line="170" w:lineRule="exact"/>
        <w:rPr>
          <w:sz w:val="20"/>
          <w:szCs w:val="20"/>
          <w:color w:val="auto"/>
        </w:rPr>
      </w:pPr>
    </w:p>
    <w:p>
      <w:pPr>
        <w:ind w:left="120" w:right="460" w:firstLine="518"/>
        <w:spacing w:after="0"/>
        <w:rPr>
          <w:sz w:val="20"/>
          <w:szCs w:val="20"/>
          <w:color w:val="auto"/>
        </w:rPr>
      </w:pPr>
      <w:r>
        <w:rPr>
          <w:rFonts w:ascii="Calibri" w:cs="Calibri" w:eastAsia="Calibri" w:hAnsi="Calibri"/>
          <w:sz w:val="20"/>
          <w:szCs w:val="20"/>
          <w:color w:val="auto"/>
        </w:rPr>
        <w:t>SECTION 4.11. SUBSIDIARIES. All direct or indirect subsidiaries of Borrower are, as of the date hereof, and will at all tmes contnue to be, wholly-owned or majority-owned (directly or indirectly) by Borrower, as applicable, and all such wholly-owned subsidiaries that are domestc</w:t>
      </w:r>
    </w:p>
    <w:p>
      <w:pPr>
        <w:sectPr>
          <w:pgSz w:w="11900" w:h="16838" w:orient="portrait"/>
          <w:cols w:equalWidth="0" w:num="1">
            <w:col w:w="11120"/>
          </w:cols>
          <w:pgMar w:left="320" w:top="1440" w:right="459" w:bottom="1440" w:gutter="0" w:footer="0" w:header="0"/>
        </w:sectPr>
      </w:pPr>
    </w:p>
    <w:bookmarkStart w:id="120" w:name="page121"/>
    <w:bookmarkEnd w:id="120"/>
    <w:p>
      <w:pPr>
        <w:spacing w:after="0" w:line="107" w:lineRule="exact"/>
        <w:rPr>
          <w:sz w:val="20"/>
          <w:szCs w:val="20"/>
          <w:color w:val="auto"/>
        </w:rPr>
      </w:pPr>
    </w:p>
    <w:p>
      <w:pPr>
        <w:ind w:right="160"/>
        <w:spacing w:after="0"/>
        <w:rPr>
          <w:sz w:val="20"/>
          <w:szCs w:val="20"/>
          <w:color w:val="auto"/>
        </w:rPr>
      </w:pPr>
      <w:r>
        <w:rPr>
          <w:rFonts w:ascii="Calibri" w:cs="Calibri" w:eastAsia="Calibri" w:hAnsi="Calibri"/>
          <w:sz w:val="20"/>
          <w:szCs w:val="20"/>
          <w:color w:val="auto"/>
        </w:rPr>
        <w:t>subsidiaries of Borrower shall at all tmes be guarantors of the obligatons of Borrower hereunder and under the other Loan Documents (as referenced in Secton 1.5) and grantors of first priority security interests and liens on the assets of such Guarantors (as referenced in Secton 1.4).</w:t>
      </w:r>
    </w:p>
    <w:p>
      <w:pPr>
        <w:spacing w:after="0" w:line="159" w:lineRule="exact"/>
        <w:rPr>
          <w:sz w:val="20"/>
          <w:szCs w:val="20"/>
          <w:color w:val="auto"/>
        </w:rPr>
      </w:pPr>
    </w:p>
    <w:p>
      <w:pPr>
        <w:ind w:right="100" w:firstLine="518"/>
        <w:spacing w:after="0" w:line="239" w:lineRule="auto"/>
        <w:rPr>
          <w:sz w:val="20"/>
          <w:szCs w:val="20"/>
          <w:color w:val="auto"/>
        </w:rPr>
      </w:pPr>
      <w:r>
        <w:rPr>
          <w:rFonts w:ascii="Calibri" w:cs="Calibri" w:eastAsia="Calibri" w:hAnsi="Calibri"/>
          <w:sz w:val="20"/>
          <w:szCs w:val="20"/>
          <w:color w:val="auto"/>
        </w:rPr>
        <w:t xml:space="preserve">SECTION 4.12. BANK ACCOUNTS. Maintain the principal domestc deposit accounts and other traditonal banking relatonships of Borrower and its subsidiaries with Bank (for the purposes of clarity, Bank acknowledges that Borrower may maintain non-principal domestc deposit accounts and relatonships with one or more other domestc banks). Set forth on </w:t>
      </w:r>
      <w:r>
        <w:rPr>
          <w:rFonts w:ascii="Calibri" w:cs="Calibri" w:eastAsia="Calibri" w:hAnsi="Calibri"/>
          <w:sz w:val="20"/>
          <w:szCs w:val="20"/>
          <w:u w:val="single" w:color="auto"/>
          <w:color w:val="auto"/>
        </w:rPr>
        <w:t>Schedule 4.12</w:t>
      </w:r>
      <w:r>
        <w:rPr>
          <w:rFonts w:ascii="Calibri" w:cs="Calibri" w:eastAsia="Calibri" w:hAnsi="Calibri"/>
          <w:sz w:val="20"/>
          <w:szCs w:val="20"/>
          <w:color w:val="auto"/>
        </w:rPr>
        <w:t xml:space="preserve"> a list of all domestc and foreign deposit accounts maintained by Borrower or any of its subsidiaries with respect to which, in the case of any such account, the relevant account holder maintains on an average annual balance therein of $100,000 or more as of the date hereof.</w:t>
      </w:r>
    </w:p>
    <w:p>
      <w:pPr>
        <w:spacing w:after="0" w:line="161" w:lineRule="exact"/>
        <w:rPr>
          <w:sz w:val="20"/>
          <w:szCs w:val="20"/>
          <w:color w:val="auto"/>
        </w:rPr>
      </w:pPr>
    </w:p>
    <w:p>
      <w:pPr>
        <w:ind w:right="60" w:firstLine="518"/>
        <w:spacing w:after="0" w:line="243" w:lineRule="auto"/>
        <w:rPr>
          <w:sz w:val="20"/>
          <w:szCs w:val="20"/>
          <w:color w:val="auto"/>
        </w:rPr>
      </w:pPr>
      <w:r>
        <w:rPr>
          <w:rFonts w:ascii="Calibri" w:cs="Calibri" w:eastAsia="Calibri" w:hAnsi="Calibri"/>
          <w:sz w:val="20"/>
          <w:szCs w:val="20"/>
          <w:color w:val="auto"/>
        </w:rPr>
        <w:t>SECTION 4.13. VISITS AND INSPECTIONS. Borrower shall, and it shall cause its subsidiaries to: permit representatves of the Bank, from tme to tme upon prior reasonable notce and at such tmes during normal business hours, to visit and inspect its propertes (including the Collateral under the security agreement between the partes hereto dated the date hereof); inspect, audit and make extracts from its books, records and files, including, but not limited to, management leters prepared by independent accountants; and discuss with its principal oﬃcers, and its independent accountants, its business, assets, liabilites, financial conditon, results of operatons and business prospects, in each case, so long as the foregoing does not interfere with the business of Borrower in any material respect. Upon the occurrence and during the contnuance of an Event of Default, the Bank may do any of the foregoing at any tme without advance notce.</w:t>
      </w:r>
    </w:p>
    <w:p>
      <w:pPr>
        <w:spacing w:after="0" w:line="132" w:lineRule="exact"/>
        <w:rPr>
          <w:sz w:val="20"/>
          <w:szCs w:val="20"/>
          <w:color w:val="auto"/>
        </w:rPr>
      </w:pPr>
    </w:p>
    <w:p>
      <w:pPr>
        <w:ind w:left="520"/>
        <w:spacing w:after="0"/>
        <w:rPr>
          <w:sz w:val="20"/>
          <w:szCs w:val="20"/>
          <w:color w:val="auto"/>
        </w:rPr>
      </w:pPr>
      <w:r>
        <w:rPr>
          <w:rFonts w:ascii="Calibri" w:cs="Calibri" w:eastAsia="Calibri" w:hAnsi="Calibri"/>
          <w:sz w:val="20"/>
          <w:szCs w:val="20"/>
          <w:color w:val="auto"/>
        </w:rPr>
        <w:t>SECTION 4.14. CONDUCT OF BUSINESS AND MAINTENANCE OF EXISTENCE. Borrower shall, and</w:t>
      </w:r>
    </w:p>
    <w:p>
      <w:pPr>
        <w:spacing w:after="0" w:line="22"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Borrower shall cause its subsidiaries to, at all tmes contnue to engage in the business of the same general type as now conducted by it on the date hereof, and preserve, renew and keep in full force and eﬀect its corporate or other formatve existence in good standing.</w:t>
      </w:r>
    </w:p>
    <w:p>
      <w:pPr>
        <w:spacing w:after="0" w:line="145" w:lineRule="exact"/>
        <w:rPr>
          <w:sz w:val="20"/>
          <w:szCs w:val="20"/>
          <w:color w:val="auto"/>
        </w:rPr>
      </w:pPr>
    </w:p>
    <w:p>
      <w:pPr>
        <w:ind w:right="80" w:firstLine="518"/>
        <w:spacing w:after="0" w:line="241" w:lineRule="auto"/>
        <w:rPr>
          <w:sz w:val="20"/>
          <w:szCs w:val="20"/>
          <w:color w:val="auto"/>
        </w:rPr>
      </w:pPr>
      <w:r>
        <w:rPr>
          <w:rFonts w:ascii="Calibri" w:cs="Calibri" w:eastAsia="Calibri" w:hAnsi="Calibri"/>
          <w:sz w:val="20"/>
          <w:szCs w:val="20"/>
          <w:color w:val="auto"/>
        </w:rPr>
        <w:t>SECTION 4.15. BENEFICIAL OWNERSHIP INFORMATION. Promptly following any request therefor, Borrower shall provide informaton and documentaton reasonably requested by Bank (including a Beneficial Ownership Certficaton) for purposes of compliance with applicable “know your customer” requirements under the PATRIOT Act, the Beneficial Ownership Regulaton or other applicable Ant-Money Laundering Laws. “Beneficial Ownership Regulaton” shall mean 31 C.F.R. §1010.230. “Beneficial Ownership Certficaton” shall mean a certficaton regarding beneficial ownership required by the Beneficial Ownership Regulaton, which certficaton shall be substantally similar in form and substance to the form of Certficaton Regarding Beneficial Owners of Legal Entty Customers published jointly, in May 2018, by the Loan Syndicatons and Trading Associaton and Securites Industry and Financial Markets Associaton.</w:t>
      </w: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u w:val="single" w:color="auto"/>
          <w:color w:val="auto"/>
        </w:rPr>
        <w:t>ARTICLE V</w:t>
      </w:r>
    </w:p>
    <w:p>
      <w:pPr>
        <w:spacing w:after="0" w:line="161"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u w:val="single" w:color="auto"/>
          <w:color w:val="auto"/>
        </w:rPr>
        <w:t>NEGATIVE COVENANTS</w:t>
      </w:r>
    </w:p>
    <w:p>
      <w:pPr>
        <w:spacing w:after="0" w:line="9" w:lineRule="exact"/>
        <w:rPr>
          <w:sz w:val="20"/>
          <w:szCs w:val="20"/>
          <w:color w:val="auto"/>
        </w:rPr>
      </w:pPr>
    </w:p>
    <w:p>
      <w:pPr>
        <w:ind w:right="320" w:firstLine="518"/>
        <w:spacing w:after="0"/>
        <w:rPr>
          <w:sz w:val="20"/>
          <w:szCs w:val="20"/>
          <w:color w:val="auto"/>
        </w:rPr>
      </w:pPr>
      <w:r>
        <w:rPr>
          <w:rFonts w:ascii="Calibri" w:cs="Calibri" w:eastAsia="Calibri" w:hAnsi="Calibri"/>
          <w:sz w:val="20"/>
          <w:szCs w:val="20"/>
          <w:color w:val="auto"/>
        </w:rPr>
        <w:t xml:space="preserve">Borrower further covenants that so long as Bank remains commited to extend credit to Borrower pursuant hereto, or any liabilites (whether direct or contngent, liquidated or unliquidated) of Borrower to Bank under any of the Loan Documents remain outstanding, and untl payment in full of all obligatons of Borrower subject hereto, Borrower will not, and will cause its subsidiaries </w:t>
      </w:r>
      <w:r>
        <w:rPr>
          <w:rFonts w:ascii="Calibri" w:cs="Calibri" w:eastAsia="Calibri" w:hAnsi="Calibri"/>
          <w:sz w:val="20"/>
          <w:szCs w:val="20"/>
          <w:u w:val="single" w:color="auto"/>
          <w:color w:val="0000FF"/>
        </w:rPr>
        <w:t>(for all purposes of/under this Agreement, the words “subsidiary” and “subsidiaries” shall mean and include</w:t>
      </w:r>
    </w:p>
    <w:p>
      <w:pPr>
        <w:sectPr>
          <w:pgSz w:w="11900" w:h="16838" w:orient="portrait"/>
          <w:cols w:equalWidth="0" w:num="1">
            <w:col w:w="11080"/>
          </w:cols>
          <w:pgMar w:left="440" w:top="1440" w:right="379" w:bottom="1440" w:gutter="0" w:footer="0" w:header="0"/>
        </w:sectPr>
      </w:pPr>
    </w:p>
    <w:bookmarkStart w:id="121" w:name="page122"/>
    <w:bookmarkEnd w:id="121"/>
    <w:p>
      <w:pPr>
        <w:ind w:left="120"/>
        <w:spacing w:after="0"/>
        <w:rPr>
          <w:sz w:val="20"/>
          <w:szCs w:val="20"/>
          <w:color w:val="auto"/>
        </w:rPr>
      </w:pPr>
      <w:r>
        <w:rPr>
          <w:rFonts w:ascii="Calibri" w:cs="Calibri" w:eastAsia="Calibri" w:hAnsi="Calibri"/>
          <w:sz w:val="20"/>
          <w:szCs w:val="20"/>
          <w:u w:val="single" w:color="auto"/>
          <w:color w:val="0000FF"/>
        </w:rPr>
        <w:t>any direct or indirect subsidiary or subsidiaries, respectvely)</w:t>
      </w:r>
      <w:r>
        <w:rPr>
          <w:rFonts w:ascii="Calibri" w:cs="Calibri" w:eastAsia="Calibri" w:hAnsi="Calibri"/>
          <w:sz w:val="20"/>
          <w:szCs w:val="20"/>
          <w:color w:val="0000FF"/>
        </w:rPr>
        <w:t xml:space="preserve"> </w:t>
      </w:r>
      <w:r>
        <w:rPr>
          <w:rFonts w:ascii="Calibri" w:cs="Calibri" w:eastAsia="Calibri" w:hAnsi="Calibri"/>
          <w:sz w:val="20"/>
          <w:szCs w:val="20"/>
          <w:color w:val="000000"/>
        </w:rPr>
        <w:t>not to, without Bank's prior writen consent:</w:t>
      </w:r>
    </w:p>
    <w:p>
      <w:pPr>
        <w:spacing w:after="0" w:line="147" w:lineRule="exact"/>
        <w:rPr>
          <w:sz w:val="20"/>
          <w:szCs w:val="20"/>
          <w:color w:val="auto"/>
        </w:rPr>
      </w:pPr>
    </w:p>
    <w:p>
      <w:pPr>
        <w:ind w:left="640"/>
        <w:spacing w:after="0"/>
        <w:tabs>
          <w:tab w:leader="none" w:pos="1860" w:val="left"/>
        </w:tabs>
        <w:rPr>
          <w:sz w:val="20"/>
          <w:szCs w:val="20"/>
          <w:color w:val="auto"/>
        </w:rPr>
      </w:pPr>
      <w:r>
        <w:rPr>
          <w:rFonts w:ascii="Calibri" w:cs="Calibri" w:eastAsia="Calibri" w:hAnsi="Calibri"/>
          <w:sz w:val="20"/>
          <w:szCs w:val="20"/>
          <w:color w:val="auto"/>
        </w:rPr>
        <w:t>SECTION 5.1.</w:t>
        <w:tab/>
        <w:t>USE OF FUNDS. SOURCES OF REPAYMENT AND COLLATERAL.</w:t>
      </w:r>
    </w:p>
    <w:p>
      <w:pPr>
        <w:spacing w:after="0" w:line="171" w:lineRule="exact"/>
        <w:rPr>
          <w:sz w:val="20"/>
          <w:szCs w:val="20"/>
          <w:color w:val="auto"/>
        </w:rPr>
      </w:pPr>
    </w:p>
    <w:p>
      <w:pPr>
        <w:ind w:right="80" w:firstLine="656"/>
        <w:spacing w:after="0" w:line="236" w:lineRule="auto"/>
        <w:tabs>
          <w:tab w:leader="none" w:pos="914" w:val="left"/>
        </w:tabs>
        <w:numPr>
          <w:ilvl w:val="0"/>
          <w:numId w:val="59"/>
        </w:numPr>
        <w:rPr>
          <w:rFonts w:ascii="Calibri" w:cs="Calibri" w:eastAsia="Calibri" w:hAnsi="Calibri"/>
          <w:sz w:val="20"/>
          <w:szCs w:val="20"/>
          <w:color w:val="auto"/>
        </w:rPr>
      </w:pPr>
      <w:r>
        <w:rPr>
          <w:rFonts w:ascii="Calibri" w:cs="Calibri" w:eastAsia="Calibri" w:hAnsi="Calibri"/>
          <w:sz w:val="20"/>
          <w:szCs w:val="20"/>
          <w:color w:val="auto"/>
        </w:rPr>
        <w:t>Use, or permit any member of the Borrowing Group to use, any of the proceeds of any credit extended hereunder except for the purposes stated in Artcle I hereof, or directly or indirectly use any such proceeds to fund, finance or facilitate any actvites, business or transactons: (i) that are prohibited by Sanctons; (ii) that would be prohibited by Sanctons if conducted by Bank or any of</w:t>
      </w:r>
    </w:p>
    <w:p>
      <w:pPr>
        <w:spacing w:after="0" w:line="22" w:lineRule="exact"/>
        <w:rPr>
          <w:rFonts w:ascii="Calibri" w:cs="Calibri" w:eastAsia="Calibri" w:hAnsi="Calibri"/>
          <w:sz w:val="20"/>
          <w:szCs w:val="20"/>
          <w:color w:val="auto"/>
        </w:rPr>
      </w:pPr>
    </w:p>
    <w:p>
      <w:pPr>
        <w:spacing w:after="0" w:line="236" w:lineRule="auto"/>
        <w:rPr>
          <w:rFonts w:ascii="Calibri" w:cs="Calibri" w:eastAsia="Calibri" w:hAnsi="Calibri"/>
          <w:sz w:val="20"/>
          <w:szCs w:val="20"/>
          <w:color w:val="auto"/>
        </w:rPr>
      </w:pPr>
      <w:r>
        <w:rPr>
          <w:rFonts w:ascii="Calibri" w:cs="Calibri" w:eastAsia="Calibri" w:hAnsi="Calibri"/>
          <w:sz w:val="20"/>
          <w:szCs w:val="20"/>
          <w:color w:val="auto"/>
        </w:rPr>
        <w:t>Bank’s aﬃliates; (iii) that would be prohibited by any Ant-Money Laundering Laws or Ant-Corrupton Laws; or (iv) for purchasing or carrying margin stock (within the meaning of Regulaton T, U or X of the Board of Governors of the Federal Reserve System of the United States (the “FRB”)) or for any purpose which violates the provisions of Regulaton T, U or X of the FRB (if requested by the Bank,</w:t>
      </w:r>
    </w:p>
    <w:p>
      <w:pPr>
        <w:spacing w:after="0" w:line="22" w:lineRule="exact"/>
        <w:rPr>
          <w:rFonts w:ascii="Calibri" w:cs="Calibri" w:eastAsia="Calibri" w:hAnsi="Calibri"/>
          <w:sz w:val="20"/>
          <w:szCs w:val="20"/>
          <w:color w:val="auto"/>
        </w:rPr>
      </w:pPr>
    </w:p>
    <w:p>
      <w:pPr>
        <w:ind w:right="10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Borrower shall promptly furnish to the Bank a statement in conformity with the requirements of Form G-3 or Form U-1, as applicable, under Regulaton U of the FRB).</w:t>
      </w:r>
    </w:p>
    <w:p>
      <w:pPr>
        <w:spacing w:after="0" w:line="158" w:lineRule="exact"/>
        <w:rPr>
          <w:rFonts w:ascii="Calibri" w:cs="Calibri" w:eastAsia="Calibri" w:hAnsi="Calibri"/>
          <w:sz w:val="20"/>
          <w:szCs w:val="20"/>
          <w:color w:val="auto"/>
        </w:rPr>
      </w:pPr>
    </w:p>
    <w:p>
      <w:pPr>
        <w:ind w:right="120" w:firstLine="656"/>
        <w:spacing w:after="0" w:line="236" w:lineRule="auto"/>
        <w:tabs>
          <w:tab w:leader="none" w:pos="923" w:val="left"/>
        </w:tabs>
        <w:numPr>
          <w:ilvl w:val="0"/>
          <w:numId w:val="59"/>
        </w:numPr>
        <w:rPr>
          <w:rFonts w:ascii="Calibri" w:cs="Calibri" w:eastAsia="Calibri" w:hAnsi="Calibri"/>
          <w:sz w:val="20"/>
          <w:szCs w:val="20"/>
          <w:color w:val="auto"/>
        </w:rPr>
      </w:pPr>
      <w:r>
        <w:rPr>
          <w:rFonts w:ascii="Calibri" w:cs="Calibri" w:eastAsia="Calibri" w:hAnsi="Calibri"/>
          <w:sz w:val="20"/>
          <w:szCs w:val="20"/>
          <w:color w:val="auto"/>
        </w:rPr>
        <w:t>Fund any repayment of the obligatons hereunder or under any other Loan Document with proceeds, or provide any property as collateral for any such obligatons, or permit any third party to provide any property as collateral for any such obligatons, that is directly or indirectly derived from any transacton or actvity that is prohibited by any Sanctons, Ant-Money Laundering Laws</w:t>
      </w:r>
    </w:p>
    <w:p>
      <w:pPr>
        <w:spacing w:after="0" w:line="22" w:lineRule="exact"/>
        <w:rPr>
          <w:rFonts w:ascii="Calibri" w:cs="Calibri" w:eastAsia="Calibri" w:hAnsi="Calibri"/>
          <w:sz w:val="20"/>
          <w:szCs w:val="20"/>
          <w:color w:val="auto"/>
        </w:rPr>
      </w:pPr>
    </w:p>
    <w:p>
      <w:pPr>
        <w:ind w:right="8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or Ant- Corrupton Laws, or that could otherwise cause Bank or any of Bank’s aﬃliates to be in violaton of any Sanctons, Ant-Money Laundering Laws or Ant-Corrupton Laws.</w:t>
      </w:r>
    </w:p>
    <w:p>
      <w:pPr>
        <w:spacing w:after="0" w:line="284" w:lineRule="exact"/>
        <w:rPr>
          <w:sz w:val="20"/>
          <w:szCs w:val="20"/>
          <w:color w:val="auto"/>
        </w:rPr>
      </w:pPr>
    </w:p>
    <w:p>
      <w:pPr>
        <w:ind w:left="640"/>
        <w:spacing w:after="0"/>
        <w:tabs>
          <w:tab w:leader="none" w:pos="1860" w:val="left"/>
        </w:tabs>
        <w:rPr>
          <w:sz w:val="20"/>
          <w:szCs w:val="20"/>
          <w:color w:val="auto"/>
        </w:rPr>
      </w:pPr>
      <w:r>
        <w:rPr>
          <w:rFonts w:ascii="Calibri" w:cs="Calibri" w:eastAsia="Calibri" w:hAnsi="Calibri"/>
          <w:sz w:val="20"/>
          <w:szCs w:val="20"/>
          <w:color w:val="auto"/>
        </w:rPr>
        <w:t>SECTION 5.2.</w:t>
        <w:tab/>
        <w:t>RESERVED.</w:t>
      </w:r>
    </w:p>
    <w:p>
      <w:pPr>
        <w:spacing w:after="0" w:line="161" w:lineRule="exact"/>
        <w:rPr>
          <w:sz w:val="20"/>
          <w:szCs w:val="20"/>
          <w:color w:val="auto"/>
        </w:rPr>
      </w:pPr>
    </w:p>
    <w:p>
      <w:pPr>
        <w:ind w:left="640"/>
        <w:spacing w:after="0"/>
        <w:tabs>
          <w:tab w:leader="none" w:pos="1860" w:val="left"/>
        </w:tabs>
        <w:rPr>
          <w:sz w:val="20"/>
          <w:szCs w:val="20"/>
          <w:color w:val="auto"/>
        </w:rPr>
      </w:pPr>
      <w:r>
        <w:rPr>
          <w:rFonts w:ascii="Calibri" w:cs="Calibri" w:eastAsia="Calibri" w:hAnsi="Calibri"/>
          <w:sz w:val="20"/>
          <w:szCs w:val="20"/>
          <w:color w:val="auto"/>
        </w:rPr>
        <w:t>SECTION 5.3.</w:t>
        <w:tab/>
        <w:t>RESERVED.</w:t>
      </w:r>
    </w:p>
    <w:p>
      <w:pPr>
        <w:spacing w:after="0" w:line="157" w:lineRule="exact"/>
        <w:rPr>
          <w:sz w:val="20"/>
          <w:szCs w:val="20"/>
          <w:color w:val="auto"/>
        </w:rPr>
      </w:pPr>
    </w:p>
    <w:p>
      <w:pPr>
        <w:ind w:left="120" w:firstLine="518"/>
        <w:spacing w:after="0" w:line="243" w:lineRule="auto"/>
        <w:rPr>
          <w:sz w:val="20"/>
          <w:szCs w:val="20"/>
          <w:color w:val="auto"/>
        </w:rPr>
      </w:pPr>
      <w:r>
        <w:rPr>
          <w:rFonts w:ascii="Calibri" w:cs="Calibri" w:eastAsia="Calibri" w:hAnsi="Calibri"/>
          <w:sz w:val="20"/>
          <w:szCs w:val="20"/>
          <w:color w:val="auto"/>
        </w:rPr>
        <w:t xml:space="preserve">SECTION 5.4. OTHER INDEBTEDNESS. Create, incur, assume or permit to exist any indebtedness or liabilites resultng from borrowings, loans or advances, whether secured or unsecured, matured or unmatured, liquidated or unliquidated, joint or several (the foregoing items, hereinafer “indebtedness” or “liabilites”), except: (a) the liabilites of Borrower to Bank; (b) any other liabilites of Borrower existng as of the date hereof and disclosed on (and all of which Borrower represents are disclosed on) </w:t>
      </w:r>
      <w:r>
        <w:rPr>
          <w:rFonts w:ascii="Calibri" w:cs="Calibri" w:eastAsia="Calibri" w:hAnsi="Calibri"/>
          <w:sz w:val="20"/>
          <w:szCs w:val="20"/>
          <w:u w:val="single" w:color="auto"/>
          <w:color w:val="auto"/>
        </w:rPr>
        <w:t>Schedule 5.4</w:t>
      </w:r>
      <w:r>
        <w:rPr>
          <w:rFonts w:ascii="Calibri" w:cs="Calibri" w:eastAsia="Calibri" w:hAnsi="Calibri"/>
          <w:sz w:val="20"/>
          <w:szCs w:val="20"/>
          <w:color w:val="auto"/>
        </w:rPr>
        <w:t>, and any extensions, renewals, refinancing or replacements thereof, provided that the amount of original indebtedness is not increased, that any liens securing such indebtedness are Permited Liens and are not extended to additonal property, and that the terms of such indebtedness are no less favorable to the obligor than the original terms relatng to such indebtedness; (c) purchase money indebtedness (including capitalized leases) for the acquisiton of fixed assets or equipment, provided that such purchase money indebtedness shall not exceed $1,000,000 at any tme outstanding; (d) unsecured indebtedness issued under the Small Business Act of 1953, as amended by the Coronavirus Aid, Relief, and Economic Security Act of 2020 or any similar state or local legislaton, (e) unsecured indebtedness, provided that the aggregate amount of such unsecured indebtedness shall not exceed $20,000,000 at any tme outstanding and that such unsecured indebtedness in excess of $10,000,000 shall be on terms and conditons satsfactory to Bank in its sole discreton, (f) secured but subordinated indebtedness (including secured indebtedness incurred in connecton with any Permited Acquisiton (as such term is defined in Secton 5.5) which is subordinated on terms and conditons satsfactory to Bank in its sole discreton, provided that the aggregate of such subordinated indebtedness shall not exceed $10,000,000 at any tme outstanding; and further provided, however, that notwithstanding anything contained herein to the contrary, in respect of any of the indebtedness which is the subject of any of</w:t>
      </w:r>
    </w:p>
    <w:p>
      <w:pPr>
        <w:sectPr>
          <w:pgSz w:w="11900" w:h="16838" w:orient="portrait"/>
          <w:cols w:equalWidth="0" w:num="1">
            <w:col w:w="11040"/>
          </w:cols>
          <w:pgMar w:left="320" w:top="1401" w:right="539" w:bottom="1440" w:gutter="0" w:footer="0" w:header="0"/>
        </w:sectPr>
      </w:pPr>
    </w:p>
    <w:bookmarkStart w:id="122" w:name="page123"/>
    <w:bookmarkEnd w:id="122"/>
    <w:p>
      <w:pPr>
        <w:spacing w:after="0" w:line="134" w:lineRule="exact"/>
        <w:rPr>
          <w:sz w:val="20"/>
          <w:szCs w:val="20"/>
          <w:color w:val="auto"/>
        </w:rPr>
      </w:pPr>
    </w:p>
    <w:p>
      <w:pPr>
        <w:ind w:right="160"/>
        <w:spacing w:after="0"/>
        <w:rPr>
          <w:sz w:val="20"/>
          <w:szCs w:val="20"/>
          <w:color w:val="auto"/>
        </w:rPr>
      </w:pPr>
      <w:r>
        <w:rPr>
          <w:rFonts w:ascii="Calibri" w:cs="Calibri" w:eastAsia="Calibri" w:hAnsi="Calibri"/>
          <w:sz w:val="20"/>
          <w:szCs w:val="20"/>
          <w:color w:val="auto"/>
        </w:rPr>
        <w:t>clauses (d) through (f), individually or in the aggregate, no such indebtedness shall be permited to the extent that, at the tme of incurrence of the same or afer giving eﬀect to the same, there would be a breach or violaton of any of the provisions of Secton 4.9 or there would be an (or there exists an) Event of Default, and (g) indebtedness of Borrower to any of its subsidiaries and indebtedness of any of its subsidiaries to Borrower to the extent permited under Secton 5.7.</w:t>
      </w:r>
    </w:p>
    <w:p>
      <w:pPr>
        <w:spacing w:after="0" w:line="148" w:lineRule="exact"/>
        <w:rPr>
          <w:sz w:val="20"/>
          <w:szCs w:val="20"/>
          <w:color w:val="auto"/>
        </w:rPr>
      </w:pPr>
    </w:p>
    <w:p>
      <w:pPr>
        <w:ind w:left="640"/>
        <w:spacing w:after="0"/>
        <w:tabs>
          <w:tab w:leader="none" w:pos="1880" w:val="left"/>
        </w:tabs>
        <w:rPr>
          <w:sz w:val="20"/>
          <w:szCs w:val="20"/>
          <w:color w:val="auto"/>
        </w:rPr>
      </w:pPr>
      <w:r>
        <w:rPr>
          <w:rFonts w:ascii="Calibri" w:cs="Calibri" w:eastAsia="Calibri" w:hAnsi="Calibri"/>
          <w:sz w:val="20"/>
          <w:szCs w:val="20"/>
          <w:color w:val="auto"/>
        </w:rPr>
        <w:t>SECTION 5.5.</w:t>
        <w:tab/>
        <w:t>MERGER, CONSOLIDATION, TRANSFER OF ASSETS. Except for Permited</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Acquisitons (as defined below), neither (a) merge into or consolidate with any other entty; nor (b) make any substantal change in</w:t>
      </w:r>
    </w:p>
    <w:p>
      <w:pPr>
        <w:spacing w:after="0" w:line="238" w:lineRule="auto"/>
        <w:rPr>
          <w:sz w:val="20"/>
          <w:szCs w:val="20"/>
          <w:color w:val="auto"/>
        </w:rPr>
      </w:pPr>
      <w:r>
        <w:rPr>
          <w:rFonts w:ascii="Calibri" w:cs="Calibri" w:eastAsia="Calibri" w:hAnsi="Calibri"/>
          <w:sz w:val="20"/>
          <w:szCs w:val="20"/>
          <w:color w:val="auto"/>
        </w:rPr>
        <w:t xml:space="preserve">the nature of </w:t>
      </w:r>
      <w:r>
        <w:rPr>
          <w:rFonts w:ascii="Calibri" w:cs="Calibri" w:eastAsia="Calibri" w:hAnsi="Calibri"/>
          <w:sz w:val="20"/>
          <w:szCs w:val="20"/>
          <w:color w:val="FF0000"/>
          <w:strike w:val="1"/>
        </w:rPr>
        <w:t>Borrower's</w:t>
      </w:r>
      <w:r>
        <w:rPr>
          <w:rFonts w:ascii="Calibri" w:cs="Calibri" w:eastAsia="Calibri" w:hAnsi="Calibri"/>
          <w:sz w:val="20"/>
          <w:szCs w:val="20"/>
          <w:u w:val="single" w:color="auto"/>
          <w:color w:val="0000FF"/>
        </w:rPr>
        <w:t>any such Person’s</w:t>
      </w:r>
      <w:r>
        <w:rPr>
          <w:rFonts w:ascii="Calibri" w:cs="Calibri" w:eastAsia="Calibri" w:hAnsi="Calibri"/>
          <w:sz w:val="20"/>
          <w:szCs w:val="20"/>
          <w:color w:val="auto"/>
        </w:rPr>
        <w:t xml:space="preserve"> business as conducted as of the date hereof; (c) acquire all or substantally all of the assets</w:t>
      </w:r>
    </w:p>
    <w:p>
      <w:pPr>
        <w:spacing w:after="0"/>
        <w:rPr>
          <w:sz w:val="20"/>
          <w:szCs w:val="20"/>
          <w:color w:val="auto"/>
        </w:rPr>
      </w:pPr>
      <w:r>
        <w:rPr>
          <w:rFonts w:ascii="Calibri" w:cs="Calibri" w:eastAsia="Calibri" w:hAnsi="Calibri"/>
          <w:sz w:val="20"/>
          <w:szCs w:val="20"/>
          <w:color w:val="auto"/>
        </w:rPr>
        <w:t xml:space="preserve">of any other person or entty; (d) sell, lease, transfer or otherwise dispose of </w:t>
      </w:r>
      <w:r>
        <w:rPr>
          <w:rFonts w:ascii="Calibri" w:cs="Calibri" w:eastAsia="Calibri" w:hAnsi="Calibri"/>
          <w:sz w:val="20"/>
          <w:szCs w:val="20"/>
          <w:u w:val="single" w:color="auto"/>
          <w:color w:val="0000FF"/>
        </w:rPr>
        <w:t>(each of the foregoing, a “Transfer”) (1)</w:t>
      </w:r>
      <w:r>
        <w:rPr>
          <w:rFonts w:ascii="Calibri" w:cs="Calibri" w:eastAsia="Calibri" w:hAnsi="Calibri"/>
          <w:sz w:val="20"/>
          <w:szCs w:val="20"/>
          <w:color w:val="auto"/>
        </w:rPr>
        <w:t xml:space="preserve"> all or a</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substantal or material porton of Borrower's </w:t>
      </w:r>
      <w:r>
        <w:rPr>
          <w:rFonts w:ascii="Calibri" w:cs="Calibri" w:eastAsia="Calibri" w:hAnsi="Calibri"/>
          <w:sz w:val="20"/>
          <w:szCs w:val="20"/>
          <w:color w:val="FF0000"/>
          <w:strike w:val="1"/>
        </w:rPr>
        <w:t>assets except in the ordinary course of its business</w:t>
      </w:r>
      <w:r>
        <w:rPr>
          <w:rFonts w:ascii="Calibri" w:cs="Calibri" w:eastAsia="Calibri" w:hAnsi="Calibri"/>
          <w:sz w:val="20"/>
          <w:szCs w:val="20"/>
          <w:u w:val="single" w:color="auto"/>
          <w:color w:val="0000FF"/>
        </w:rPr>
        <w:t>or any subsidiary’s assets, or (2) any</w:t>
      </w:r>
    </w:p>
    <w:p>
      <w:pPr>
        <w:spacing w:after="0" w:line="238" w:lineRule="auto"/>
        <w:rPr>
          <w:sz w:val="20"/>
          <w:szCs w:val="20"/>
          <w:color w:val="auto"/>
        </w:rPr>
      </w:pPr>
      <w:r>
        <w:rPr>
          <w:rFonts w:ascii="Calibri" w:cs="Calibri" w:eastAsia="Calibri" w:hAnsi="Calibri"/>
          <w:sz w:val="20"/>
          <w:szCs w:val="20"/>
          <w:u w:val="single" w:color="auto"/>
          <w:color w:val="0000FF"/>
        </w:rPr>
        <w:t xml:space="preserve">such Person’s material intellectual property, </w:t>
      </w:r>
      <w:r>
        <w:rPr>
          <w:rFonts w:ascii="Calibri" w:cs="Calibri" w:eastAsia="Calibri" w:hAnsi="Calibri"/>
          <w:sz w:val="20"/>
          <w:szCs w:val="20"/>
          <w:u w:val="single" w:color="auto"/>
          <w:color w:val="007F00"/>
        </w:rPr>
        <w:t>provided, however, that notwithstanding the foregoing to the contrary,</w:t>
      </w:r>
      <w:r>
        <w:rPr>
          <w:rFonts w:ascii="Calibri" w:cs="Calibri" w:eastAsia="Calibri" w:hAnsi="Calibri"/>
          <w:sz w:val="20"/>
          <w:szCs w:val="20"/>
          <w:u w:val="single" w:color="auto"/>
          <w:color w:val="0000FF"/>
        </w:rPr>
        <w:t xml:space="preserve"> except for direct</w:t>
      </w:r>
    </w:p>
    <w:p>
      <w:pPr>
        <w:spacing w:after="0"/>
        <w:rPr>
          <w:sz w:val="20"/>
          <w:szCs w:val="20"/>
          <w:color w:val="auto"/>
        </w:rPr>
      </w:pPr>
      <w:r>
        <w:rPr>
          <w:rFonts w:ascii="Calibri" w:cs="Calibri" w:eastAsia="Calibri" w:hAnsi="Calibri"/>
          <w:sz w:val="20"/>
          <w:szCs w:val="20"/>
          <w:u w:val="single" w:color="auto"/>
          <w:color w:val="0000FF"/>
        </w:rPr>
        <w:t>or indirect Transfers of any material intellectual property (which Transfers are not permited), (A) Borrower may Transfer its ownership</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0000FF"/>
        </w:rPr>
        <w:t>interests in foreign subsidiaries of Borrower, and (B) any such foreign subsidiaries may Transfer their respectve assets, to the extent</w:t>
      </w:r>
    </w:p>
    <w:p>
      <w:pPr>
        <w:spacing w:after="0" w:line="238" w:lineRule="auto"/>
        <w:rPr>
          <w:sz w:val="20"/>
          <w:szCs w:val="20"/>
          <w:color w:val="auto"/>
        </w:rPr>
      </w:pPr>
      <w:r>
        <w:rPr>
          <w:rFonts w:ascii="Calibri" w:cs="Calibri" w:eastAsia="Calibri" w:hAnsi="Calibri"/>
          <w:sz w:val="20"/>
          <w:szCs w:val="20"/>
          <w:u w:val="single" w:color="auto"/>
          <w:color w:val="0000FF"/>
        </w:rPr>
        <w:t>that the aggregate fair market value and selling price in respect of all such Transfers (in respect of all such enttes and all such assets</w:t>
      </w:r>
    </w:p>
    <w:p>
      <w:pPr>
        <w:spacing w:after="0"/>
        <w:rPr>
          <w:sz w:val="20"/>
          <w:szCs w:val="20"/>
          <w:color w:val="auto"/>
        </w:rPr>
      </w:pPr>
      <w:r>
        <w:rPr>
          <w:rFonts w:ascii="Calibri" w:cs="Calibri" w:eastAsia="Calibri" w:hAnsi="Calibri"/>
          <w:sz w:val="20"/>
          <w:szCs w:val="20"/>
          <w:u w:val="single" w:color="auto"/>
          <w:color w:val="0000FF"/>
        </w:rPr>
        <w:t>in the aggregate, inclusive of Transfers under clause (A) and under clause (B) above) during the term of the Line of Credit, when</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0000FF"/>
        </w:rPr>
        <w:t>aggregated with the the fair market value and selling price in respect of the Transfers which are the subject of the last paragraph of</w:t>
      </w:r>
    </w:p>
    <w:p>
      <w:pPr>
        <w:spacing w:after="0" w:line="238" w:lineRule="auto"/>
        <w:rPr>
          <w:sz w:val="20"/>
          <w:szCs w:val="20"/>
          <w:color w:val="auto"/>
        </w:rPr>
      </w:pPr>
      <w:r>
        <w:rPr>
          <w:rFonts w:ascii="Calibri" w:cs="Calibri" w:eastAsia="Calibri" w:hAnsi="Calibri"/>
          <w:sz w:val="20"/>
          <w:szCs w:val="20"/>
          <w:u w:val="single" w:color="auto"/>
          <w:color w:val="0000FF"/>
        </w:rPr>
        <w:t>this Secton 5.5, shall not exceed $25,000,000</w:t>
      </w:r>
      <w:r>
        <w:rPr>
          <w:rFonts w:ascii="Calibri" w:cs="Calibri" w:eastAsia="Calibri" w:hAnsi="Calibri"/>
          <w:sz w:val="20"/>
          <w:szCs w:val="20"/>
          <w:color w:val="000000"/>
        </w:rPr>
        <w:t>; or (e) accomplish any of the above by virtue of a division or similar transacton.</w:t>
      </w: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Permited Acquisiton</w:t>
      </w:r>
      <w:r>
        <w:rPr>
          <w:rFonts w:ascii="Calibri" w:cs="Calibri" w:eastAsia="Calibri" w:hAnsi="Calibri"/>
          <w:sz w:val="20"/>
          <w:szCs w:val="20"/>
          <w:color w:val="auto"/>
        </w:rPr>
        <w:t>” shall mean an acquisiton or any series of related acquisitons by Borrower or any of its subsidiaries (each a</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“Credit Party,” and collectvely, the “Credit Partes”) of (a) all or substantally all of the assets or a majority of the outstanding votng</w:t>
      </w:r>
    </w:p>
    <w:p>
      <w:pPr>
        <w:spacing w:after="0" w:line="238" w:lineRule="auto"/>
        <w:rPr>
          <w:sz w:val="20"/>
          <w:szCs w:val="20"/>
          <w:color w:val="auto"/>
        </w:rPr>
      </w:pPr>
      <w:r>
        <w:rPr>
          <w:rFonts w:ascii="Calibri" w:cs="Calibri" w:eastAsia="Calibri" w:hAnsi="Calibri"/>
          <w:sz w:val="20"/>
          <w:szCs w:val="20"/>
          <w:color w:val="auto"/>
        </w:rPr>
        <w:t>stock/equity interests or economic interests of a person or entty (“Person”), (b) a Person that is incorporated, formed or organized by</w:t>
      </w:r>
    </w:p>
    <w:p>
      <w:pPr>
        <w:spacing w:after="0"/>
        <w:rPr>
          <w:sz w:val="20"/>
          <w:szCs w:val="20"/>
          <w:color w:val="auto"/>
        </w:rPr>
      </w:pPr>
      <w:r>
        <w:rPr>
          <w:rFonts w:ascii="Calibri" w:cs="Calibri" w:eastAsia="Calibri" w:hAnsi="Calibri"/>
          <w:sz w:val="20"/>
          <w:szCs w:val="20"/>
          <w:color w:val="auto"/>
        </w:rPr>
        <w:t>a merger, amalgamaton or consolidaton or any other combinaton with such Person or (c) any division, line of business or other</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business unit of a Person (such Person or such division, line of business or other business unit of such Person shall be referred to</w:t>
      </w:r>
    </w:p>
    <w:p>
      <w:pPr>
        <w:spacing w:after="0" w:line="238" w:lineRule="auto"/>
        <w:rPr>
          <w:sz w:val="20"/>
          <w:szCs w:val="20"/>
          <w:color w:val="auto"/>
        </w:rPr>
      </w:pPr>
      <w:r>
        <w:rPr>
          <w:rFonts w:ascii="Calibri" w:cs="Calibri" w:eastAsia="Calibri" w:hAnsi="Calibri"/>
          <w:sz w:val="20"/>
          <w:szCs w:val="20"/>
          <w:color w:val="auto"/>
        </w:rPr>
        <w:t>herein as the “</w:t>
      </w:r>
      <w:r>
        <w:rPr>
          <w:rFonts w:ascii="Calibri" w:cs="Calibri" w:eastAsia="Calibri" w:hAnsi="Calibri"/>
          <w:sz w:val="20"/>
          <w:szCs w:val="20"/>
          <w:u w:val="single" w:color="auto"/>
          <w:color w:val="auto"/>
        </w:rPr>
        <w:t>Target</w:t>
      </w:r>
      <w:r>
        <w:rPr>
          <w:rFonts w:ascii="Calibri" w:cs="Calibri" w:eastAsia="Calibri" w:hAnsi="Calibri"/>
          <w:sz w:val="20"/>
          <w:szCs w:val="20"/>
          <w:color w:val="auto"/>
        </w:rPr>
        <w:t>”), in each case that is a type of business (or assets used in a type of business) permited to be engaged in by the</w:t>
      </w:r>
    </w:p>
    <w:p>
      <w:pPr>
        <w:spacing w:after="0"/>
        <w:rPr>
          <w:sz w:val="20"/>
          <w:szCs w:val="20"/>
          <w:color w:val="auto"/>
        </w:rPr>
      </w:pPr>
      <w:r>
        <w:rPr>
          <w:rFonts w:ascii="Calibri" w:cs="Calibri" w:eastAsia="Calibri" w:hAnsi="Calibri"/>
          <w:sz w:val="20"/>
          <w:szCs w:val="20"/>
          <w:color w:val="auto"/>
        </w:rPr>
        <w:t>Credit Partes and their Subsidiaries pursuant to Secton 4.14, in each case so long as:</w:t>
      </w:r>
    </w:p>
    <w:p>
      <w:pPr>
        <w:spacing w:after="0" w:line="147"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color w:val="auto"/>
        </w:rPr>
        <w:t>(i) no Default or Event of Default shall then exist or would exist immediately afer giving eﬀect</w:t>
      </w:r>
    </w:p>
    <w:p>
      <w:pPr>
        <w:ind w:left="640"/>
        <w:spacing w:after="0" w:line="238" w:lineRule="auto"/>
        <w:rPr>
          <w:sz w:val="20"/>
          <w:szCs w:val="20"/>
          <w:color w:val="auto"/>
        </w:rPr>
      </w:pPr>
      <w:r>
        <w:rPr>
          <w:rFonts w:ascii="Calibri" w:cs="Calibri" w:eastAsia="Calibri" w:hAnsi="Calibri"/>
          <w:sz w:val="20"/>
          <w:szCs w:val="20"/>
          <w:color w:val="auto"/>
        </w:rPr>
        <w:t>thereto;</w:t>
      </w:r>
    </w:p>
    <w:p>
      <w:pPr>
        <w:spacing w:after="0" w:line="148" w:lineRule="exact"/>
        <w:rPr>
          <w:sz w:val="20"/>
          <w:szCs w:val="20"/>
          <w:color w:val="auto"/>
        </w:rPr>
      </w:pPr>
    </w:p>
    <w:p>
      <w:pPr>
        <w:ind w:left="1880" w:hanging="264"/>
        <w:spacing w:after="0"/>
        <w:tabs>
          <w:tab w:leader="none" w:pos="1880"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Borrower shall demonstrate to the reasonable satsfacton of Bank that, afer giving eﬀect to the acquisiton on</w:t>
      </w:r>
    </w:p>
    <w:p>
      <w:pPr>
        <w:spacing w:after="0" w:line="22" w:lineRule="exact"/>
        <w:rPr>
          <w:rFonts w:ascii="Calibri" w:cs="Calibri" w:eastAsia="Calibri" w:hAnsi="Calibri"/>
          <w:sz w:val="20"/>
          <w:szCs w:val="20"/>
          <w:color w:val="auto"/>
        </w:rPr>
      </w:pPr>
    </w:p>
    <w:p>
      <w:pPr>
        <w:ind w:left="640" w:right="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 pro forma basis, Borrower is in compliance with each of the financial covenants set forth in Secton 4.9 (for the purposes of clarity, the Target’s accounts receivable and inventory (as determined and calculated in accordance with the parameters for the same set forth in Secton 4.9(d) shall also be included (on a pro forma basis as referenced above) in determining the Asset</w:t>
      </w:r>
    </w:p>
    <w:p>
      <w:pPr>
        <w:spacing w:after="0" w:line="22" w:lineRule="exact"/>
        <w:rPr>
          <w:rFonts w:ascii="Calibri" w:cs="Calibri" w:eastAsia="Calibri" w:hAnsi="Calibri"/>
          <w:sz w:val="20"/>
          <w:szCs w:val="20"/>
          <w:color w:val="auto"/>
        </w:rPr>
      </w:pPr>
    </w:p>
    <w:p>
      <w:pPr>
        <w:ind w:left="640" w:right="8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Coverage Rato), and the Target’s EBITDA shall also be included (on a pro forma basis as referenced above) in determining the Total Leverage Rato);</w:t>
      </w:r>
    </w:p>
    <w:p>
      <w:pPr>
        <w:spacing w:after="0" w:line="158" w:lineRule="exact"/>
        <w:rPr>
          <w:rFonts w:ascii="Calibri" w:cs="Calibri" w:eastAsia="Calibri" w:hAnsi="Calibri"/>
          <w:sz w:val="20"/>
          <w:szCs w:val="20"/>
          <w:color w:val="auto"/>
        </w:rPr>
      </w:pPr>
    </w:p>
    <w:p>
      <w:pPr>
        <w:ind w:left="640" w:right="100" w:firstLine="976"/>
        <w:spacing w:after="0"/>
        <w:tabs>
          <w:tab w:leader="none" w:pos="1920"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Bank shall have received (or shall receive in connecton with the closing of such acquisiton) a first priority perfected security interest in and lien on all property (including, without limitaton, equity interests) acquired with respect to the Target, subject to any Permited Priority Liens, and the Target, if a Person, shall have complied with Sectons 1.4 and 1.5;</w:t>
      </w:r>
    </w:p>
    <w:p>
      <w:pPr>
        <w:sectPr>
          <w:pgSz w:w="11900" w:h="16838" w:orient="portrait"/>
          <w:cols w:equalWidth="0" w:num="1">
            <w:col w:w="10980"/>
          </w:cols>
          <w:pgMar w:left="440" w:top="1440" w:right="479" w:bottom="1440" w:gutter="0" w:footer="0" w:header="0"/>
        </w:sectPr>
      </w:pPr>
    </w:p>
    <w:bookmarkStart w:id="123" w:name="page124"/>
    <w:bookmarkEnd w:id="123"/>
    <w:p>
      <w:pPr>
        <w:spacing w:after="0" w:line="120" w:lineRule="exact"/>
        <w:rPr>
          <w:sz w:val="20"/>
          <w:szCs w:val="20"/>
          <w:color w:val="auto"/>
        </w:rPr>
      </w:pPr>
    </w:p>
    <w:p>
      <w:pPr>
        <w:ind w:left="644" w:right="180" w:firstLine="975"/>
        <w:spacing w:after="0" w:line="236" w:lineRule="auto"/>
        <w:tabs>
          <w:tab w:leader="none" w:pos="1922"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 xml:space="preserve">Bank shall have received (A) a descripton of the material terms of such acquisiton, and (B) financial statements of the Target for its two most recent fiscal years and for any fiscal quarters ended within the fiscal year to date in form and substance reasonably satsfactory to Bank; </w:t>
      </w:r>
      <w:r>
        <w:rPr>
          <w:rFonts w:ascii="Calibri" w:cs="Calibri" w:eastAsia="Calibri" w:hAnsi="Calibri"/>
          <w:sz w:val="20"/>
          <w:szCs w:val="20"/>
          <w:u w:val="single" w:color="auto"/>
          <w:color w:val="0000FF"/>
        </w:rPr>
        <w:t>and</w:t>
      </w:r>
    </w:p>
    <w:p>
      <w:pPr>
        <w:spacing w:after="0" w:line="157" w:lineRule="exact"/>
        <w:rPr>
          <w:rFonts w:ascii="Calibri" w:cs="Calibri" w:eastAsia="Calibri" w:hAnsi="Calibri"/>
          <w:sz w:val="20"/>
          <w:szCs w:val="20"/>
          <w:color w:val="auto"/>
        </w:rPr>
      </w:pPr>
    </w:p>
    <w:p>
      <w:pPr>
        <w:ind w:left="644" w:right="380" w:firstLine="976"/>
        <w:spacing w:after="0" w:line="242" w:lineRule="auto"/>
        <w:tabs>
          <w:tab w:leader="none" w:pos="1876"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such acquisiton shall not be a “hostle” acquisiton and shall have been approved by the board of directors (or equivalent) and/or shareholders (or equivalent) of the applicable Credit Party and the Target</w:t>
      </w:r>
      <w:r>
        <w:rPr>
          <w:rFonts w:ascii="Calibri" w:cs="Calibri" w:eastAsia="Calibri" w:hAnsi="Calibri"/>
          <w:sz w:val="20"/>
          <w:szCs w:val="20"/>
          <w:color w:val="FF0000"/>
        </w:rPr>
        <w:t>;</w:t>
      </w:r>
      <w:r>
        <w:rPr>
          <w:rFonts w:ascii="Calibri" w:cs="Calibri" w:eastAsia="Calibri" w:hAnsi="Calibri"/>
          <w:sz w:val="20"/>
          <w:szCs w:val="20"/>
          <w:color w:val="0000FF"/>
        </w:rPr>
        <w:t>.</w:t>
      </w:r>
    </w:p>
    <w:p>
      <w:pPr>
        <w:spacing w:after="0" w:line="142" w:lineRule="exact"/>
        <w:rPr>
          <w:rFonts w:ascii="Calibri" w:cs="Calibri" w:eastAsia="Calibri" w:hAnsi="Calibri"/>
          <w:sz w:val="20"/>
          <w:szCs w:val="20"/>
          <w:color w:val="auto"/>
        </w:rPr>
      </w:pPr>
    </w:p>
    <w:p>
      <w:pPr>
        <w:ind w:left="644" w:right="920" w:firstLine="976"/>
        <w:spacing w:after="0" w:line="242" w:lineRule="auto"/>
        <w:tabs>
          <w:tab w:leader="none" w:pos="1923" w:val="left"/>
        </w:tabs>
        <w:numPr>
          <w:ilvl w:val="0"/>
          <w:numId w:val="61"/>
        </w:numPr>
        <w:rPr>
          <w:rFonts w:ascii="Calibri" w:cs="Calibri" w:eastAsia="Calibri" w:hAnsi="Calibri"/>
          <w:sz w:val="20"/>
          <w:szCs w:val="20"/>
          <w:color w:val="FF0000"/>
          <w:strike w:val="1"/>
        </w:rPr>
      </w:pPr>
      <w:r>
        <w:rPr>
          <w:rFonts w:ascii="Calibri" w:cs="Calibri" w:eastAsia="Calibri" w:hAnsi="Calibri"/>
          <w:sz w:val="20"/>
          <w:szCs w:val="20"/>
          <w:color w:val="FF0000"/>
          <w:strike w:val="1"/>
        </w:rPr>
        <w:t xml:space="preserve">afer giving eﬀect to such acquisiton, there shall be at least $10,000,000 of availability under, in the aggregate, </w:t>
      </w:r>
      <w:r>
        <w:rPr>
          <w:rFonts w:ascii="Calibri" w:cs="Calibri" w:eastAsia="Calibri" w:hAnsi="Calibri"/>
          <w:sz w:val="20"/>
          <w:szCs w:val="20"/>
          <w:color w:val="007F00"/>
          <w:strike w:val="1"/>
        </w:rPr>
        <w:t>the Line of Credit and</w:t>
      </w:r>
      <w:r>
        <w:rPr>
          <w:rFonts w:ascii="Calibri" w:cs="Calibri" w:eastAsia="Calibri" w:hAnsi="Calibri"/>
          <w:sz w:val="20"/>
          <w:szCs w:val="20"/>
          <w:color w:val="FF0000"/>
          <w:strike w:val="1"/>
        </w:rPr>
        <w:t xml:space="preserve"> Unrestricted Cash on hand; and</w:t>
      </w:r>
    </w:p>
    <w:p>
      <w:pPr>
        <w:spacing w:after="0" w:line="155" w:lineRule="exact"/>
        <w:rPr>
          <w:rFonts w:ascii="Calibri" w:cs="Calibri" w:eastAsia="Calibri" w:hAnsi="Calibri"/>
          <w:sz w:val="20"/>
          <w:szCs w:val="20"/>
          <w:color w:val="FF0000"/>
          <w:strike w:val="1"/>
        </w:rPr>
      </w:pPr>
    </w:p>
    <w:p>
      <w:pPr>
        <w:ind w:left="644" w:right="480" w:firstLine="976"/>
        <w:spacing w:after="0" w:line="234" w:lineRule="auto"/>
        <w:tabs>
          <w:tab w:leader="none" w:pos="1969" w:val="left"/>
        </w:tabs>
        <w:numPr>
          <w:ilvl w:val="0"/>
          <w:numId w:val="61"/>
        </w:numPr>
        <w:rPr>
          <w:rFonts w:ascii="Calibri" w:cs="Calibri" w:eastAsia="Calibri" w:hAnsi="Calibri"/>
          <w:sz w:val="20"/>
          <w:szCs w:val="20"/>
          <w:color w:val="FF0000"/>
          <w:strike w:val="1"/>
        </w:rPr>
      </w:pPr>
      <w:r>
        <w:rPr>
          <w:rFonts w:ascii="Calibri" w:cs="Calibri" w:eastAsia="Calibri" w:hAnsi="Calibri"/>
          <w:sz w:val="20"/>
          <w:szCs w:val="20"/>
          <w:color w:val="FF0000"/>
          <w:strike w:val="1"/>
        </w:rPr>
        <w:t>the total consideraton paid for Permited Acquisitons at any tme from and afer May 21, 2021 shall not exceed an aggregate of $150 million.</w:t>
      </w:r>
    </w:p>
    <w:p>
      <w:pPr>
        <w:spacing w:after="0" w:line="158" w:lineRule="exact"/>
        <w:rPr>
          <w:sz w:val="20"/>
          <w:szCs w:val="20"/>
          <w:color w:val="auto"/>
        </w:rPr>
      </w:pPr>
    </w:p>
    <w:p>
      <w:pPr>
        <w:ind w:left="4" w:firstLine="486"/>
        <w:spacing w:after="0" w:line="241" w:lineRule="auto"/>
        <w:rPr>
          <w:sz w:val="20"/>
          <w:szCs w:val="20"/>
          <w:color w:val="auto"/>
        </w:rPr>
      </w:pPr>
      <w:r>
        <w:rPr>
          <w:rFonts w:ascii="Calibri" w:cs="Calibri" w:eastAsia="Calibri" w:hAnsi="Calibri"/>
          <w:sz w:val="20"/>
          <w:szCs w:val="20"/>
          <w:u w:val="single" w:color="auto"/>
          <w:color w:val="0000FF"/>
        </w:rPr>
        <w:t>Notwithstanding anything to the contrary contained in this Secton 5.5, Bank agrees that, except for direct or indirect Transfers of any material intellectual property (which Transfers are not permited), Borrower may (or Borrower may cause the applicable Person(s) to), in its sole discreton and without any consent or approval of Bank, (a) (i) merge any Guarantor with and into Borrower or another Guarantor, (ii) merge any subsidiary with and into Borrower or any Guarantor, and (iii) cause any foreign subsidiary that is not a Guarantor to merge with and into any other foreign subsidiary, (b) (i) Transfer its ownership interests in any Guarantor or any subsidiaries (including any foreign subsidiaries) of Borrower, and (ii) cause any such Guarantor or any such subsidiaries (including any foreign subsidiaries) to Transfer their respectve assets, to the extent that the aggregate fair market value and selling price in respect of all such Transfers (in respect of all such enttes and all such assets in the aggregate, inclusive of Transfers under clause (i) and under</w:t>
      </w:r>
    </w:p>
    <w:p>
      <w:pPr>
        <w:spacing w:after="0" w:line="23" w:lineRule="exact"/>
        <w:rPr>
          <w:sz w:val="20"/>
          <w:szCs w:val="20"/>
          <w:color w:val="auto"/>
        </w:rPr>
      </w:pPr>
    </w:p>
    <w:p>
      <w:pPr>
        <w:ind w:left="4" w:right="380" w:hanging="4"/>
        <w:spacing w:after="0"/>
        <w:tabs>
          <w:tab w:leader="none" w:pos="266" w:val="left"/>
        </w:tabs>
        <w:numPr>
          <w:ilvl w:val="0"/>
          <w:numId w:val="62"/>
        </w:numPr>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above) during the term of the Line of Credit, when aggregated with the fair market value and selling price in respect of the Transfers which are the subject of clause (d) of the first paragraph of this Secton 5.5, shall not exceed $25,000,000; (c) dissolve or liquidate a Guarantor or a subsidiary (including any foreign subsidiary), provided that the assets of such Guarantor or subsidiary (including any foreign subsidiary) are acquired or received by Borrower or a Guarantor.</w:t>
      </w:r>
    </w:p>
    <w:p>
      <w:pPr>
        <w:spacing w:after="0" w:line="157" w:lineRule="exact"/>
        <w:rPr>
          <w:sz w:val="20"/>
          <w:szCs w:val="20"/>
          <w:color w:val="auto"/>
        </w:rPr>
      </w:pPr>
    </w:p>
    <w:p>
      <w:pPr>
        <w:ind w:left="4" w:right="120" w:firstLine="518"/>
        <w:spacing w:after="0" w:line="239" w:lineRule="auto"/>
        <w:rPr>
          <w:sz w:val="20"/>
          <w:szCs w:val="20"/>
          <w:color w:val="auto"/>
        </w:rPr>
      </w:pPr>
      <w:r>
        <w:rPr>
          <w:rFonts w:ascii="Calibri" w:cs="Calibri" w:eastAsia="Calibri" w:hAnsi="Calibri"/>
          <w:sz w:val="20"/>
          <w:szCs w:val="20"/>
          <w:color w:val="auto"/>
        </w:rPr>
        <w:t xml:space="preserve">SECTION 5.6. GUARANTIES. Guarantee or become liable in any way as surety, endorser (other than as endorser of negotable instruments for deposit or collecton in the ordinary course of business), accommodaton endorser or otherwise for, nor pledge or hypothecate any assets of Borrower or any of its subsidiaries as security for, any liabilites or obligatons of any person or entty other than Borrower or any of its subsidiaries in the ordinary course of business and consistent with past practce, other than in favor of Bank or except as permited under Secton 5.7. Any guarantees or other obligatons of the types described above that exist on the date hereof are listed on </w:t>
      </w:r>
      <w:r>
        <w:rPr>
          <w:rFonts w:ascii="Calibri" w:cs="Calibri" w:eastAsia="Calibri" w:hAnsi="Calibri"/>
          <w:sz w:val="20"/>
          <w:szCs w:val="20"/>
          <w:u w:val="single" w:color="auto"/>
          <w:color w:val="auto"/>
        </w:rPr>
        <w:t>Schedule 5.6</w:t>
      </w:r>
      <w:r>
        <w:rPr>
          <w:rFonts w:ascii="Calibri" w:cs="Calibri" w:eastAsia="Calibri" w:hAnsi="Calibri"/>
          <w:sz w:val="20"/>
          <w:szCs w:val="20"/>
          <w:color w:val="auto"/>
        </w:rPr>
        <w:t>.</w:t>
      </w:r>
    </w:p>
    <w:p>
      <w:pPr>
        <w:spacing w:after="0" w:line="161" w:lineRule="exact"/>
        <w:rPr>
          <w:sz w:val="20"/>
          <w:szCs w:val="20"/>
          <w:color w:val="auto"/>
        </w:rPr>
      </w:pPr>
    </w:p>
    <w:p>
      <w:pPr>
        <w:ind w:left="4" w:right="440" w:firstLine="518"/>
        <w:spacing w:after="0" w:line="241" w:lineRule="auto"/>
        <w:rPr>
          <w:sz w:val="20"/>
          <w:szCs w:val="20"/>
          <w:color w:val="auto"/>
        </w:rPr>
      </w:pPr>
      <w:r>
        <w:rPr>
          <w:rFonts w:ascii="Calibri" w:cs="Calibri" w:eastAsia="Calibri" w:hAnsi="Calibri"/>
          <w:sz w:val="20"/>
          <w:szCs w:val="20"/>
          <w:color w:val="auto"/>
        </w:rPr>
        <w:t xml:space="preserve">SECTION 5.7. LOANS, ADVANCES, INVESTMENTS, ETC. Make </w:t>
      </w:r>
      <w:r>
        <w:rPr>
          <w:rFonts w:ascii="Calibri" w:cs="Calibri" w:eastAsia="Calibri" w:hAnsi="Calibri"/>
          <w:sz w:val="20"/>
          <w:szCs w:val="20"/>
          <w:u w:val="single" w:color="auto"/>
          <w:color w:val="0000FF"/>
        </w:rPr>
        <w:t>or maintain</w:t>
      </w:r>
      <w:r>
        <w:rPr>
          <w:rFonts w:ascii="Calibri" w:cs="Calibri" w:eastAsia="Calibri" w:hAnsi="Calibri"/>
          <w:sz w:val="20"/>
          <w:szCs w:val="20"/>
          <w:color w:val="auto"/>
        </w:rPr>
        <w:t xml:space="preserve"> any loans or advances to or investments in any person or entty, including any of the foregoing accomplished by a division or similar transacton, except (a) any of the foregoing existng as of the date hereof as set forth on (and all of which Borrower represents are disclosed on) </w:t>
      </w:r>
      <w:r>
        <w:rPr>
          <w:rFonts w:ascii="Calibri" w:cs="Calibri" w:eastAsia="Calibri" w:hAnsi="Calibri"/>
          <w:sz w:val="20"/>
          <w:szCs w:val="20"/>
          <w:u w:val="single" w:color="auto"/>
          <w:color w:val="auto"/>
        </w:rPr>
        <w:t>Schedule 5.7</w:t>
      </w:r>
      <w:r>
        <w:rPr>
          <w:rFonts w:ascii="Calibri" w:cs="Calibri" w:eastAsia="Calibri" w:hAnsi="Calibri"/>
          <w:sz w:val="20"/>
          <w:szCs w:val="20"/>
          <w:color w:val="auto"/>
        </w:rPr>
        <w:t xml:space="preserve"> (for the sake of clarity, not any amendments, extensions, modificatons or replacements of any of the same), (b) Permited Acquisitons and investments of any person or entty existng at the tme such person or entty becomes a subsidiary of Borrower pursuant to a Permited Acquisiton, (c) investments by Borrower in its subsidiaries in the ordinary course of business and consistent with past practce </w:t>
      </w:r>
      <w:r>
        <w:rPr>
          <w:rFonts w:ascii="Calibri" w:cs="Calibri" w:eastAsia="Calibri" w:hAnsi="Calibri"/>
          <w:sz w:val="20"/>
          <w:szCs w:val="20"/>
          <w:color w:val="0000FF"/>
        </w:rPr>
        <w:t>not exceeding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-19050</wp:posOffset>
            </wp:positionV>
            <wp:extent cx="7588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58825" cy="8890"/>
                    </a:xfrm>
                    <a:prstGeom prst="rect">
                      <a:avLst/>
                    </a:prstGeom>
                    <a:noFill/>
                  </pic:spPr>
                </pic:pic>
              </a:graphicData>
            </a:graphic>
          </wp:anchor>
        </w:drawing>
      </w:r>
    </w:p>
    <w:p>
      <w:pPr>
        <w:sectPr>
          <w:pgSz w:w="11900" w:h="16838" w:orient="portrait"/>
          <w:cols w:equalWidth="0" w:num="1">
            <w:col w:w="11004"/>
          </w:cols>
          <w:pgMar w:left="436" w:top="1440" w:right="459" w:bottom="1440" w:gutter="0" w:footer="0" w:header="0"/>
        </w:sectPr>
      </w:pPr>
    </w:p>
    <w:bookmarkStart w:id="124" w:name="page125"/>
    <w:bookmarkEnd w:id="124"/>
    <w:p>
      <w:pPr>
        <w:spacing w:after="0" w:line="120" w:lineRule="exact"/>
        <w:rPr>
          <w:sz w:val="20"/>
          <w:szCs w:val="20"/>
          <w:color w:val="auto"/>
        </w:rPr>
      </w:pPr>
    </w:p>
    <w:p>
      <w:pPr>
        <w:ind w:left="4" w:right="80"/>
        <w:spacing w:after="0" w:line="241" w:lineRule="auto"/>
        <w:rPr>
          <w:sz w:val="20"/>
          <w:szCs w:val="20"/>
          <w:color w:val="auto"/>
        </w:rPr>
      </w:pPr>
      <w:r>
        <w:rPr>
          <w:rFonts w:ascii="Calibri" w:cs="Calibri" w:eastAsia="Calibri" w:hAnsi="Calibri"/>
          <w:sz w:val="20"/>
          <w:szCs w:val="20"/>
          <w:u w:val="single" w:color="auto"/>
          <w:color w:val="0000FF"/>
        </w:rPr>
        <w:t>$30,000,000 in the aggregate at any tme outstanding</w:t>
      </w:r>
      <w:r>
        <w:rPr>
          <w:rFonts w:ascii="Calibri" w:cs="Calibri" w:eastAsia="Calibri" w:hAnsi="Calibri"/>
          <w:sz w:val="20"/>
          <w:szCs w:val="20"/>
          <w:color w:val="000000"/>
        </w:rPr>
        <w:t>, (d) loans and advances made by Borrower to</w:t>
      </w:r>
      <w:r>
        <w:rPr>
          <w:rFonts w:ascii="Calibri" w:cs="Calibri" w:eastAsia="Calibri" w:hAnsi="Calibri"/>
          <w:sz w:val="20"/>
          <w:szCs w:val="20"/>
          <w:color w:val="0000FF"/>
        </w:rPr>
        <w:t xml:space="preserve"> </w:t>
      </w:r>
      <w:r>
        <w:rPr>
          <w:rFonts w:ascii="Calibri" w:cs="Calibri" w:eastAsia="Calibri" w:hAnsi="Calibri"/>
          <w:sz w:val="20"/>
          <w:szCs w:val="20"/>
          <w:color w:val="FF0000"/>
          <w:strike w:val="1"/>
        </w:rPr>
        <w:t>any of</w:t>
      </w:r>
      <w:r>
        <w:rPr>
          <w:rFonts w:ascii="Calibri" w:cs="Calibri" w:eastAsia="Calibri" w:hAnsi="Calibri"/>
          <w:sz w:val="20"/>
          <w:szCs w:val="20"/>
          <w:color w:val="0000FF"/>
        </w:rPr>
        <w:t xml:space="preserve"> </w:t>
      </w:r>
      <w:r>
        <w:rPr>
          <w:rFonts w:ascii="Calibri" w:cs="Calibri" w:eastAsia="Calibri" w:hAnsi="Calibri"/>
          <w:sz w:val="20"/>
          <w:szCs w:val="20"/>
          <w:color w:val="000000"/>
        </w:rPr>
        <w:t>its subsidiaries and loans</w:t>
      </w:r>
      <w:r>
        <w:rPr>
          <w:rFonts w:ascii="Calibri" w:cs="Calibri" w:eastAsia="Calibri" w:hAnsi="Calibri"/>
          <w:sz w:val="20"/>
          <w:szCs w:val="20"/>
          <w:color w:val="0000FF"/>
        </w:rPr>
        <w:t xml:space="preserve"> </w:t>
      </w:r>
      <w:r>
        <w:rPr>
          <w:rFonts w:ascii="Calibri" w:cs="Calibri" w:eastAsia="Calibri" w:hAnsi="Calibri"/>
          <w:sz w:val="20"/>
          <w:szCs w:val="20"/>
          <w:color w:val="000000"/>
        </w:rPr>
        <w:t xml:space="preserve">and advances made by any of </w:t>
      </w:r>
      <w:r>
        <w:rPr>
          <w:rFonts w:ascii="Calibri" w:cs="Calibri" w:eastAsia="Calibri" w:hAnsi="Calibri"/>
          <w:sz w:val="20"/>
          <w:szCs w:val="20"/>
          <w:color w:val="FF0000"/>
          <w:strike w:val="1"/>
        </w:rPr>
        <w:t>its</w:t>
      </w:r>
      <w:r>
        <w:rPr>
          <w:rFonts w:ascii="Calibri" w:cs="Calibri" w:eastAsia="Calibri" w:hAnsi="Calibri"/>
          <w:sz w:val="20"/>
          <w:szCs w:val="20"/>
          <w:u w:val="single" w:color="auto"/>
          <w:color w:val="0000FF"/>
        </w:rPr>
        <w:t>Borrower’s</w:t>
      </w:r>
      <w:r>
        <w:rPr>
          <w:rFonts w:ascii="Calibri" w:cs="Calibri" w:eastAsia="Calibri" w:hAnsi="Calibri"/>
          <w:sz w:val="20"/>
          <w:szCs w:val="20"/>
          <w:color w:val="000000"/>
        </w:rPr>
        <w:t xml:space="preserve"> subsidiaries to Borrower in the ordinary course of business </w:t>
      </w:r>
      <w:r>
        <w:rPr>
          <w:rFonts w:ascii="Calibri" w:cs="Calibri" w:eastAsia="Calibri" w:hAnsi="Calibri"/>
          <w:sz w:val="20"/>
          <w:szCs w:val="20"/>
          <w:color w:val="FF0000"/>
          <w:strike w:val="1"/>
        </w:rPr>
        <w:t>and</w:t>
      </w:r>
      <w:r>
        <w:rPr>
          <w:rFonts w:ascii="Calibri" w:cs="Calibri" w:eastAsia="Calibri" w:hAnsi="Calibri"/>
          <w:sz w:val="20"/>
          <w:szCs w:val="20"/>
          <w:color w:val="000000"/>
        </w:rPr>
        <w:t xml:space="preserve"> consistent with past practce</w:t>
      </w:r>
      <w:r>
        <w:rPr>
          <w:rFonts w:ascii="Calibri" w:cs="Calibri" w:eastAsia="Calibri" w:hAnsi="Calibri"/>
          <w:sz w:val="20"/>
          <w:szCs w:val="20"/>
          <w:color w:val="FF0000"/>
        </w:rPr>
        <w:t>,</w:t>
      </w:r>
      <w:r>
        <w:rPr>
          <w:rFonts w:ascii="Calibri" w:cs="Calibri" w:eastAsia="Calibri" w:hAnsi="Calibri"/>
          <w:sz w:val="20"/>
          <w:szCs w:val="20"/>
          <w:color w:val="000000"/>
        </w:rPr>
        <w:t xml:space="preserve"> </w:t>
      </w:r>
      <w:r>
        <w:rPr>
          <w:rFonts w:ascii="Calibri" w:cs="Calibri" w:eastAsia="Calibri" w:hAnsi="Calibri"/>
          <w:sz w:val="20"/>
          <w:szCs w:val="20"/>
          <w:u w:val="single" w:color="auto"/>
          <w:color w:val="0000FF"/>
        </w:rPr>
        <w:t>not exceeding $30,000,000 in the aggregate at any tme outstanding; provided that, in no event shall the sum of</w:t>
      </w:r>
      <w:r>
        <w:rPr>
          <w:rFonts w:ascii="Calibri" w:cs="Calibri" w:eastAsia="Calibri" w:hAnsi="Calibri"/>
          <w:sz w:val="20"/>
          <w:szCs w:val="20"/>
          <w:color w:val="000000"/>
        </w:rPr>
        <w:t xml:space="preserve"> </w:t>
      </w:r>
      <w:r>
        <w:rPr>
          <w:rFonts w:ascii="Calibri" w:cs="Calibri" w:eastAsia="Calibri" w:hAnsi="Calibri"/>
          <w:sz w:val="20"/>
          <w:szCs w:val="20"/>
          <w:u w:val="single" w:color="auto"/>
          <w:color w:val="0000FF"/>
        </w:rPr>
        <w:t>investments, loans and advances made or maintained by Borrower in/to its subsidiaries exceed $30,000,000 in the aggregate at any tme outstanding,</w:t>
      </w:r>
      <w:r>
        <w:rPr>
          <w:rFonts w:ascii="Calibri" w:cs="Calibri" w:eastAsia="Calibri" w:hAnsi="Calibri"/>
          <w:sz w:val="20"/>
          <w:szCs w:val="20"/>
          <w:color w:val="0000FF"/>
        </w:rPr>
        <w:t xml:space="preserve"> </w:t>
      </w:r>
      <w:r>
        <w:rPr>
          <w:rFonts w:ascii="Calibri" w:cs="Calibri" w:eastAsia="Calibri" w:hAnsi="Calibri"/>
          <w:sz w:val="20"/>
          <w:szCs w:val="20"/>
          <w:color w:val="000000"/>
        </w:rPr>
        <w:t>(e) notes payable issued by an account debtor in the ordinary course of business and consistent with past practce,</w:t>
      </w:r>
      <w:r>
        <w:rPr>
          <w:rFonts w:ascii="Calibri" w:cs="Calibri" w:eastAsia="Calibri" w:hAnsi="Calibri"/>
          <w:sz w:val="20"/>
          <w:szCs w:val="20"/>
          <w:color w:val="0000FF"/>
        </w:rPr>
        <w:t xml:space="preserve"> </w:t>
      </w:r>
      <w:r>
        <w:rPr>
          <w:rFonts w:ascii="Calibri" w:cs="Calibri" w:eastAsia="Calibri" w:hAnsi="Calibri"/>
          <w:sz w:val="20"/>
          <w:szCs w:val="20"/>
          <w:u w:val="single" w:color="auto"/>
          <w:color w:val="0000FF"/>
        </w:rPr>
        <w:t>or</w:t>
      </w:r>
      <w:r>
        <w:rPr>
          <w:rFonts w:ascii="Calibri" w:cs="Calibri" w:eastAsia="Calibri" w:hAnsi="Calibri"/>
          <w:sz w:val="20"/>
          <w:szCs w:val="20"/>
          <w:color w:val="0000FF"/>
        </w:rPr>
        <w:t xml:space="preserve"> </w:t>
      </w:r>
      <w:r>
        <w:rPr>
          <w:rFonts w:ascii="Calibri" w:cs="Calibri" w:eastAsia="Calibri" w:hAnsi="Calibri"/>
          <w:sz w:val="20"/>
          <w:szCs w:val="20"/>
          <w:color w:val="000000"/>
        </w:rPr>
        <w:t>(f) other loans, advances or investments made in the ordinary course of business consistent with past practce</w:t>
      </w:r>
      <w:r>
        <w:rPr>
          <w:rFonts w:ascii="Calibri" w:cs="Calibri" w:eastAsia="Calibri" w:hAnsi="Calibri"/>
          <w:sz w:val="20"/>
          <w:szCs w:val="20"/>
          <w:color w:val="0000FF"/>
        </w:rPr>
        <w:t xml:space="preserve"> </w:t>
      </w:r>
      <w:r>
        <w:rPr>
          <w:rFonts w:ascii="Calibri" w:cs="Calibri" w:eastAsia="Calibri" w:hAnsi="Calibri"/>
          <w:sz w:val="20"/>
          <w:szCs w:val="20"/>
          <w:u w:val="single" w:color="auto"/>
          <w:color w:val="0000FF"/>
        </w:rPr>
        <w:t>(excluding</w:t>
      </w:r>
      <w:r>
        <w:rPr>
          <w:rFonts w:ascii="Calibri" w:cs="Calibri" w:eastAsia="Calibri" w:hAnsi="Calibri"/>
          <w:sz w:val="20"/>
          <w:szCs w:val="20"/>
          <w:color w:val="0000FF"/>
        </w:rPr>
        <w:t xml:space="preserve"> </w:t>
      </w:r>
      <w:r>
        <w:rPr>
          <w:rFonts w:ascii="Calibri" w:cs="Calibri" w:eastAsia="Calibri" w:hAnsi="Calibri"/>
          <w:sz w:val="20"/>
          <w:szCs w:val="20"/>
          <w:u w:val="single" w:color="auto"/>
          <w:color w:val="0000FF"/>
        </w:rPr>
        <w:t>investments, loans or advances in or to any members of the Borrowing Group)</w:t>
      </w:r>
      <w:r>
        <w:rPr>
          <w:rFonts w:ascii="Calibri" w:cs="Calibri" w:eastAsia="Calibri" w:hAnsi="Calibri"/>
          <w:sz w:val="20"/>
          <w:szCs w:val="20"/>
          <w:color w:val="000000"/>
        </w:rPr>
        <w:t>, including (but subject to the limit/dollar threshold set</w:t>
      </w:r>
      <w:r>
        <w:rPr>
          <w:rFonts w:ascii="Calibri" w:cs="Calibri" w:eastAsia="Calibri" w:hAnsi="Calibri"/>
          <w:sz w:val="20"/>
          <w:szCs w:val="20"/>
          <w:color w:val="0000FF"/>
        </w:rPr>
        <w:t xml:space="preserve"> </w:t>
      </w:r>
      <w:r>
        <w:rPr>
          <w:rFonts w:ascii="Calibri" w:cs="Calibri" w:eastAsia="Calibri" w:hAnsi="Calibri"/>
          <w:sz w:val="20"/>
          <w:szCs w:val="20"/>
          <w:color w:val="000000"/>
        </w:rPr>
        <w:t>forth below) guarantees of third party supplier obligatons made in the ordinary course of business consistent with past practce</w:t>
      </w:r>
      <w:r>
        <w:rPr>
          <w:rFonts w:ascii="Calibri" w:cs="Calibri" w:eastAsia="Calibri" w:hAnsi="Calibri"/>
          <w:sz w:val="20"/>
          <w:szCs w:val="20"/>
          <w:color w:val="FF0000"/>
        </w:rPr>
        <w:t>,</w:t>
      </w:r>
      <w:r>
        <w:rPr>
          <w:rFonts w:ascii="Calibri" w:cs="Calibri" w:eastAsia="Calibri" w:hAnsi="Calibri"/>
          <w:sz w:val="20"/>
          <w:szCs w:val="20"/>
          <w:color w:val="000000"/>
        </w:rPr>
        <w:t xml:space="preserve"> </w:t>
      </w:r>
      <w:r>
        <w:rPr>
          <w:rFonts w:ascii="Calibri" w:cs="Calibri" w:eastAsia="Calibri" w:hAnsi="Calibri"/>
          <w:sz w:val="20"/>
          <w:szCs w:val="20"/>
          <w:color w:val="FF0000"/>
          <w:strike w:val="1"/>
        </w:rPr>
        <w:t>or</w:t>
      </w:r>
    </w:p>
    <w:p>
      <w:pPr>
        <w:spacing w:after="0" w:line="10" w:lineRule="exact"/>
        <w:rPr>
          <w:sz w:val="20"/>
          <w:szCs w:val="20"/>
          <w:color w:val="auto"/>
        </w:rPr>
      </w:pPr>
    </w:p>
    <w:p>
      <w:pPr>
        <w:jc w:val="both"/>
        <w:ind w:left="4" w:right="240" w:hanging="4"/>
        <w:spacing w:after="0" w:line="234" w:lineRule="auto"/>
        <w:tabs>
          <w:tab w:leader="none" w:pos="269" w:val="left"/>
        </w:tabs>
        <w:numPr>
          <w:ilvl w:val="0"/>
          <w:numId w:val="63"/>
        </w:numPr>
        <w:rPr>
          <w:rFonts w:ascii="Calibri" w:cs="Calibri" w:eastAsia="Calibri" w:hAnsi="Calibri"/>
          <w:sz w:val="20"/>
          <w:szCs w:val="20"/>
          <w:color w:val="FF0000"/>
          <w:strike w:val="1"/>
        </w:rPr>
      </w:pPr>
      <w:r>
        <w:rPr>
          <w:rFonts w:ascii="Calibri" w:cs="Calibri" w:eastAsia="Calibri" w:hAnsi="Calibri"/>
          <w:sz w:val="20"/>
          <w:szCs w:val="20"/>
          <w:color w:val="FF0000"/>
          <w:strike w:val="1"/>
        </w:rPr>
        <w:t>equity or debt investments in LifeAid Beverage Company, LLC in an aggregate amount not to exceed at any tme outstanding $15 million,</w:t>
      </w:r>
      <w:r>
        <w:rPr>
          <w:rFonts w:ascii="Calibri" w:cs="Calibri" w:eastAsia="Calibri" w:hAnsi="Calibri"/>
          <w:sz w:val="20"/>
          <w:szCs w:val="20"/>
          <w:color w:val="0000FF"/>
          <w:strike w:val="1"/>
        </w:rPr>
        <w:t>;</w:t>
      </w:r>
      <w:r>
        <w:rPr>
          <w:rFonts w:ascii="Calibri" w:cs="Calibri" w:eastAsia="Calibri" w:hAnsi="Calibri"/>
          <w:sz w:val="20"/>
          <w:szCs w:val="20"/>
          <w:color w:val="FF0000"/>
          <w:strike w:val="1"/>
        </w:rPr>
        <w:t xml:space="preserve"> </w:t>
      </w:r>
      <w:r>
        <w:rPr>
          <w:rFonts w:ascii="Calibri" w:cs="Calibri" w:eastAsia="Calibri" w:hAnsi="Calibri"/>
          <w:sz w:val="20"/>
          <w:szCs w:val="20"/>
          <w:u w:val="single" w:color="auto"/>
          <w:color w:val="000000"/>
          <w:strike w:val="1"/>
        </w:rPr>
        <w:t>provided</w:t>
      </w:r>
      <w:r>
        <w:rPr>
          <w:rFonts w:ascii="Calibri" w:cs="Calibri" w:eastAsia="Calibri" w:hAnsi="Calibri"/>
          <w:sz w:val="20"/>
          <w:szCs w:val="20"/>
          <w:color w:val="FF0000"/>
          <w:strike w:val="1"/>
        </w:rPr>
        <w:t xml:space="preserve"> </w:t>
      </w:r>
      <w:r>
        <w:rPr>
          <w:rFonts w:ascii="Calibri" w:cs="Calibri" w:eastAsia="Calibri" w:hAnsi="Calibri"/>
          <w:sz w:val="20"/>
          <w:szCs w:val="20"/>
          <w:color w:val="000000"/>
          <w:strike w:val="1"/>
        </w:rPr>
        <w:t>that at the tme of any such loan, advance or investment</w:t>
      </w:r>
      <w:r>
        <w:rPr>
          <w:rFonts w:ascii="Calibri" w:cs="Calibri" w:eastAsia="Calibri" w:hAnsi="Calibri"/>
          <w:sz w:val="20"/>
          <w:szCs w:val="20"/>
          <w:color w:val="FF0000"/>
          <w:strike w:val="1"/>
        </w:rPr>
        <w:t xml:space="preserve"> </w:t>
      </w:r>
      <w:r>
        <w:rPr>
          <w:rFonts w:ascii="Calibri" w:cs="Calibri" w:eastAsia="Calibri" w:hAnsi="Calibri"/>
          <w:sz w:val="20"/>
          <w:szCs w:val="20"/>
          <w:color w:val="0000FF"/>
          <w:strike w:val="1"/>
        </w:rPr>
        <w:t>(i.e., in the case of any and all of the transactons which</w:t>
      </w:r>
    </w:p>
    <w:p>
      <w:pPr>
        <w:spacing w:after="0" w:line="23" w:lineRule="exact"/>
        <w:rPr>
          <w:rFonts w:ascii="Calibri" w:cs="Calibri" w:eastAsia="Calibri" w:hAnsi="Calibri"/>
          <w:sz w:val="20"/>
          <w:szCs w:val="20"/>
          <w:color w:val="FF0000"/>
          <w:strike w:val="1"/>
        </w:rPr>
      </w:pPr>
    </w:p>
    <w:p>
      <w:pPr>
        <w:ind w:left="4" w:right="80"/>
        <w:spacing w:after="0" w:line="236" w:lineRule="auto"/>
        <w:rPr>
          <w:rFonts w:ascii="Calibri" w:cs="Calibri" w:eastAsia="Calibri" w:hAnsi="Calibri"/>
          <w:sz w:val="20"/>
          <w:szCs w:val="20"/>
          <w:color w:val="FF0000"/>
          <w:strike w:val="1"/>
        </w:rPr>
      </w:pPr>
      <w:r>
        <w:rPr>
          <w:rFonts w:ascii="Calibri" w:cs="Calibri" w:eastAsia="Calibri" w:hAnsi="Calibri"/>
          <w:sz w:val="20"/>
          <w:szCs w:val="20"/>
          <w:u w:val="single" w:color="auto"/>
          <w:color w:val="0000FF"/>
        </w:rPr>
        <w:t>are the subject of any of clauses (a)-(f) above)</w:t>
      </w:r>
      <w:r>
        <w:rPr>
          <w:rFonts w:ascii="Calibri" w:cs="Calibri" w:eastAsia="Calibri" w:hAnsi="Calibri"/>
          <w:sz w:val="20"/>
          <w:szCs w:val="20"/>
          <w:color w:val="000000"/>
        </w:rPr>
        <w:t>, no Event of Default then exists or would result on an actual or pro forma basis afer</w:t>
      </w:r>
      <w:r>
        <w:rPr>
          <w:rFonts w:ascii="Calibri" w:cs="Calibri" w:eastAsia="Calibri" w:hAnsi="Calibri"/>
          <w:sz w:val="20"/>
          <w:szCs w:val="20"/>
          <w:color w:val="0000FF"/>
        </w:rPr>
        <w:t xml:space="preserve"> </w:t>
      </w:r>
      <w:r>
        <w:rPr>
          <w:rFonts w:ascii="Calibri" w:cs="Calibri" w:eastAsia="Calibri" w:hAnsi="Calibri"/>
          <w:sz w:val="20"/>
          <w:szCs w:val="20"/>
          <w:color w:val="000000"/>
        </w:rPr>
        <w:t>giving eﬀect to any such loan, advance or investment</w:t>
      </w:r>
      <w:r>
        <w:rPr>
          <w:rFonts w:ascii="Calibri" w:cs="Calibri" w:eastAsia="Calibri" w:hAnsi="Calibri"/>
          <w:sz w:val="20"/>
          <w:szCs w:val="20"/>
          <w:color w:val="FF0000"/>
        </w:rPr>
        <w:t>,</w:t>
      </w:r>
      <w:r>
        <w:rPr>
          <w:rFonts w:ascii="Calibri" w:cs="Calibri" w:eastAsia="Calibri" w:hAnsi="Calibri"/>
          <w:sz w:val="20"/>
          <w:szCs w:val="20"/>
          <w:color w:val="0000FF"/>
        </w:rPr>
        <w:t>;</w:t>
      </w:r>
      <w:r>
        <w:rPr>
          <w:rFonts w:ascii="Calibri" w:cs="Calibri" w:eastAsia="Calibri" w:hAnsi="Calibri"/>
          <w:sz w:val="20"/>
          <w:szCs w:val="20"/>
          <w:color w:val="000000"/>
        </w:rPr>
        <w:t xml:space="preserve"> and </w:t>
      </w:r>
      <w:r>
        <w:rPr>
          <w:rFonts w:ascii="Calibri" w:cs="Calibri" w:eastAsia="Calibri" w:hAnsi="Calibri"/>
          <w:sz w:val="20"/>
          <w:szCs w:val="20"/>
          <w:u w:val="single" w:color="auto"/>
          <w:color w:val="000000"/>
        </w:rPr>
        <w:t>further provided</w:t>
      </w:r>
      <w:r>
        <w:rPr>
          <w:rFonts w:ascii="Calibri" w:cs="Calibri" w:eastAsia="Calibri" w:hAnsi="Calibri"/>
          <w:sz w:val="20"/>
          <w:szCs w:val="20"/>
          <w:color w:val="000000"/>
        </w:rPr>
        <w:t xml:space="preserve">, however, that notwithstanding the foregoing to the contrary, </w:t>
      </w:r>
      <w:r>
        <w:rPr>
          <w:rFonts w:ascii="Calibri" w:cs="Calibri" w:eastAsia="Calibri" w:hAnsi="Calibri"/>
          <w:sz w:val="20"/>
          <w:szCs w:val="20"/>
          <w:u w:val="single" w:color="auto"/>
          <w:color w:val="0000FF"/>
        </w:rPr>
        <w:t>(1)</w:t>
      </w:r>
      <w:r>
        <w:rPr>
          <w:rFonts w:ascii="Calibri" w:cs="Calibri" w:eastAsia="Calibri" w:hAnsi="Calibri"/>
          <w:sz w:val="20"/>
          <w:szCs w:val="20"/>
          <w:color w:val="000000"/>
        </w:rPr>
        <w:t xml:space="preserve"> the aggregate amount of loans/advances to shareholders or employees for marketng, travel or entertainment expenses,</w:t>
      </w:r>
    </w:p>
    <w:p>
      <w:pPr>
        <w:spacing w:after="0" w:line="22" w:lineRule="exact"/>
        <w:rPr>
          <w:rFonts w:ascii="Calibri" w:cs="Calibri" w:eastAsia="Calibri" w:hAnsi="Calibri"/>
          <w:sz w:val="20"/>
          <w:szCs w:val="20"/>
          <w:color w:val="FF0000"/>
          <w:strike w:val="1"/>
        </w:rPr>
      </w:pPr>
    </w:p>
    <w:p>
      <w:pPr>
        <w:ind w:left="4" w:right="140"/>
        <w:spacing w:after="0" w:line="234" w:lineRule="auto"/>
        <w:rPr>
          <w:rFonts w:ascii="Calibri" w:cs="Calibri" w:eastAsia="Calibri" w:hAnsi="Calibri"/>
          <w:sz w:val="20"/>
          <w:szCs w:val="20"/>
          <w:color w:val="FF0000"/>
          <w:strike w:val="1"/>
        </w:rPr>
      </w:pPr>
      <w:r>
        <w:rPr>
          <w:rFonts w:ascii="Calibri" w:cs="Calibri" w:eastAsia="Calibri" w:hAnsi="Calibri"/>
          <w:sz w:val="20"/>
          <w:szCs w:val="20"/>
          <w:color w:val="auto"/>
        </w:rPr>
        <w:t xml:space="preserve">or to suppliers of Borrower or any of its subsidiaries (including prepayments to and guarantees for the benefit of any such suppliers), </w:t>
      </w:r>
      <w:r>
        <w:rPr>
          <w:rFonts w:ascii="Calibri" w:cs="Calibri" w:eastAsia="Calibri" w:hAnsi="Calibri"/>
          <w:sz w:val="20"/>
          <w:szCs w:val="20"/>
          <w:u w:val="single" w:color="auto"/>
          <w:color w:val="0000FF"/>
        </w:rPr>
        <w:t>which</w:t>
      </w:r>
      <w:r>
        <w:rPr>
          <w:rFonts w:ascii="Calibri" w:cs="Calibri" w:eastAsia="Calibri" w:hAnsi="Calibri"/>
          <w:sz w:val="20"/>
          <w:szCs w:val="20"/>
          <w:color w:val="0000FF"/>
        </w:rPr>
        <w:t xml:space="preserve"> </w:t>
      </w:r>
      <w:r>
        <w:rPr>
          <w:rFonts w:ascii="Calibri" w:cs="Calibri" w:eastAsia="Calibri" w:hAnsi="Calibri"/>
          <w:sz w:val="20"/>
          <w:szCs w:val="20"/>
          <w:color w:val="000000"/>
        </w:rPr>
        <w:t>in all of the foregoing cases</w:t>
      </w:r>
      <w:r>
        <w:rPr>
          <w:rFonts w:ascii="Calibri" w:cs="Calibri" w:eastAsia="Calibri" w:hAnsi="Calibri"/>
          <w:sz w:val="20"/>
          <w:szCs w:val="20"/>
          <w:color w:val="0000FF"/>
        </w:rPr>
        <w:t xml:space="preserve"> </w:t>
      </w:r>
      <w:r>
        <w:rPr>
          <w:rFonts w:ascii="Calibri" w:cs="Calibri" w:eastAsia="Calibri" w:hAnsi="Calibri"/>
          <w:sz w:val="20"/>
          <w:szCs w:val="20"/>
          <w:u w:val="single" w:color="auto"/>
          <w:color w:val="0000FF"/>
        </w:rPr>
        <w:t>must be</w:t>
      </w:r>
      <w:r>
        <w:rPr>
          <w:rFonts w:ascii="Calibri" w:cs="Calibri" w:eastAsia="Calibri" w:hAnsi="Calibri"/>
          <w:sz w:val="20"/>
          <w:szCs w:val="20"/>
          <w:color w:val="0000FF"/>
        </w:rPr>
        <w:t xml:space="preserve"> </w:t>
      </w:r>
      <w:r>
        <w:rPr>
          <w:rFonts w:ascii="Calibri" w:cs="Calibri" w:eastAsia="Calibri" w:hAnsi="Calibri"/>
          <w:sz w:val="20"/>
          <w:szCs w:val="20"/>
          <w:color w:val="000000"/>
        </w:rPr>
        <w:t>in the ordinary course of business consistent with past practce, shall not exceed</w:t>
      </w:r>
    </w:p>
    <w:p>
      <w:pPr>
        <w:spacing w:after="0" w:line="23" w:lineRule="exact"/>
        <w:rPr>
          <w:rFonts w:ascii="Calibri" w:cs="Calibri" w:eastAsia="Calibri" w:hAnsi="Calibri"/>
          <w:sz w:val="20"/>
          <w:szCs w:val="20"/>
          <w:color w:val="FF0000"/>
          <w:strike w:val="1"/>
        </w:rPr>
      </w:pPr>
    </w:p>
    <w:p>
      <w:pPr>
        <w:ind w:left="4" w:right="160"/>
        <w:spacing w:after="0" w:line="234" w:lineRule="auto"/>
        <w:rPr>
          <w:rFonts w:ascii="Calibri" w:cs="Calibri" w:eastAsia="Calibri" w:hAnsi="Calibri"/>
          <w:sz w:val="20"/>
          <w:szCs w:val="20"/>
          <w:color w:val="FF0000"/>
          <w:strike w:val="1"/>
        </w:rPr>
      </w:pPr>
      <w:r>
        <w:rPr>
          <w:rFonts w:ascii="Calibri" w:cs="Calibri" w:eastAsia="Calibri" w:hAnsi="Calibri"/>
          <w:sz w:val="20"/>
          <w:szCs w:val="20"/>
          <w:color w:val="auto"/>
        </w:rPr>
        <w:t xml:space="preserve">$15,000,000 in the aggregate (for the sake of clarity, </w:t>
      </w:r>
      <w:r>
        <w:rPr>
          <w:rFonts w:ascii="Calibri" w:cs="Calibri" w:eastAsia="Calibri" w:hAnsi="Calibri"/>
          <w:sz w:val="20"/>
          <w:szCs w:val="20"/>
          <w:u w:val="single" w:color="auto"/>
          <w:color w:val="0000FF"/>
        </w:rPr>
        <w:t>among other things,</w:t>
      </w:r>
      <w:r>
        <w:rPr>
          <w:rFonts w:ascii="Calibri" w:cs="Calibri" w:eastAsia="Calibri" w:hAnsi="Calibri"/>
          <w:sz w:val="20"/>
          <w:szCs w:val="20"/>
          <w:color w:val="auto"/>
        </w:rPr>
        <w:t xml:space="preserve"> such aggregate amount/cap is inclusive of, in the case of advances, loans, guarantees and prepayments to suppliers, the advances, loans, guarantees and prepayments to suppliers which are</w:t>
      </w:r>
    </w:p>
    <w:p>
      <w:pPr>
        <w:spacing w:after="0" w:line="36" w:lineRule="exact"/>
        <w:rPr>
          <w:rFonts w:ascii="Calibri" w:cs="Calibri" w:eastAsia="Calibri" w:hAnsi="Calibri"/>
          <w:sz w:val="20"/>
          <w:szCs w:val="20"/>
          <w:color w:val="FF0000"/>
          <w:strike w:val="1"/>
        </w:rPr>
      </w:pPr>
    </w:p>
    <w:p>
      <w:pPr>
        <w:ind w:left="4" w:right="120"/>
        <w:spacing w:after="0" w:line="242" w:lineRule="auto"/>
        <w:rPr>
          <w:rFonts w:ascii="Calibri" w:cs="Calibri" w:eastAsia="Calibri" w:hAnsi="Calibri"/>
          <w:sz w:val="20"/>
          <w:szCs w:val="20"/>
          <w:color w:val="FF0000"/>
          <w:strike w:val="1"/>
        </w:rPr>
      </w:pPr>
      <w:r>
        <w:rPr>
          <w:rFonts w:ascii="Calibri" w:cs="Calibri" w:eastAsia="Calibri" w:hAnsi="Calibri"/>
          <w:sz w:val="20"/>
          <w:szCs w:val="20"/>
          <w:color w:val="auto"/>
        </w:rPr>
        <w:t xml:space="preserve">set forth on Schedule 5.7 </w:t>
      </w:r>
      <w:r>
        <w:rPr>
          <w:rFonts w:ascii="Calibri" w:cs="Calibri" w:eastAsia="Calibri" w:hAnsi="Calibri"/>
          <w:sz w:val="20"/>
          <w:szCs w:val="20"/>
          <w:color w:val="FF0000"/>
          <w:strike w:val="1"/>
        </w:rPr>
        <w:t>(and which scheduled advances, loans, guarantees and prepayments may not be amended, modified,</w:t>
      </w:r>
      <w:r>
        <w:rPr>
          <w:rFonts w:ascii="Calibri" w:cs="Calibri" w:eastAsia="Calibri" w:hAnsi="Calibri"/>
          <w:sz w:val="20"/>
          <w:szCs w:val="20"/>
          <w:color w:val="auto"/>
        </w:rPr>
        <w:t xml:space="preserve"> </w:t>
      </w:r>
      <w:r>
        <w:rPr>
          <w:rFonts w:ascii="Calibri" w:cs="Calibri" w:eastAsia="Calibri" w:hAnsi="Calibri"/>
          <w:sz w:val="20"/>
          <w:szCs w:val="20"/>
          <w:color w:val="FF0000"/>
          <w:strike w:val="1"/>
        </w:rPr>
        <w:t>extended or replaced)</w:t>
      </w:r>
      <w:r>
        <w:rPr>
          <w:rFonts w:ascii="Calibri" w:cs="Calibri" w:eastAsia="Calibri" w:hAnsi="Calibri"/>
          <w:sz w:val="20"/>
          <w:szCs w:val="20"/>
          <w:color w:val="000000"/>
        </w:rPr>
        <w:t>) at any tme outstanding</w:t>
      </w:r>
      <w:r>
        <w:rPr>
          <w:rFonts w:ascii="Calibri" w:cs="Calibri" w:eastAsia="Calibri" w:hAnsi="Calibri"/>
          <w:sz w:val="20"/>
          <w:szCs w:val="20"/>
          <w:u w:val="single" w:color="auto"/>
          <w:color w:val="0000FF"/>
        </w:rPr>
        <w:t>, and (2) the investments, loans or advances which are the subject of either of clauses</w:t>
      </w:r>
    </w:p>
    <w:p>
      <w:pPr>
        <w:spacing w:after="0" w:line="7" w:lineRule="exact"/>
        <w:rPr>
          <w:rFonts w:ascii="Calibri" w:cs="Calibri" w:eastAsia="Calibri" w:hAnsi="Calibri"/>
          <w:sz w:val="20"/>
          <w:szCs w:val="20"/>
          <w:color w:val="FF0000"/>
          <w:strike w:val="1"/>
        </w:rPr>
      </w:pPr>
    </w:p>
    <w:p>
      <w:pPr>
        <w:ind w:left="4" w:right="20" w:hanging="4"/>
        <w:spacing w:after="0" w:line="236" w:lineRule="auto"/>
        <w:tabs>
          <w:tab w:leader="none" w:pos="258" w:val="left"/>
        </w:tabs>
        <w:numPr>
          <w:ilvl w:val="0"/>
          <w:numId w:val="64"/>
        </w:numPr>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or (d) above, when made to or maintained in foreign subsidiaries, may only be made to or maintained in foreign subsidiaries of Borrower with respect to which the equity interests therein (i.e., in such foreign subsidiaries) are at all tmes “Collateral” under one or more of the security agreements which are the subject of Secton 1.4 hereof</w:t>
      </w:r>
      <w:r>
        <w:rPr>
          <w:rFonts w:ascii="Calibri" w:cs="Calibri" w:eastAsia="Calibri" w:hAnsi="Calibri"/>
          <w:sz w:val="20"/>
          <w:szCs w:val="20"/>
          <w:color w:val="000000"/>
        </w:rPr>
        <w:t>. Notwithstanding anything contained herein to the</w:t>
      </w:r>
    </w:p>
    <w:p>
      <w:pPr>
        <w:spacing w:after="0" w:line="22" w:lineRule="exact"/>
        <w:rPr>
          <w:rFonts w:ascii="Calibri" w:cs="Calibri" w:eastAsia="Calibri" w:hAnsi="Calibri"/>
          <w:sz w:val="20"/>
          <w:szCs w:val="20"/>
          <w:u w:val="single" w:color="auto"/>
          <w:color w:val="0000FF"/>
        </w:rPr>
      </w:pPr>
    </w:p>
    <w:p>
      <w:pPr>
        <w:ind w:left="4" w:right="200"/>
        <w:spacing w:after="0"/>
        <w:rPr>
          <w:rFonts w:ascii="Calibri" w:cs="Calibri" w:eastAsia="Calibri" w:hAnsi="Calibri"/>
          <w:sz w:val="20"/>
          <w:szCs w:val="20"/>
          <w:u w:val="single" w:color="auto"/>
          <w:color w:val="0000FF"/>
        </w:rPr>
      </w:pPr>
      <w:r>
        <w:rPr>
          <w:rFonts w:ascii="Calibri" w:cs="Calibri" w:eastAsia="Calibri" w:hAnsi="Calibri"/>
          <w:sz w:val="20"/>
          <w:szCs w:val="20"/>
          <w:color w:val="auto"/>
        </w:rPr>
        <w:t xml:space="preserve">contrary, except in connecton with a Permited Acquisiton, Borrower shall neither form nor acquire any direct or indirect foreign subsidiaries or domestc non-wholly-owned subsidiaries </w:t>
      </w:r>
      <w:r>
        <w:rPr>
          <w:rFonts w:ascii="Calibri" w:cs="Calibri" w:eastAsia="Calibri" w:hAnsi="Calibri"/>
          <w:sz w:val="20"/>
          <w:szCs w:val="20"/>
          <w:u w:val="single" w:color="auto"/>
          <w:color w:val="0000FF"/>
        </w:rPr>
        <w:t>except where, afer giving eﬀect to the same, no Material Adverse Eﬀect or</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rPr>
        <w:t>Event of Default would occur, and afer giving pro forma eﬀect thereto, there would be no violaton of Secton 4.9,</w:t>
      </w:r>
      <w:r>
        <w:rPr>
          <w:rFonts w:ascii="Calibri" w:cs="Calibri" w:eastAsia="Calibri" w:hAnsi="Calibri"/>
          <w:sz w:val="20"/>
          <w:szCs w:val="20"/>
          <w:color w:val="0000FF"/>
        </w:rPr>
        <w:t xml:space="preserve"> </w:t>
      </w:r>
      <w:r>
        <w:rPr>
          <w:rFonts w:ascii="Calibri" w:cs="Calibri" w:eastAsia="Calibri" w:hAnsi="Calibri"/>
          <w:sz w:val="20"/>
          <w:szCs w:val="20"/>
          <w:color w:val="000000"/>
        </w:rPr>
        <w:t>without the prior</w:t>
      </w:r>
      <w:r>
        <w:rPr>
          <w:rFonts w:ascii="Calibri" w:cs="Calibri" w:eastAsia="Calibri" w:hAnsi="Calibri"/>
          <w:sz w:val="20"/>
          <w:szCs w:val="20"/>
          <w:color w:val="0000FF"/>
        </w:rPr>
        <w:t xml:space="preserve"> </w:t>
      </w:r>
      <w:r>
        <w:rPr>
          <w:rFonts w:ascii="Calibri" w:cs="Calibri" w:eastAsia="Calibri" w:hAnsi="Calibri"/>
          <w:sz w:val="20"/>
          <w:szCs w:val="20"/>
          <w:color w:val="000000"/>
        </w:rPr>
        <w:t>writen consent of Bank, which consent shall not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-2558415</wp:posOffset>
            </wp:positionV>
            <wp:extent cx="29190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291909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-1332865</wp:posOffset>
            </wp:positionV>
            <wp:extent cx="31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7" w:lineRule="exact"/>
        <w:rPr>
          <w:sz w:val="20"/>
          <w:szCs w:val="20"/>
          <w:color w:val="auto"/>
        </w:rPr>
      </w:pPr>
    </w:p>
    <w:p>
      <w:pPr>
        <w:ind w:left="4" w:firstLine="518"/>
        <w:spacing w:after="0" w:line="241" w:lineRule="auto"/>
        <w:rPr>
          <w:sz w:val="20"/>
          <w:szCs w:val="20"/>
          <w:color w:val="auto"/>
        </w:rPr>
      </w:pPr>
      <w:r>
        <w:rPr>
          <w:rFonts w:ascii="Calibri" w:cs="Calibri" w:eastAsia="Calibri" w:hAnsi="Calibri"/>
          <w:sz w:val="20"/>
          <w:szCs w:val="20"/>
          <w:color w:val="auto"/>
        </w:rPr>
        <w:t>SECTION 5.8. DIVIDENDS, DISTRIBUTIONS. Declare or pay any dividend or distributon either in cash or any other property on Borrower's stock</w:t>
      </w:r>
      <w:r>
        <w:rPr>
          <w:rFonts w:ascii="Calibri" w:cs="Calibri" w:eastAsia="Calibri" w:hAnsi="Calibri"/>
          <w:sz w:val="20"/>
          <w:szCs w:val="20"/>
          <w:color w:val="1E487C"/>
        </w:rPr>
        <w:t>,</w:t>
      </w:r>
      <w:r>
        <w:rPr>
          <w:rFonts w:ascii="Calibri" w:cs="Calibri" w:eastAsia="Calibri" w:hAnsi="Calibri"/>
          <w:sz w:val="20"/>
          <w:szCs w:val="20"/>
          <w:color w:val="auto"/>
        </w:rPr>
        <w:t xml:space="preserve"> membership interest, partnership interest or other ownership interest now or hereafer outstanding, nor redeem, retre, repurchase or otherwise acquire any class or type of ownership interest now or hereafer outstanding </w:t>
      </w:r>
      <w:r>
        <w:rPr>
          <w:rFonts w:ascii="Calibri" w:cs="Calibri" w:eastAsia="Calibri" w:hAnsi="Calibri"/>
          <w:sz w:val="20"/>
          <w:szCs w:val="20"/>
          <w:color w:val="FF0000"/>
          <w:strike w:val="1"/>
        </w:rPr>
        <w:t>in excess of, (a) in the</w:t>
      </w:r>
      <w:r>
        <w:rPr>
          <w:rFonts w:ascii="Calibri" w:cs="Calibri" w:eastAsia="Calibri" w:hAnsi="Calibri"/>
          <w:sz w:val="20"/>
          <w:szCs w:val="20"/>
          <w:color w:val="auto"/>
        </w:rPr>
        <w:t xml:space="preserve"> </w:t>
      </w:r>
      <w:r>
        <w:rPr>
          <w:rFonts w:ascii="Calibri" w:cs="Calibri" w:eastAsia="Calibri" w:hAnsi="Calibri"/>
          <w:sz w:val="20"/>
          <w:szCs w:val="20"/>
          <w:color w:val="FF0000"/>
          <w:strike w:val="1"/>
        </w:rPr>
        <w:t>case of the redempton or repurchase by Borrower of equity interests held by RW VC S.a.r.l. a/k/a Vita Coco S.a.r.l. (“Reignwood Capital”) in Borrower, the redempton or repurchase (the terms “redempton” and “repurchase” are deemed to include within the meanings thereof the payment of the applicable redempton/repurchase price) in cash prior to March 31, 2021 of a porton of such equity interests for a maximum redempton/repurchase price of $55,000,000 (the “Permited Redempton”), and (b) in any or all cases in the aggregate (inclusive of the Permited Redempton), $60,000,000 in the 2020 calendar year; thereafer (in the case of either clause (a) or clause (b) above)</w:t>
      </w:r>
    </w:p>
    <w:p>
      <w:pPr>
        <w:sectPr>
          <w:pgSz w:w="11900" w:h="16838" w:orient="portrait"/>
          <w:cols w:equalWidth="0" w:num="1">
            <w:col w:w="11004"/>
          </w:cols>
          <w:pgMar w:left="436" w:top="1440" w:right="459" w:bottom="1440" w:gutter="0" w:footer="0" w:header="0"/>
        </w:sectPr>
      </w:pPr>
    </w:p>
    <w:bookmarkStart w:id="125" w:name="page126"/>
    <w:bookmarkEnd w:id="125"/>
    <w:p>
      <w:pPr>
        <w:spacing w:after="0" w:line="107" w:lineRule="exact"/>
        <w:rPr>
          <w:sz w:val="20"/>
          <w:szCs w:val="20"/>
          <w:color w:val="auto"/>
        </w:rPr>
      </w:pPr>
    </w:p>
    <w:p>
      <w:pPr>
        <w:ind w:left="4" w:right="100"/>
        <w:spacing w:after="0" w:line="247" w:lineRule="auto"/>
        <w:rPr>
          <w:sz w:val="20"/>
          <w:szCs w:val="20"/>
          <w:color w:val="auto"/>
        </w:rPr>
      </w:pPr>
      <w:r>
        <w:rPr>
          <w:rFonts w:ascii="Calibri" w:cs="Calibri" w:eastAsia="Calibri" w:hAnsi="Calibri"/>
          <w:sz w:val="20"/>
          <w:szCs w:val="20"/>
          <w:color w:val="FF0000"/>
          <w:strike w:val="1"/>
        </w:rPr>
        <w:t xml:space="preserve">there shall be no restricton on such dividends, distributons, redemptons, retrements, repurchases or the like, except as provided below (for the sake of clarity, the restrictons set forth in Sectons 1.1(a) and 5.8(a) relatng to a redempton or purchase involving Reignwood Capital shall not apply from and afer March 31, 2021). Notwithstanding anything contained herein to the contrary, Borrower shall not pay any dividend, distributon or otherwise redeem, retre, repurchase or acquire ownership interests </w:t>
      </w:r>
      <w:r>
        <w:rPr>
          <w:rFonts w:ascii="Calibri" w:cs="Calibri" w:eastAsia="Calibri" w:hAnsi="Calibri"/>
          <w:sz w:val="20"/>
          <w:szCs w:val="20"/>
          <w:color w:val="000000"/>
          <w:strike w:val="1"/>
        </w:rPr>
        <w:t>if, at the</w:t>
      </w:r>
      <w:r>
        <w:rPr>
          <w:rFonts w:ascii="Calibri" w:cs="Calibri" w:eastAsia="Calibri" w:hAnsi="Calibri"/>
          <w:sz w:val="20"/>
          <w:szCs w:val="20"/>
          <w:color w:val="FF0000"/>
          <w:strike w:val="1"/>
        </w:rPr>
        <w:t xml:space="preserve"> </w:t>
      </w:r>
      <w:r>
        <w:rPr>
          <w:rFonts w:ascii="Calibri" w:cs="Calibri" w:eastAsia="Calibri" w:hAnsi="Calibri"/>
          <w:sz w:val="20"/>
          <w:szCs w:val="20"/>
          <w:color w:val="000000"/>
          <w:strike w:val="1"/>
        </w:rPr>
        <w:t xml:space="preserve">tme of payment of the same or afer giving eﬀect to the same, an Event of Default exists or would, on </w:t>
      </w:r>
      <w:r>
        <w:rPr>
          <w:rFonts w:ascii="Calibri" w:cs="Calibri" w:eastAsia="Calibri" w:hAnsi="Calibri"/>
          <w:sz w:val="20"/>
          <w:szCs w:val="20"/>
          <w:u w:val="single" w:color="auto"/>
          <w:color w:val="0000FF"/>
          <w:strike w:val="1"/>
        </w:rPr>
        <w:t>an actual or</w:t>
      </w:r>
      <w:r>
        <w:rPr>
          <w:rFonts w:ascii="Calibri" w:cs="Calibri" w:eastAsia="Calibri" w:hAnsi="Calibri"/>
          <w:sz w:val="20"/>
          <w:szCs w:val="20"/>
          <w:color w:val="000000"/>
          <w:strike w:val="1"/>
        </w:rPr>
        <w:t xml:space="preserve"> a pro forma basis </w:t>
      </w:r>
      <w:r>
        <w:rPr>
          <w:rFonts w:ascii="Calibri" w:cs="Calibri" w:eastAsia="Calibri" w:hAnsi="Calibri"/>
          <w:sz w:val="20"/>
          <w:szCs w:val="20"/>
          <w:u w:val="single" w:color="auto"/>
          <w:color w:val="0000FF"/>
          <w:strike w:val="1"/>
        </w:rPr>
        <w:t>(including under Secton 4.9)</w:t>
      </w:r>
      <w:r>
        <w:rPr>
          <w:rFonts w:ascii="Calibri" w:cs="Calibri" w:eastAsia="Calibri" w:hAnsi="Calibri"/>
          <w:sz w:val="20"/>
          <w:szCs w:val="20"/>
          <w:color w:val="000000"/>
          <w:strike w:val="1"/>
        </w:rPr>
        <w:t>, result</w:t>
      </w:r>
      <w:r>
        <w:rPr>
          <w:rFonts w:ascii="Calibri" w:cs="Calibri" w:eastAsia="Calibri" w:hAnsi="Calibri"/>
          <w:sz w:val="20"/>
          <w:szCs w:val="20"/>
          <w:color w:val="0000FF"/>
          <w:strike w:val="1"/>
        </w:rPr>
        <w:t xml:space="preserve"> </w:t>
      </w:r>
      <w:r>
        <w:rPr>
          <w:rFonts w:ascii="Calibri" w:cs="Calibri" w:eastAsia="Calibri" w:hAnsi="Calibri"/>
          <w:sz w:val="20"/>
          <w:szCs w:val="20"/>
          <w:color w:val="FF0000"/>
          <w:strike w:val="1"/>
        </w:rPr>
        <w:t>from the payment of the same</w:t>
      </w:r>
      <w:r>
        <w:rPr>
          <w:rFonts w:ascii="Calibri" w:cs="Calibri" w:eastAsia="Calibri" w:hAnsi="Calibri"/>
          <w:sz w:val="20"/>
          <w:szCs w:val="20"/>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-75565</wp:posOffset>
            </wp:positionV>
            <wp:extent cx="31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ind w:left="4" w:right="300" w:firstLine="518"/>
        <w:spacing w:after="0" w:line="234" w:lineRule="auto"/>
        <w:rPr>
          <w:sz w:val="20"/>
          <w:szCs w:val="20"/>
          <w:color w:val="auto"/>
        </w:rPr>
      </w:pPr>
      <w:r>
        <w:rPr>
          <w:rFonts w:ascii="Calibri" w:cs="Calibri" w:eastAsia="Calibri" w:hAnsi="Calibri"/>
          <w:sz w:val="20"/>
          <w:szCs w:val="20"/>
          <w:color w:val="auto"/>
        </w:rPr>
        <w:t>SECTION 5.9. PLEDGE OF ASSETS. Mortgage, pledge, grant or permit to exist a security interest in, or lien upon, all or any porton of Borrower's or any subsidiary’s assets now owned or hereafer acquired, except (i) any of the foregoing in favor of Bank,</w:t>
      </w:r>
    </w:p>
    <w:p>
      <w:pPr>
        <w:spacing w:after="0" w:line="23" w:lineRule="exact"/>
        <w:rPr>
          <w:sz w:val="20"/>
          <w:szCs w:val="20"/>
          <w:color w:val="auto"/>
        </w:rPr>
      </w:pPr>
    </w:p>
    <w:p>
      <w:pPr>
        <w:ind w:left="4" w:right="260" w:hanging="4"/>
        <w:spacing w:after="0" w:line="236" w:lineRule="auto"/>
        <w:tabs>
          <w:tab w:leader="none" w:pos="266"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 xml:space="preserve">any of the foregoing which is existng as of the date hereof and set forth on (and all of which Borrower represents are disclosed on) </w:t>
      </w:r>
      <w:r>
        <w:rPr>
          <w:rFonts w:ascii="Calibri" w:cs="Calibri" w:eastAsia="Calibri" w:hAnsi="Calibri"/>
          <w:sz w:val="20"/>
          <w:szCs w:val="20"/>
          <w:u w:val="single" w:color="auto"/>
          <w:color w:val="auto"/>
        </w:rPr>
        <w:t>Schedule 5.9</w:t>
      </w:r>
      <w:r>
        <w:rPr>
          <w:rFonts w:ascii="Calibri" w:cs="Calibri" w:eastAsia="Calibri" w:hAnsi="Calibri"/>
          <w:sz w:val="20"/>
          <w:szCs w:val="20"/>
          <w:color w:val="auto"/>
        </w:rPr>
        <w:t>, (iii) (a) liens securing the indebtedness which is permited to be incurred and secured under Secton 5.4(c), but only to the extent such liens atach solely to the property so acquired in the applicable transacton, and (b) liens securing</w:t>
      </w:r>
    </w:p>
    <w:p>
      <w:pPr>
        <w:spacing w:after="0" w:line="22" w:lineRule="exact"/>
        <w:rPr>
          <w:rFonts w:ascii="Calibri" w:cs="Calibri" w:eastAsia="Calibri" w:hAnsi="Calibri"/>
          <w:sz w:val="20"/>
          <w:szCs w:val="20"/>
          <w:color w:val="auto"/>
        </w:rPr>
      </w:pPr>
    </w:p>
    <w:p>
      <w:pPr>
        <w:jc w:val="both"/>
        <w:ind w:left="4" w:right="3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indebtedness which is permited and secured under Sectons 5.4(f), but only to the extent such liens atach solely to the property so acquired in the applicable transacton under Secton 5.4(f) (“Permited Target Liens”), (iv) statutory liens of landlords, carriers, warehousemen, processors, mechanics, materialmen or suppliers incurred in the ordinary course of business (1) and securing</w:t>
      </w:r>
    </w:p>
    <w:p>
      <w:pPr>
        <w:spacing w:after="0" w:line="22" w:lineRule="exact"/>
        <w:rPr>
          <w:rFonts w:ascii="Calibri" w:cs="Calibri" w:eastAsia="Calibri" w:hAnsi="Calibri"/>
          <w:sz w:val="20"/>
          <w:szCs w:val="20"/>
          <w:color w:val="auto"/>
        </w:rPr>
      </w:pPr>
    </w:p>
    <w:p>
      <w:pPr>
        <w:ind w:left="4" w:right="2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amounts not yet due or (2) declared to be due by the claimant thereunder which are not overdue by more than thirty (30) days or amounts which are being contested in good faith and by appropriate proceedings and for which Borrower has maintained adequate reserves, provided that a reserve or other appropriate provision shall have been made therefor and the aggregate</w:t>
      </w:r>
    </w:p>
    <w:p>
      <w:pPr>
        <w:spacing w:after="0" w:line="22" w:lineRule="exact"/>
        <w:rPr>
          <w:rFonts w:ascii="Calibri" w:cs="Calibri" w:eastAsia="Calibri" w:hAnsi="Calibri"/>
          <w:sz w:val="20"/>
          <w:szCs w:val="20"/>
          <w:color w:val="auto"/>
        </w:rPr>
      </w:pPr>
    </w:p>
    <w:p>
      <w:pPr>
        <w:ind w:left="4" w:right="2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amount of such liens and the aggregate amount of obligatons covered thereby under this clause (2) is less than $500,000 (“Permited Warehouseman’s Liens”), (v) liens for taxes, assessments and governmental charges not yet due and payable or which are being contested in good faith and by appropriate proceedings, provided that adequate reserves with respect thereto are</w:t>
      </w:r>
    </w:p>
    <w:p>
      <w:pPr>
        <w:spacing w:after="0" w:line="22" w:lineRule="exact"/>
        <w:rPr>
          <w:rFonts w:ascii="Calibri" w:cs="Calibri" w:eastAsia="Calibri" w:hAnsi="Calibri"/>
          <w:sz w:val="20"/>
          <w:szCs w:val="20"/>
          <w:color w:val="auto"/>
        </w:rPr>
      </w:pPr>
    </w:p>
    <w:p>
      <w:pPr>
        <w:ind w:left="4" w:right="5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maintained on the books of Borrower or its subsidiaries, as the case may be, in conformity with generally accepted accountng principles, (vi) zoning restrictons and easements, licenses, covenants and other restrictons aﬀectng the use of real property which, in the aggregate, are not substantal in amount, and which do not in any case materially detract from the value of the</w:t>
      </w:r>
    </w:p>
    <w:p>
      <w:pPr>
        <w:spacing w:after="0" w:line="22" w:lineRule="exact"/>
        <w:rPr>
          <w:rFonts w:ascii="Calibri" w:cs="Calibri" w:eastAsia="Calibri" w:hAnsi="Calibri"/>
          <w:sz w:val="20"/>
          <w:szCs w:val="20"/>
          <w:color w:val="auto"/>
        </w:rPr>
      </w:pPr>
    </w:p>
    <w:p>
      <w:pPr>
        <w:ind w:left="4" w:right="4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property subject thereto or materially interfere with the ordinary course of the business of the applicable person/entty, (vii) pledges and deposits made in the ordinary course of business in compliance with workers compensaton, unemployment insurance and other social security laws and regulatons in an aggregate amount not to exceed $500,000, (viii) liens granted by a</w:t>
      </w:r>
    </w:p>
    <w:p>
      <w:pPr>
        <w:spacing w:after="0" w:line="22" w:lineRule="exact"/>
        <w:rPr>
          <w:rFonts w:ascii="Calibri" w:cs="Calibri" w:eastAsia="Calibri" w:hAnsi="Calibri"/>
          <w:sz w:val="20"/>
          <w:szCs w:val="20"/>
          <w:color w:val="auto"/>
        </w:rPr>
      </w:pPr>
    </w:p>
    <w:p>
      <w:pPr>
        <w:ind w:left="4" w:right="66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subsidiary of Borrower in favor of Borrower and (viii) judgment liens in respect of judgments that do not (if any) consttute an Event of Default (collectvely, “Permited Liens”).</w:t>
      </w:r>
    </w:p>
    <w:p>
      <w:pPr>
        <w:spacing w:after="0" w:line="149" w:lineRule="exact"/>
        <w:rPr>
          <w:sz w:val="20"/>
          <w:szCs w:val="20"/>
          <w:color w:val="auto"/>
        </w:rPr>
      </w:pPr>
    </w:p>
    <w:p>
      <w:pPr>
        <w:ind w:left="524"/>
        <w:spacing w:after="0"/>
        <w:tabs>
          <w:tab w:leader="none" w:pos="1844" w:val="left"/>
        </w:tabs>
        <w:rPr>
          <w:sz w:val="20"/>
          <w:szCs w:val="20"/>
          <w:color w:val="auto"/>
        </w:rPr>
      </w:pPr>
      <w:r>
        <w:rPr>
          <w:rFonts w:ascii="Calibri" w:cs="Calibri" w:eastAsia="Calibri" w:hAnsi="Calibri"/>
          <w:sz w:val="20"/>
          <w:szCs w:val="20"/>
          <w:color w:val="auto"/>
        </w:rPr>
        <w:t>SECTION 5.10.</w:t>
        <w:tab/>
        <w:t>FISCAL YEAR; STATUS AS A C-CORPORATION. Not change (a) its fiscal</w:t>
      </w:r>
    </w:p>
    <w:p>
      <w:pPr>
        <w:spacing w:after="0" w:line="7" w:lineRule="exact"/>
        <w:rPr>
          <w:sz w:val="20"/>
          <w:szCs w:val="20"/>
          <w:color w:val="auto"/>
        </w:rPr>
      </w:pPr>
    </w:p>
    <w:p>
      <w:pPr>
        <w:ind w:left="4" w:right="640"/>
        <w:spacing w:after="0" w:line="215" w:lineRule="auto"/>
        <w:rPr>
          <w:sz w:val="20"/>
          <w:szCs w:val="20"/>
          <w:color w:val="auto"/>
        </w:rPr>
      </w:pPr>
      <w:r>
        <w:rPr>
          <w:rFonts w:ascii="Calibri" w:cs="Calibri" w:eastAsia="Calibri" w:hAnsi="Calibri"/>
          <w:sz w:val="20"/>
          <w:szCs w:val="20"/>
          <w:color w:val="auto"/>
        </w:rPr>
        <w:t>year/fiscal year-end (from a December 31</w:t>
      </w:r>
      <w:r>
        <w:rPr>
          <w:rFonts w:ascii="Calibri" w:cs="Calibri" w:eastAsia="Calibri" w:hAnsi="Calibri"/>
          <w:sz w:val="25"/>
          <w:szCs w:val="25"/>
          <w:color w:val="auto"/>
          <w:vertAlign w:val="superscript"/>
        </w:rPr>
        <w:t>st</w:t>
      </w:r>
      <w:r>
        <w:rPr>
          <w:rFonts w:ascii="Calibri" w:cs="Calibri" w:eastAsia="Calibri" w:hAnsi="Calibri"/>
          <w:sz w:val="20"/>
          <w:szCs w:val="20"/>
          <w:color w:val="auto"/>
        </w:rPr>
        <w:t xml:space="preserve"> fiscal year end), or (b), in the case of Borrower, its status as a C-corporaton for tax purposes.</w:t>
      </w:r>
    </w:p>
    <w:p>
      <w:pPr>
        <w:spacing w:after="0" w:line="148" w:lineRule="exact"/>
        <w:rPr>
          <w:sz w:val="20"/>
          <w:szCs w:val="20"/>
          <w:color w:val="auto"/>
        </w:rPr>
      </w:pPr>
    </w:p>
    <w:p>
      <w:pPr>
        <w:ind w:left="644"/>
        <w:spacing w:after="0"/>
        <w:tabs>
          <w:tab w:leader="none" w:pos="1984" w:val="left"/>
        </w:tabs>
        <w:rPr>
          <w:sz w:val="20"/>
          <w:szCs w:val="20"/>
          <w:color w:val="auto"/>
        </w:rPr>
      </w:pPr>
      <w:r>
        <w:rPr>
          <w:rFonts w:ascii="Calibri" w:cs="Calibri" w:eastAsia="Calibri" w:hAnsi="Calibri"/>
          <w:sz w:val="20"/>
          <w:szCs w:val="20"/>
          <w:color w:val="auto"/>
        </w:rPr>
        <w:t>SECTION 5.11.</w:t>
      </w:r>
      <w:r>
        <w:rPr>
          <w:sz w:val="20"/>
          <w:szCs w:val="20"/>
          <w:color w:val="auto"/>
        </w:rPr>
        <w:tab/>
      </w:r>
      <w:r>
        <w:rPr>
          <w:rFonts w:ascii="Calibri" w:cs="Calibri" w:eastAsia="Calibri" w:hAnsi="Calibri"/>
          <w:sz w:val="19"/>
          <w:szCs w:val="19"/>
          <w:color w:val="auto"/>
        </w:rPr>
        <w:t>RESERVED.</w:t>
      </w:r>
    </w:p>
    <w:p>
      <w:pPr>
        <w:spacing w:after="0" w:line="238" w:lineRule="exact"/>
        <w:rPr>
          <w:sz w:val="20"/>
          <w:szCs w:val="20"/>
          <w:color w:val="auto"/>
        </w:rPr>
      </w:pPr>
    </w:p>
    <w:p>
      <w:pPr>
        <w:jc w:val="both"/>
        <w:ind w:left="4" w:firstLine="730"/>
        <w:spacing w:after="0"/>
        <w:rPr>
          <w:sz w:val="20"/>
          <w:szCs w:val="20"/>
          <w:color w:val="auto"/>
        </w:rPr>
      </w:pPr>
      <w:r>
        <w:rPr>
          <w:rFonts w:ascii="Calibri" w:cs="Calibri" w:eastAsia="Calibri" w:hAnsi="Calibri"/>
          <w:sz w:val="20"/>
          <w:szCs w:val="20"/>
          <w:color w:val="auto"/>
        </w:rPr>
        <w:t>SECTION 5.12. TRANSACTIONS WITH AFFILIATES. Neither Borrower nor any of its subsidiaries shall permit to exist or enter into any transacton (including the purchase, sale, lease or exchange of any property or the rendering of any service) with any aﬃliate of any such entty (but not</w:t>
      </w:r>
    </w:p>
    <w:p>
      <w:pPr>
        <w:sectPr>
          <w:pgSz w:w="11900" w:h="16838" w:orient="portrait"/>
          <w:cols w:equalWidth="0" w:num="1">
            <w:col w:w="10924"/>
          </w:cols>
          <w:pgMar w:left="436" w:top="1440" w:right="539" w:bottom="1440" w:gutter="0" w:footer="0" w:header="0"/>
        </w:sectPr>
      </w:pPr>
    </w:p>
    <w:bookmarkStart w:id="126" w:name="page127"/>
    <w:bookmarkEnd w:id="126"/>
    <w:p>
      <w:pPr>
        <w:spacing w:after="0" w:line="201" w:lineRule="exact"/>
        <w:rPr>
          <w:sz w:val="20"/>
          <w:szCs w:val="20"/>
          <w:color w:val="auto"/>
        </w:rPr>
      </w:pPr>
    </w:p>
    <w:p>
      <w:pPr>
        <w:ind w:left="120" w:right="40"/>
        <w:spacing w:after="0"/>
        <w:rPr>
          <w:sz w:val="20"/>
          <w:szCs w:val="20"/>
          <w:color w:val="auto"/>
        </w:rPr>
      </w:pPr>
      <w:r>
        <w:rPr>
          <w:rFonts w:ascii="Calibri" w:cs="Calibri" w:eastAsia="Calibri" w:hAnsi="Calibri"/>
          <w:sz w:val="20"/>
          <w:szCs w:val="20"/>
          <w:color w:val="auto"/>
        </w:rPr>
        <w:t>including Borrower or any such subsidiaries), except (i) transactons pursuant to the reasonable requirements of the business of such entty and upon fair and reasonable terms which are no less favorable to such entty than would be obtained in a comparable arm’s length transacton with an entty that is not an aﬃliate and (ii) distributons permited under Secton 5.8.</w:t>
      </w:r>
    </w:p>
    <w:p>
      <w:pPr>
        <w:spacing w:after="0" w:line="243" w:lineRule="exact"/>
        <w:rPr>
          <w:sz w:val="20"/>
          <w:szCs w:val="20"/>
          <w:color w:val="auto"/>
        </w:rPr>
      </w:pPr>
    </w:p>
    <w:p>
      <w:pPr>
        <w:jc w:val="center"/>
        <w:ind w:right="-219"/>
        <w:spacing w:after="0"/>
        <w:rPr>
          <w:sz w:val="20"/>
          <w:szCs w:val="20"/>
          <w:color w:val="auto"/>
        </w:rPr>
      </w:pPr>
      <w:r>
        <w:rPr>
          <w:rFonts w:ascii="Calibri" w:cs="Calibri" w:eastAsia="Calibri" w:hAnsi="Calibri"/>
          <w:sz w:val="20"/>
          <w:szCs w:val="20"/>
          <w:u w:val="single" w:color="auto"/>
          <w:color w:val="auto"/>
        </w:rPr>
        <w:t>ARTICLE VI</w:t>
      </w:r>
    </w:p>
    <w:p>
      <w:pPr>
        <w:spacing w:after="0" w:line="161" w:lineRule="exact"/>
        <w:rPr>
          <w:sz w:val="20"/>
          <w:szCs w:val="20"/>
          <w:color w:val="auto"/>
        </w:rPr>
      </w:pPr>
    </w:p>
    <w:p>
      <w:pPr>
        <w:jc w:val="center"/>
        <w:ind w:right="-219"/>
        <w:spacing w:after="0"/>
        <w:rPr>
          <w:sz w:val="20"/>
          <w:szCs w:val="20"/>
          <w:color w:val="auto"/>
        </w:rPr>
      </w:pPr>
      <w:r>
        <w:rPr>
          <w:rFonts w:ascii="Calibri" w:cs="Calibri" w:eastAsia="Calibri" w:hAnsi="Calibri"/>
          <w:sz w:val="20"/>
          <w:szCs w:val="20"/>
          <w:u w:val="single" w:color="auto"/>
          <w:color w:val="auto"/>
        </w:rPr>
        <w:t>EVENTS OF DEFAULT</w:t>
      </w:r>
    </w:p>
    <w:p>
      <w:pPr>
        <w:spacing w:after="0" w:line="323" w:lineRule="exact"/>
        <w:rPr>
          <w:sz w:val="20"/>
          <w:szCs w:val="20"/>
          <w:color w:val="auto"/>
        </w:rPr>
      </w:pPr>
    </w:p>
    <w:p>
      <w:pPr>
        <w:ind w:left="640"/>
        <w:spacing w:after="0"/>
        <w:tabs>
          <w:tab w:leader="none" w:pos="1860" w:val="left"/>
        </w:tabs>
        <w:rPr>
          <w:sz w:val="20"/>
          <w:szCs w:val="20"/>
          <w:color w:val="auto"/>
        </w:rPr>
      </w:pPr>
      <w:r>
        <w:rPr>
          <w:rFonts w:ascii="Calibri" w:cs="Calibri" w:eastAsia="Calibri" w:hAnsi="Calibri"/>
          <w:sz w:val="20"/>
          <w:szCs w:val="20"/>
          <w:color w:val="auto"/>
        </w:rPr>
        <w:t>SECTION 6.1.</w:t>
        <w:tab/>
        <w:t>The occurrence of any of the following shall consttute an "Event of Default" under this Agreement:</w:t>
      </w:r>
    </w:p>
    <w:p>
      <w:pPr>
        <w:spacing w:after="0" w:line="252" w:lineRule="exact"/>
        <w:rPr>
          <w:sz w:val="20"/>
          <w:szCs w:val="20"/>
          <w:color w:val="auto"/>
        </w:rPr>
      </w:pPr>
    </w:p>
    <w:p>
      <w:pPr>
        <w:ind w:firstLine="656"/>
        <w:spacing w:after="0" w:line="231" w:lineRule="auto"/>
        <w:tabs>
          <w:tab w:leader="none" w:pos="914"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Borrower shall fail to pay when due any (i) principal or (ii) interest, fees or other amounts payable under any of the Loan Documents, which failure, in the case (and only in the case) of any of the items which are the subject of clause (ii) above, contnues for at least three (3) business days afer the applicable due date.</w:t>
      </w:r>
    </w:p>
    <w:p>
      <w:pPr>
        <w:spacing w:after="0" w:line="253" w:lineRule="exact"/>
        <w:rPr>
          <w:rFonts w:ascii="Calibri" w:cs="Calibri" w:eastAsia="Calibri" w:hAnsi="Calibri"/>
          <w:sz w:val="20"/>
          <w:szCs w:val="20"/>
          <w:color w:val="auto"/>
        </w:rPr>
      </w:pPr>
    </w:p>
    <w:p>
      <w:pPr>
        <w:ind w:right="120" w:firstLine="656"/>
        <w:spacing w:after="0" w:line="231" w:lineRule="auto"/>
        <w:tabs>
          <w:tab w:leader="none" w:pos="923"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Any financial statement or certficate furnished to Bank in connecton with, or any representaton or warranty made by Borrower or any other party under this Agreement or any other Loan Document shall prove to be incorrect, false or misleading in any material respect when furnished or made.</w:t>
      </w:r>
    </w:p>
    <w:p>
      <w:pPr>
        <w:spacing w:after="0" w:line="159" w:lineRule="exact"/>
        <w:rPr>
          <w:rFonts w:ascii="Calibri" w:cs="Calibri" w:eastAsia="Calibri" w:hAnsi="Calibri"/>
          <w:sz w:val="20"/>
          <w:szCs w:val="20"/>
          <w:color w:val="auto"/>
        </w:rPr>
      </w:pPr>
    </w:p>
    <w:p>
      <w:pPr>
        <w:ind w:right="140" w:firstLine="656"/>
        <w:spacing w:after="0" w:line="236" w:lineRule="auto"/>
        <w:tabs>
          <w:tab w:leader="none" w:pos="902"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Any default in the performance of or compliance with: (1) any negatve covenant set forth in Artcle V hereof; (2) any aﬃrmatve covenant which is the subject of any of Sectons 4.2, 4.3, 4.9 or 4.11, provided that in the case of Secton 4.3 and the tme required to deliver any of the financial statements which are the subject thereof, any such failure shall contnue for at least five (5) business days afer the delivery date specified in such Secton 4.3, except that, in the case of Secton 4.3(a) and the tme required to</w:t>
      </w:r>
    </w:p>
    <w:p>
      <w:pPr>
        <w:spacing w:after="0" w:line="25" w:lineRule="exact"/>
        <w:rPr>
          <w:rFonts w:ascii="Calibri" w:cs="Calibri" w:eastAsia="Calibri" w:hAnsi="Calibri"/>
          <w:sz w:val="20"/>
          <w:szCs w:val="20"/>
          <w:color w:val="auto"/>
        </w:rPr>
      </w:pPr>
    </w:p>
    <w:p>
      <w:pPr>
        <w:ind w:right="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deliver any financial statements which are the subject thereof, such failure shall not consttute an Event of Default so long as a draf of the financial statements required by Secton 4.3(a) are prepared by the accountants and delivered within fifeen (15) days of the date required by Secton 4.3(a) and the final financial statements prepared by such accountants are delivered within thirty (30) days of the</w:t>
      </w:r>
    </w:p>
    <w:p>
      <w:pPr>
        <w:spacing w:after="0" w:line="22" w:lineRule="exact"/>
        <w:rPr>
          <w:rFonts w:ascii="Calibri" w:cs="Calibri" w:eastAsia="Calibri" w:hAnsi="Calibri"/>
          <w:sz w:val="20"/>
          <w:szCs w:val="20"/>
          <w:color w:val="auto"/>
        </w:rPr>
      </w:pPr>
    </w:p>
    <w:p>
      <w:pPr>
        <w:ind w:right="20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date required by Secton 4.3(a); or (3) any obligaton, agreement or other provision contained herein or in any other Loan Document related to Sanctons, Ant-Money Laundering Laws, or Ant-Corrupton Laws.</w:t>
      </w:r>
    </w:p>
    <w:p>
      <w:pPr>
        <w:spacing w:after="0" w:line="158" w:lineRule="exact"/>
        <w:rPr>
          <w:rFonts w:ascii="Calibri" w:cs="Calibri" w:eastAsia="Calibri" w:hAnsi="Calibri"/>
          <w:sz w:val="20"/>
          <w:szCs w:val="20"/>
          <w:color w:val="auto"/>
        </w:rPr>
      </w:pPr>
    </w:p>
    <w:p>
      <w:pPr>
        <w:ind w:right="120" w:firstLine="656"/>
        <w:spacing w:after="0" w:line="236" w:lineRule="auto"/>
        <w:tabs>
          <w:tab w:leader="none" w:pos="923"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Any default in the performance of or compliance with any obligaton, agreement or other provision contained herein or in any other Loan Document (other than those defaults specifically described as consttutng an “Event of Default” under any other subsecton of this Secton 6.1), and with respect to such default(s) that by their nature can be cured, such default shall contnue for a</w:t>
      </w:r>
    </w:p>
    <w:p>
      <w:pPr>
        <w:spacing w:after="0" w:line="22" w:lineRule="exact"/>
        <w:rPr>
          <w:rFonts w:ascii="Calibri" w:cs="Calibri" w:eastAsia="Calibri" w:hAnsi="Calibri"/>
          <w:sz w:val="20"/>
          <w:szCs w:val="20"/>
          <w:color w:val="auto"/>
        </w:rPr>
      </w:pPr>
    </w:p>
    <w:p>
      <w:pPr>
        <w:ind w:right="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period of twenty (20) days from the date that Borrower has knowledge/notce of any such default or would reasonably be expected to have knowledge of any such default; provided that, in the event that such Event of Default is not capable of being cured within such twenty (20) day period (the “Inital Period”) but is capable of being cured within an additonal twenty (20) day period, Borrower shall</w:t>
      </w:r>
    </w:p>
    <w:p>
      <w:pPr>
        <w:spacing w:after="0" w:line="22" w:lineRule="exact"/>
        <w:rPr>
          <w:rFonts w:ascii="Calibri" w:cs="Calibri" w:eastAsia="Calibri" w:hAnsi="Calibri"/>
          <w:sz w:val="20"/>
          <w:szCs w:val="20"/>
          <w:color w:val="auto"/>
        </w:rPr>
      </w:pPr>
    </w:p>
    <w:p>
      <w:pPr>
        <w:ind w:right="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be aﬀorded an additonal twenty (20) day period (i.e., in additon to the Inital Period) to cure such Event of Default so long as it commences at the beginning of the Inital Period to achieve such cure and diligently endeavors to achieve such cure during such Inital Period and thereafer diligently endeavors to achieve such cure during such subsequent twenty (20) day period.</w:t>
      </w:r>
    </w:p>
    <w:p>
      <w:pPr>
        <w:sectPr>
          <w:pgSz w:w="11900" w:h="16838" w:orient="portrait"/>
          <w:cols w:equalWidth="0" w:num="1">
            <w:col w:w="11040"/>
          </w:cols>
          <w:pgMar w:left="320" w:top="1440" w:right="539" w:bottom="1440" w:gutter="0" w:footer="0" w:header="0"/>
        </w:sectPr>
      </w:pPr>
    </w:p>
    <w:bookmarkStart w:id="127" w:name="page128"/>
    <w:bookmarkEnd w:id="127"/>
    <w:p>
      <w:pPr>
        <w:spacing w:after="0" w:line="120" w:lineRule="exact"/>
        <w:rPr>
          <w:sz w:val="20"/>
          <w:szCs w:val="20"/>
          <w:color w:val="auto"/>
        </w:rPr>
      </w:pPr>
    </w:p>
    <w:p>
      <w:pPr>
        <w:ind w:firstLine="656"/>
        <w:spacing w:after="0" w:line="236" w:lineRule="auto"/>
        <w:tabs>
          <w:tab w:leader="none" w:pos="917" w:val="left"/>
        </w:tabs>
        <w:numPr>
          <w:ilvl w:val="1"/>
          <w:numId w:val="67"/>
        </w:numPr>
        <w:rPr>
          <w:rFonts w:ascii="Calibri" w:cs="Calibri" w:eastAsia="Calibri" w:hAnsi="Calibri"/>
          <w:sz w:val="20"/>
          <w:szCs w:val="20"/>
          <w:color w:val="auto"/>
        </w:rPr>
      </w:pPr>
      <w:r>
        <w:rPr>
          <w:rFonts w:ascii="Calibri" w:cs="Calibri" w:eastAsia="Calibri" w:hAnsi="Calibri"/>
          <w:sz w:val="20"/>
          <w:szCs w:val="20"/>
          <w:color w:val="auto"/>
        </w:rPr>
        <w:t>Any default in the payment or performance of any obligaton (beyond the expiraton of any applicable express notce or express cure periods), or any defined event of default, under the terms of any contract, instrument or document (other than any of the Loan Documents) pursuant to which Borrower or any of its subsidiaries has incurred any debt or other liability to any person or entty,</w:t>
      </w:r>
    </w:p>
    <w:p>
      <w:pPr>
        <w:spacing w:after="0" w:line="22" w:lineRule="exact"/>
        <w:rPr>
          <w:rFonts w:ascii="Calibri" w:cs="Calibri" w:eastAsia="Calibri" w:hAnsi="Calibri"/>
          <w:sz w:val="20"/>
          <w:szCs w:val="20"/>
          <w:color w:val="auto"/>
        </w:rPr>
      </w:pPr>
    </w:p>
    <w:p>
      <w:pPr>
        <w:ind w:right="8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including the Bank, provided that in the case of any such debt or liability owing to any person or entty other than Bank, the aggregate amount of such debts or liabilites owing to any such person/entty, or all such persons/enttes in the aggregate, exceeds $500,000.</w:t>
      </w:r>
    </w:p>
    <w:p>
      <w:pPr>
        <w:spacing w:after="0" w:line="158" w:lineRule="exact"/>
        <w:rPr>
          <w:rFonts w:ascii="Calibri" w:cs="Calibri" w:eastAsia="Calibri" w:hAnsi="Calibri"/>
          <w:sz w:val="20"/>
          <w:szCs w:val="20"/>
          <w:color w:val="auto"/>
        </w:rPr>
      </w:pPr>
    </w:p>
    <w:p>
      <w:pPr>
        <w:ind w:right="140" w:firstLine="656"/>
        <w:spacing w:after="0" w:line="236" w:lineRule="auto"/>
        <w:tabs>
          <w:tab w:leader="none" w:pos="881" w:val="left"/>
        </w:tabs>
        <w:numPr>
          <w:ilvl w:val="1"/>
          <w:numId w:val="67"/>
        </w:numPr>
        <w:rPr>
          <w:rFonts w:ascii="Calibri" w:cs="Calibri" w:eastAsia="Calibri" w:hAnsi="Calibri"/>
          <w:sz w:val="20"/>
          <w:szCs w:val="20"/>
          <w:color w:val="auto"/>
        </w:rPr>
      </w:pPr>
      <w:r>
        <w:rPr>
          <w:rFonts w:ascii="Calibri" w:cs="Calibri" w:eastAsia="Calibri" w:hAnsi="Calibri"/>
          <w:sz w:val="20"/>
          <w:szCs w:val="20"/>
          <w:color w:val="auto"/>
        </w:rPr>
        <w:t>Borrower, any of its subsidiaries or any Guarantor shall become insolvent, or shall suﬀer or consent to or apply for the appointment of a receiver, trustee, custodian or liquidator of itself or any of its property, or shall generally fail to pay its debts as they become due, or shall make a general assignment for the benefit of creditors; Borrower, any of its subsidiaries or any Guarantor shall</w:t>
      </w:r>
    </w:p>
    <w:p>
      <w:pPr>
        <w:spacing w:after="0" w:line="22" w:lineRule="exact"/>
        <w:rPr>
          <w:rFonts w:ascii="Calibri" w:cs="Calibri" w:eastAsia="Calibri" w:hAnsi="Calibri"/>
          <w:sz w:val="20"/>
          <w:szCs w:val="20"/>
          <w:color w:val="auto"/>
        </w:rPr>
      </w:pPr>
    </w:p>
    <w:p>
      <w:pPr>
        <w:ind w:right="10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file a voluntary petton in bankruptcy, or seeking reorganizaton, in order to eﬀect a plan or other arrangement with creditors or any other relief under the Bankruptcy Reform Act, Title 11 of the United States Code, as amended or recodified from tme to tme ("Bankruptcy Code"), or under any state or federal law grantng relief to debtors, whether now or hereafer in eﬀect; Borrower, any of</w:t>
      </w:r>
    </w:p>
    <w:p>
      <w:pPr>
        <w:spacing w:after="0" w:line="22" w:lineRule="exact"/>
        <w:rPr>
          <w:rFonts w:ascii="Calibri" w:cs="Calibri" w:eastAsia="Calibri" w:hAnsi="Calibri"/>
          <w:sz w:val="20"/>
          <w:szCs w:val="20"/>
          <w:color w:val="auto"/>
        </w:rPr>
      </w:pPr>
    </w:p>
    <w:p>
      <w:pPr>
        <w:ind w:right="2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its subsidiaries or any Guarantor shall file an answer admitng the jurisdicton of the court and the material allegatons of any involuntary petton; or Borrower, any of its subsidiaries or any Guarantor shall be adjudicated a bankrupt, or an order for relief shall be entered against Borrower, any of its subsidiaries or any Guarantor by any court of competent jurisdicton under the Bankruptcy</w:t>
      </w:r>
    </w:p>
    <w:p>
      <w:pPr>
        <w:spacing w:after="0" w:line="22" w:lineRule="exact"/>
        <w:rPr>
          <w:rFonts w:ascii="Calibri" w:cs="Calibri" w:eastAsia="Calibri" w:hAnsi="Calibri"/>
          <w:sz w:val="20"/>
          <w:szCs w:val="20"/>
          <w:color w:val="auto"/>
        </w:rPr>
      </w:pPr>
    </w:p>
    <w:p>
      <w:pPr>
        <w:ind w:right="200"/>
        <w:spacing w:after="0"/>
        <w:rPr>
          <w:rFonts w:ascii="Calibri" w:cs="Calibri" w:eastAsia="Calibri" w:hAnsi="Calibri"/>
          <w:sz w:val="20"/>
          <w:szCs w:val="20"/>
          <w:color w:val="auto"/>
        </w:rPr>
      </w:pPr>
      <w:r>
        <w:rPr>
          <w:rFonts w:ascii="Calibri" w:cs="Calibri" w:eastAsia="Calibri" w:hAnsi="Calibri"/>
          <w:sz w:val="20"/>
          <w:szCs w:val="20"/>
          <w:color w:val="auto"/>
        </w:rPr>
        <w:t>Code or any other applicable state or federal law relatng to bankruptcy, reorganizaton or other relief for debtors; or any involuntary petton or proceeding pursuant to the Bankruptcy Code or any other applicable state or federal law relatng to bankruptcy, reorganizaton or other relief for debtors is filed or commenced against Borrower, any of its subsidiaries or any Guarantor and not dismissed within sixty (60) days of the filing thereof.</w:t>
      </w:r>
    </w:p>
    <w:p>
      <w:pPr>
        <w:spacing w:after="0" w:line="134" w:lineRule="exact"/>
        <w:rPr>
          <w:rFonts w:ascii="Calibri" w:cs="Calibri" w:eastAsia="Calibri" w:hAnsi="Calibri"/>
          <w:sz w:val="20"/>
          <w:szCs w:val="20"/>
          <w:color w:val="auto"/>
        </w:rPr>
      </w:pPr>
    </w:p>
    <w:p>
      <w:pPr>
        <w:ind w:left="920" w:hanging="264"/>
        <w:spacing w:after="0"/>
        <w:tabs>
          <w:tab w:leader="none" w:pos="920" w:val="left"/>
        </w:tabs>
        <w:numPr>
          <w:ilvl w:val="1"/>
          <w:numId w:val="67"/>
        </w:numPr>
        <w:rPr>
          <w:rFonts w:ascii="Calibri" w:cs="Calibri" w:eastAsia="Calibri" w:hAnsi="Calibri"/>
          <w:sz w:val="20"/>
          <w:szCs w:val="20"/>
          <w:color w:val="auto"/>
        </w:rPr>
      </w:pPr>
      <w:r>
        <w:rPr>
          <w:rFonts w:ascii="Calibri" w:cs="Calibri" w:eastAsia="Calibri" w:hAnsi="Calibri"/>
          <w:sz w:val="20"/>
          <w:szCs w:val="20"/>
          <w:color w:val="auto"/>
        </w:rPr>
        <w:t>(i) One or more judgments or decrees shall be entered against Borrower or any of its subsidiaries, and at the same tme</w:t>
      </w:r>
    </w:p>
    <w:p>
      <w:pPr>
        <w:spacing w:after="0" w:line="22" w:lineRule="exact"/>
        <w:rPr>
          <w:rFonts w:ascii="Calibri" w:cs="Calibri" w:eastAsia="Calibri" w:hAnsi="Calibri"/>
          <w:sz w:val="20"/>
          <w:szCs w:val="20"/>
          <w:color w:val="auto"/>
        </w:rPr>
      </w:pPr>
    </w:p>
    <w:p>
      <w:pPr>
        <w:ind w:right="2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shall be outstanding and not satsfied or vacated, involving in the aggregate a liability of $1,000,000 or more (net of insurance proceeds actually received by Borrower or its subsidiaries or actually received within thirty (30) days of such judgment) and all such judgments or decrees shall not have been paid and satsfied, vacated, discharged, stayed or bonded pending appeal, within thirty</w:t>
      </w:r>
    </w:p>
    <w:p>
      <w:pPr>
        <w:spacing w:after="0" w:line="22" w:lineRule="exact"/>
        <w:rPr>
          <w:rFonts w:ascii="Calibri" w:cs="Calibri" w:eastAsia="Calibri" w:hAnsi="Calibri"/>
          <w:sz w:val="20"/>
          <w:szCs w:val="20"/>
          <w:color w:val="auto"/>
        </w:rPr>
      </w:pPr>
    </w:p>
    <w:p>
      <w:pPr>
        <w:ind w:right="180" w:firstLine="8"/>
        <w:spacing w:after="0" w:line="236" w:lineRule="auto"/>
        <w:tabs>
          <w:tab w:leader="none" w:pos="374" w:val="left"/>
        </w:tabs>
        <w:numPr>
          <w:ilvl w:val="0"/>
          <w:numId w:val="68"/>
        </w:numPr>
        <w:rPr>
          <w:rFonts w:ascii="Calibri" w:cs="Calibri" w:eastAsia="Calibri" w:hAnsi="Calibri"/>
          <w:sz w:val="20"/>
          <w:szCs w:val="20"/>
          <w:color w:val="auto"/>
        </w:rPr>
      </w:pPr>
      <w:r>
        <w:rPr>
          <w:rFonts w:ascii="Calibri" w:cs="Calibri" w:eastAsia="Calibri" w:hAnsi="Calibri"/>
          <w:sz w:val="20"/>
          <w:szCs w:val="20"/>
          <w:color w:val="auto"/>
        </w:rPr>
        <w:t>days from the entry thereof, or (ii) any injuncton, temporary restraining order or similar decree shall be issued against Borrower or any of its subsidiaries that, individually or in the aggregate, has had or could reasonably be expected to result in a Material Adverse Eﬀect.</w:t>
      </w:r>
    </w:p>
    <w:p>
      <w:pPr>
        <w:spacing w:after="0" w:line="147" w:lineRule="exact"/>
        <w:rPr>
          <w:rFonts w:ascii="Calibri" w:cs="Calibri" w:eastAsia="Calibri" w:hAnsi="Calibri"/>
          <w:sz w:val="20"/>
          <w:szCs w:val="20"/>
          <w:color w:val="auto"/>
        </w:rPr>
      </w:pPr>
    </w:p>
    <w:p>
      <w:pPr>
        <w:ind w:left="940" w:hanging="284"/>
        <w:spacing w:after="0"/>
        <w:tabs>
          <w:tab w:leader="none" w:pos="940"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Intentonally Omited.</w:t>
      </w:r>
    </w:p>
    <w:p>
      <w:pPr>
        <w:spacing w:after="0" w:line="160" w:lineRule="exact"/>
        <w:rPr>
          <w:rFonts w:ascii="Calibri" w:cs="Calibri" w:eastAsia="Calibri" w:hAnsi="Calibri"/>
          <w:sz w:val="20"/>
          <w:szCs w:val="20"/>
          <w:color w:val="auto"/>
        </w:rPr>
      </w:pPr>
    </w:p>
    <w:p>
      <w:pPr>
        <w:ind w:left="880" w:hanging="224"/>
        <w:spacing w:after="0"/>
        <w:tabs>
          <w:tab w:leader="none" w:pos="880"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The death or incapacity of Borrower or any Guarantor if an individual. The withdrawal, resignaton or expulsion of any</w:t>
      </w:r>
    </w:p>
    <w:p>
      <w:pPr>
        <w:spacing w:after="0" w:line="9" w:lineRule="exact"/>
        <w:rPr>
          <w:sz w:val="20"/>
          <w:szCs w:val="20"/>
          <w:color w:val="auto"/>
        </w:rPr>
      </w:pPr>
    </w:p>
    <w:p>
      <w:pPr>
        <w:ind w:right="440"/>
        <w:spacing w:after="0"/>
        <w:rPr>
          <w:sz w:val="20"/>
          <w:szCs w:val="20"/>
          <w:color w:val="auto"/>
        </w:rPr>
      </w:pPr>
      <w:r>
        <w:rPr>
          <w:rFonts w:ascii="Calibri" w:cs="Calibri" w:eastAsia="Calibri" w:hAnsi="Calibri"/>
          <w:sz w:val="20"/>
          <w:szCs w:val="20"/>
          <w:color w:val="auto"/>
        </w:rPr>
        <w:t>one or more of the general partners in Borrower or any Guarantor if a partnership. The dissoluton, division, or liquidaton of Borrower or any Guarantor if a corporaton, partnership, joint venture or other type of entty; or Borrower or any such Guarantor, or any of its directors, stockholders or members, shall take acton seeking to eﬀect the dissoluton, division, or liquidaton of Borrower or such Guarantor.</w:t>
      </w:r>
    </w:p>
    <w:p>
      <w:pPr>
        <w:spacing w:after="0" w:line="148" w:lineRule="exact"/>
        <w:rPr>
          <w:sz w:val="20"/>
          <w:szCs w:val="20"/>
          <w:color w:val="auto"/>
        </w:rPr>
      </w:pPr>
    </w:p>
    <w:p>
      <w:pPr>
        <w:ind w:left="880" w:hanging="224"/>
        <w:spacing w:after="0"/>
        <w:tabs>
          <w:tab w:leader="none" w:pos="880" w:val="left"/>
        </w:tabs>
        <w:numPr>
          <w:ilvl w:val="0"/>
          <w:numId w:val="69"/>
        </w:numPr>
        <w:rPr>
          <w:rFonts w:ascii="Calibri" w:cs="Calibri" w:eastAsia="Calibri" w:hAnsi="Calibri"/>
          <w:sz w:val="20"/>
          <w:szCs w:val="20"/>
          <w:color w:val="auto"/>
        </w:rPr>
      </w:pPr>
      <w:r>
        <w:rPr>
          <w:rFonts w:ascii="Calibri" w:cs="Calibri" w:eastAsia="Calibri" w:hAnsi="Calibri"/>
          <w:sz w:val="20"/>
          <w:szCs w:val="20"/>
          <w:color w:val="auto"/>
        </w:rPr>
        <w:t>Upon a change of control, defined as (i) any “person” or “group” (as such terms are used in Secton 13()d) and 14(d) of the</w:t>
      </w:r>
    </w:p>
    <w:p>
      <w:pPr>
        <w:spacing w:after="0" w:line="22" w:lineRule="exact"/>
        <w:rPr>
          <w:rFonts w:ascii="Calibri" w:cs="Calibri" w:eastAsia="Calibri" w:hAnsi="Calibri"/>
          <w:sz w:val="20"/>
          <w:szCs w:val="20"/>
          <w:color w:val="auto"/>
        </w:rPr>
      </w:pPr>
    </w:p>
    <w:p>
      <w:pPr>
        <w:jc w:val="both"/>
        <w:ind w:right="46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 xml:space="preserve">Exchange Act, but excluding </w:t>
      </w:r>
      <w:r>
        <w:rPr>
          <w:rFonts w:ascii="Calibri" w:cs="Calibri" w:eastAsia="Calibri" w:hAnsi="Calibri"/>
          <w:sz w:val="20"/>
          <w:szCs w:val="20"/>
          <w:color w:val="FF0000"/>
          <w:strike w:val="1"/>
        </w:rPr>
        <w:t>aniy</w:t>
      </w:r>
      <w:r>
        <w:rPr>
          <w:rFonts w:ascii="Calibri" w:cs="Calibri" w:eastAsia="Calibri" w:hAnsi="Calibri"/>
          <w:sz w:val="20"/>
          <w:szCs w:val="20"/>
          <w:u w:val="single" w:color="auto"/>
          <w:color w:val="0000FF"/>
        </w:rPr>
        <w:t>any</w:t>
      </w:r>
      <w:r>
        <w:rPr>
          <w:rFonts w:ascii="Calibri" w:cs="Calibri" w:eastAsia="Calibri" w:hAnsi="Calibri"/>
          <w:sz w:val="20"/>
          <w:szCs w:val="20"/>
          <w:color w:val="auto"/>
        </w:rPr>
        <w:t xml:space="preserve"> employee benefit plan of such person or its Subsidiaries, and any person or entty actng in it capacity a trustee, agent or other fiduciary or administrator of any such plan) other than Verlinvest Beverages S.A. or a Verlinvest</w:t>
      </w:r>
    </w:p>
    <w:p>
      <w:pPr>
        <w:sectPr>
          <w:pgSz w:w="11900" w:h="16838" w:orient="portrait"/>
          <w:cols w:equalWidth="0" w:num="1">
            <w:col w:w="11060"/>
          </w:cols>
          <w:pgMar w:left="320" w:top="1440" w:right="519" w:bottom="1440" w:gutter="0" w:footer="0" w:header="0"/>
        </w:sectPr>
      </w:pPr>
    </w:p>
    <w:bookmarkStart w:id="128" w:name="page129"/>
    <w:bookmarkEnd w:id="128"/>
    <w:p>
      <w:pPr>
        <w:spacing w:after="0" w:line="120" w:lineRule="exact"/>
        <w:rPr>
          <w:sz w:val="20"/>
          <w:szCs w:val="20"/>
          <w:color w:val="auto"/>
        </w:rPr>
      </w:pPr>
    </w:p>
    <w:p>
      <w:pPr>
        <w:ind w:right="80"/>
        <w:spacing w:after="0" w:line="241" w:lineRule="auto"/>
        <w:rPr>
          <w:sz w:val="20"/>
          <w:szCs w:val="20"/>
          <w:color w:val="auto"/>
        </w:rPr>
      </w:pPr>
      <w:r>
        <w:rPr>
          <w:rFonts w:ascii="Calibri" w:cs="Calibri" w:eastAsia="Calibri" w:hAnsi="Calibri"/>
          <w:sz w:val="20"/>
          <w:szCs w:val="20"/>
          <w:color w:val="auto"/>
        </w:rPr>
        <w:t xml:space="preserve">Beverages S.A. aﬃliate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afer the passage of tme (such right, an “opton right”)), directly or indirectly, of more than thirty-five percent (35%) of the Equity Interests of Borrower enttled to vote on the electon of members of the board of directors (or equivalent governing body) of Borrower or (ii) a majority of the members of the board of directors (or other equivalent governing body) of Borrower shall not consttute Contnuing Directors (“Contnuing Directors” means the directors (or equivalent governing body) of Borrower on as/of </w:t>
      </w:r>
      <w:r>
        <w:rPr>
          <w:rFonts w:ascii="Calibri" w:cs="Calibri" w:eastAsia="Calibri" w:hAnsi="Calibri"/>
          <w:sz w:val="20"/>
          <w:szCs w:val="20"/>
          <w:color w:val="FF0000"/>
          <w:strike w:val="1"/>
        </w:rPr>
        <w:t>October 21, 2021</w:t>
      </w:r>
      <w:r>
        <w:rPr>
          <w:rFonts w:ascii="Calibri" w:cs="Calibri" w:eastAsia="Calibri" w:hAnsi="Calibri"/>
          <w:sz w:val="20"/>
          <w:szCs w:val="20"/>
          <w:u w:val="single" w:color="auto"/>
          <w:color w:val="0000FF"/>
        </w:rPr>
        <w:t>February 14, 2025</w:t>
      </w:r>
      <w:r>
        <w:rPr>
          <w:rFonts w:ascii="Calibri" w:cs="Calibri" w:eastAsia="Calibri" w:hAnsi="Calibri"/>
          <w:sz w:val="20"/>
          <w:szCs w:val="20"/>
          <w:color w:val="auto"/>
        </w:rPr>
        <w:t xml:space="preserve"> and each other director (or equivalent) of Borrower, if, in each case, such other Person’s nominaton for electon to the board of directors (or equivalent governing body) of Borrower is approved by at least 51% of the then Contnuing Directors).</w:t>
      </w:r>
    </w:p>
    <w:p>
      <w:pPr>
        <w:spacing w:after="0" w:line="156" w:lineRule="exact"/>
        <w:rPr>
          <w:sz w:val="20"/>
          <w:szCs w:val="20"/>
          <w:color w:val="auto"/>
        </w:rPr>
      </w:pPr>
    </w:p>
    <w:p>
      <w:pPr>
        <w:jc w:val="both"/>
        <w:ind w:right="320" w:firstLine="656"/>
        <w:spacing w:after="0" w:line="234" w:lineRule="auto"/>
        <w:tabs>
          <w:tab w:leader="none" w:pos="923" w:val="left"/>
        </w:tabs>
        <w:numPr>
          <w:ilvl w:val="0"/>
          <w:numId w:val="70"/>
        </w:numPr>
        <w:rPr>
          <w:rFonts w:ascii="Calibri" w:cs="Calibri" w:eastAsia="Calibri" w:hAnsi="Calibri"/>
          <w:sz w:val="20"/>
          <w:szCs w:val="20"/>
          <w:color w:val="auto"/>
        </w:rPr>
      </w:pPr>
      <w:r>
        <w:rPr>
          <w:rFonts w:ascii="Calibri" w:cs="Calibri" w:eastAsia="Calibri" w:hAnsi="Calibri"/>
          <w:sz w:val="20"/>
          <w:szCs w:val="20"/>
          <w:color w:val="auto"/>
        </w:rPr>
        <w:t>There shall occur any event or circumstance that causes a material adverse eﬀect on the business, financial conditon, results of operatons or prospects of Borrower or any of its subsidiaries, excluding any eﬀect, to the extent outside of the</w:t>
      </w:r>
    </w:p>
    <w:p>
      <w:pPr>
        <w:spacing w:after="0" w:line="23" w:lineRule="exact"/>
        <w:rPr>
          <w:rFonts w:ascii="Calibri" w:cs="Calibri" w:eastAsia="Calibri" w:hAnsi="Calibri"/>
          <w:sz w:val="20"/>
          <w:szCs w:val="20"/>
          <w:color w:val="auto"/>
        </w:rPr>
      </w:pPr>
    </w:p>
    <w:p>
      <w:pPr>
        <w:ind w:right="3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reasonable control of Borrower or any of its subsidiaries, of the pandemic currently caused by the novel coronavirus (COVID-19) (each such event or circumstance, a “Material Adverse Eﬀect”).</w:t>
      </w:r>
    </w:p>
    <w:p>
      <w:pPr>
        <w:spacing w:after="0" w:line="158" w:lineRule="exact"/>
        <w:rPr>
          <w:sz w:val="20"/>
          <w:szCs w:val="20"/>
          <w:color w:val="auto"/>
        </w:rPr>
      </w:pPr>
    </w:p>
    <w:p>
      <w:pPr>
        <w:ind w:left="120" w:firstLine="518"/>
        <w:spacing w:after="0" w:line="242" w:lineRule="auto"/>
        <w:rPr>
          <w:sz w:val="20"/>
          <w:szCs w:val="20"/>
          <w:color w:val="auto"/>
        </w:rPr>
      </w:pPr>
      <w:r>
        <w:rPr>
          <w:rFonts w:ascii="Calibri" w:cs="Calibri" w:eastAsia="Calibri" w:hAnsi="Calibri"/>
          <w:sz w:val="20"/>
          <w:szCs w:val="20"/>
          <w:color w:val="auto"/>
        </w:rPr>
        <w:t xml:space="preserve">SECTION 6.2. REMEDIES. Upon the occurrence of any Event of Default and during the contnuance thereof: (a) all principal, unpaid interest outstanding and other indebtedness of Borrower under each of the Loan Documents, any term thereof to the contrary notwithstanding, shall at Bank's opton and without notce (except as expressly provided in any mortgage or deed of trust pursuant to which Borrower has provided Bank a lien on any real property collateral) become immediately due and payable and Bank’s obligaton to make any extensions of credit hereunder shall immediately terminate, without presentment, demand, protest or any notces of any kind, including without limitaton, notce of nonperformance, notce of protest, notce of dishonor, notce of intenton to accelerate or notce of acceleraton, all of which are hereby expressly waived by Borrower; provided, however, that notwithstanding the foregoing to the contrary, upon the occurrence of any of the Events of Default which are the subject of any of Secton 6.1(f), the foregoing indebtedness and obligatons of Borrower shall automatcally become due and payable, and Bank’s obligaton to make any extensions of credit hereunder shall automatcally terminate, without presentment, demand, protest or any other notce of any kind, all of which are expressly waived by Borrower; (b) the obligaton, if any, of Bank to extend any further credit under any of the Loan Documents shall immediately cease and terminate; </w:t>
      </w:r>
      <w:r>
        <w:rPr>
          <w:rFonts w:ascii="Calibri" w:cs="Calibri" w:eastAsia="Calibri" w:hAnsi="Calibri"/>
          <w:sz w:val="20"/>
          <w:szCs w:val="20"/>
          <w:color w:val="FF0000"/>
          <w:strike w:val="1"/>
        </w:rPr>
        <w:t>and</w:t>
      </w:r>
      <w:r>
        <w:rPr>
          <w:rFonts w:ascii="Calibri" w:cs="Calibri" w:eastAsia="Calibri" w:hAnsi="Calibri"/>
          <w:sz w:val="20"/>
          <w:szCs w:val="20"/>
          <w:color w:val="auto"/>
        </w:rPr>
        <w:t xml:space="preserve"> (c) Bank shall have all rights, powers and remedies available under each of the Loan Documents, or accorded by law, including without limitaton the right to resort to any or all security for any credit subject hereto and to exercise any or all of the rights of a beneficiary or secured party pursuant to applicable law. All rights, powers and remedies of Bank may be exercised at any tme by Bank and from tme to tme afer the occurrence of an Event of Default and during the contnuance thereof are cumulatve and not exclusive, and shall be in additon to any other rights, powers or remedies provided by law or equity</w:t>
      </w:r>
      <w:r>
        <w:rPr>
          <w:rFonts w:ascii="Calibri" w:cs="Calibri" w:eastAsia="Calibri" w:hAnsi="Calibri"/>
          <w:sz w:val="20"/>
          <w:szCs w:val="20"/>
          <w:color w:val="FF0000"/>
        </w:rPr>
        <w:t>.</w:t>
      </w:r>
      <w:r>
        <w:rPr>
          <w:rFonts w:ascii="Calibri" w:cs="Calibri" w:eastAsia="Calibri" w:hAnsi="Calibri"/>
          <w:sz w:val="20"/>
          <w:szCs w:val="20"/>
          <w:u w:val="single" w:color="auto"/>
          <w:color w:val="0000FF"/>
        </w:rPr>
        <w:t>;</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rPr>
        <w:t>and (d) upon the occurrence and during the contnuance of an Event of Default, Borrower shall provide Bank with cash collateral (which may be in additon to or, if agreed by Bank, may be a replacement for, such other collateral that may have been granted by Borrower to Bank, pursuant to this Agreement or otherwise), consistng of a deposit account maintained by Borrower with Bank in an amount that is not less than one hundred five percent (105%) of the undrawn amount of all outstanding Leters of Credit, as evidenced by and subject to the security agreements and other documents as Bank shall require, all in form and substance satsfactory to Bank.</w:t>
      </w:r>
    </w:p>
    <w:p>
      <w:pPr>
        <w:sectPr>
          <w:pgSz w:w="11900" w:h="16838" w:orient="portrait"/>
          <w:cols w:equalWidth="0" w:num="1">
            <w:col w:w="11120"/>
          </w:cols>
          <w:pgMar w:left="320" w:top="1440" w:right="459" w:bottom="1440" w:gutter="0" w:footer="0" w:header="0"/>
        </w:sectPr>
      </w:pPr>
    </w:p>
    <w:bookmarkStart w:id="129" w:name="page130"/>
    <w:bookmarkEnd w:id="129"/>
    <w:p>
      <w:pPr>
        <w:spacing w:after="0" w:line="9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u w:val="single" w:color="auto"/>
          <w:color w:val="auto"/>
        </w:rPr>
        <w:t>ARTICLE VII</w:t>
      </w:r>
    </w:p>
    <w:p>
      <w:pPr>
        <w:spacing w:after="0" w:line="16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u w:val="single" w:color="auto"/>
          <w:color w:val="auto"/>
        </w:rPr>
        <w:t>MISCELLANEOUS</w:t>
      </w:r>
    </w:p>
    <w:p>
      <w:pPr>
        <w:spacing w:after="0" w:line="252" w:lineRule="exact"/>
        <w:rPr>
          <w:sz w:val="20"/>
          <w:szCs w:val="20"/>
          <w:color w:val="auto"/>
        </w:rPr>
      </w:pPr>
    </w:p>
    <w:p>
      <w:pPr>
        <w:ind w:firstLine="518"/>
        <w:spacing w:after="0" w:line="239" w:lineRule="auto"/>
        <w:rPr>
          <w:sz w:val="20"/>
          <w:szCs w:val="20"/>
          <w:color w:val="auto"/>
        </w:rPr>
      </w:pPr>
      <w:r>
        <w:rPr>
          <w:rFonts w:ascii="Calibri" w:cs="Calibri" w:eastAsia="Calibri" w:hAnsi="Calibri"/>
          <w:sz w:val="20"/>
          <w:szCs w:val="20"/>
          <w:color w:val="auto"/>
        </w:rPr>
        <w:t>SECTION 7.1. NO WAIVER. No delay, failure or discontnuance of Bank in exercising any right, power or remedy under any of the Loan Documents shall aﬀect or operate as a waiver of such right, power or remedy; nor shall any single or partal exercise of any such right, power or remedy preclude, waive or otherwise aﬀect any other or further exercise thereof or the exercise of any other right, power or remedy. Any waiver, permit, consent or approval of any kind by Bank of any breach of or default under any of the Loan Documents must be in writng and shall be eﬀectve only to the extent set forth in such writng.</w:t>
      </w:r>
    </w:p>
    <w:p>
      <w:pPr>
        <w:spacing w:after="0" w:line="296" w:lineRule="exact"/>
        <w:rPr>
          <w:sz w:val="20"/>
          <w:szCs w:val="20"/>
          <w:color w:val="auto"/>
        </w:rPr>
      </w:pPr>
    </w:p>
    <w:p>
      <w:pPr>
        <w:ind w:right="20" w:firstLine="518"/>
        <w:spacing w:after="0" w:line="234" w:lineRule="auto"/>
        <w:rPr>
          <w:sz w:val="20"/>
          <w:szCs w:val="20"/>
          <w:color w:val="auto"/>
        </w:rPr>
      </w:pPr>
      <w:r>
        <w:rPr>
          <w:rFonts w:ascii="Calibri" w:cs="Calibri" w:eastAsia="Calibri" w:hAnsi="Calibri"/>
          <w:sz w:val="20"/>
          <w:szCs w:val="20"/>
          <w:color w:val="auto"/>
        </w:rPr>
        <w:t>SECTION 7.2. NOTICES. All notces, requests and demands which any party is required or may desire to give to any other party under any provision of this Agreement must be in writng delivered to each party at the following address:</w:t>
      </w:r>
    </w:p>
    <w:p>
      <w:pPr>
        <w:spacing w:after="0" w:line="200" w:lineRule="exact"/>
        <w:rPr>
          <w:sz w:val="20"/>
          <w:szCs w:val="20"/>
          <w:color w:val="auto"/>
        </w:rPr>
      </w:pPr>
    </w:p>
    <w:p>
      <w:pPr>
        <w:spacing w:after="0" w:line="354" w:lineRule="exact"/>
        <w:rPr>
          <w:sz w:val="20"/>
          <w:szCs w:val="20"/>
          <w:color w:val="auto"/>
        </w:rPr>
      </w:pPr>
    </w:p>
    <w:p>
      <w:pPr>
        <w:ind w:left="320"/>
        <w:spacing w:after="0"/>
        <w:tabs>
          <w:tab w:leader="none" w:pos="1520" w:val="left"/>
        </w:tabs>
        <w:rPr>
          <w:sz w:val="20"/>
          <w:szCs w:val="20"/>
          <w:color w:val="auto"/>
        </w:rPr>
      </w:pPr>
      <w:r>
        <w:rPr>
          <w:rFonts w:ascii="Calibri" w:cs="Calibri" w:eastAsia="Calibri" w:hAnsi="Calibri"/>
          <w:sz w:val="20"/>
          <w:szCs w:val="20"/>
          <w:color w:val="auto"/>
        </w:rPr>
        <w:t>BORROWER:</w:t>
      </w:r>
      <w:r>
        <w:rPr>
          <w:sz w:val="20"/>
          <w:szCs w:val="20"/>
          <w:color w:val="auto"/>
        </w:rPr>
        <w:tab/>
      </w:r>
      <w:r>
        <w:rPr>
          <w:rFonts w:ascii="Calibri" w:cs="Calibri" w:eastAsia="Calibri" w:hAnsi="Calibri"/>
          <w:sz w:val="19"/>
          <w:szCs w:val="19"/>
          <w:color w:val="auto"/>
        </w:rPr>
        <w:t>THE VITA COCO COMPANY, INC.</w:t>
      </w:r>
    </w:p>
    <w:p>
      <w:pPr>
        <w:spacing w:after="0" w:line="229"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250 Park Avenue South, 7</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xml:space="preserve"> Floor New York, NY 10003</w:t>
      </w:r>
    </w:p>
    <w:p>
      <w:pPr>
        <w:spacing w:after="0" w:line="5" w:lineRule="exact"/>
        <w:rPr>
          <w:sz w:val="20"/>
          <w:szCs w:val="20"/>
          <w:color w:val="auto"/>
        </w:rPr>
      </w:pPr>
    </w:p>
    <w:p>
      <w:pPr>
        <w:ind w:left="1780"/>
        <w:spacing w:after="0"/>
        <w:tabs>
          <w:tab w:leader="none" w:pos="2340" w:val="left"/>
        </w:tabs>
        <w:rPr>
          <w:sz w:val="20"/>
          <w:szCs w:val="20"/>
          <w:color w:val="auto"/>
        </w:rPr>
      </w:pPr>
      <w:r>
        <w:rPr>
          <w:rFonts w:ascii="Calibri" w:cs="Calibri" w:eastAsia="Calibri" w:hAnsi="Calibri"/>
          <w:sz w:val="20"/>
          <w:szCs w:val="20"/>
          <w:color w:val="auto"/>
        </w:rPr>
        <w:t>Atn:</w:t>
      </w:r>
      <w:r>
        <w:rPr>
          <w:sz w:val="20"/>
          <w:szCs w:val="20"/>
          <w:color w:val="auto"/>
        </w:rPr>
        <w:tab/>
      </w:r>
      <w:r>
        <w:rPr>
          <w:rFonts w:ascii="Calibri" w:cs="Calibri" w:eastAsia="Calibri" w:hAnsi="Calibri"/>
          <w:sz w:val="20"/>
          <w:szCs w:val="20"/>
          <w:color w:val="FF0000"/>
          <w:strike w:val="1"/>
        </w:rPr>
        <w:t>Rowena Ricalde</w:t>
      </w:r>
      <w:r>
        <w:rPr>
          <w:rFonts w:ascii="Calibri" w:cs="Calibri" w:eastAsia="Calibri" w:hAnsi="Calibri"/>
          <w:sz w:val="20"/>
          <w:szCs w:val="20"/>
          <w:u w:val="single" w:color="auto"/>
          <w:color w:val="0000FF"/>
          <w:strike w:val="1"/>
        </w:rPr>
        <w:t>Corey Baker</w:t>
      </w:r>
    </w:p>
    <w:p>
      <w:pPr>
        <w:spacing w:after="0" w:line="161" w:lineRule="exact"/>
        <w:rPr>
          <w:sz w:val="20"/>
          <w:szCs w:val="20"/>
          <w:color w:val="auto"/>
        </w:rPr>
      </w:pPr>
    </w:p>
    <w:p>
      <w:pPr>
        <w:ind w:left="1780"/>
        <w:spacing w:after="0"/>
        <w:tabs>
          <w:tab w:leader="none" w:pos="2260" w:val="left"/>
        </w:tabs>
        <w:rPr>
          <w:sz w:val="20"/>
          <w:szCs w:val="20"/>
          <w:color w:val="auto"/>
        </w:rPr>
      </w:pPr>
      <w:r>
        <w:rPr>
          <w:rFonts w:ascii="Calibri" w:cs="Calibri" w:eastAsia="Calibri" w:hAnsi="Calibri"/>
          <w:sz w:val="20"/>
          <w:szCs w:val="20"/>
          <w:color w:val="auto"/>
        </w:rPr>
        <w:t>Fax:</w:t>
      </w:r>
      <w:r>
        <w:rPr>
          <w:sz w:val="20"/>
          <w:szCs w:val="20"/>
          <w:color w:val="auto"/>
        </w:rPr>
        <w:tab/>
      </w:r>
      <w:r>
        <w:rPr>
          <w:rFonts w:ascii="Calibri" w:cs="Calibri" w:eastAsia="Calibri" w:hAnsi="Calibri"/>
          <w:sz w:val="19"/>
          <w:szCs w:val="19"/>
          <w:color w:val="auto"/>
        </w:rPr>
        <w:t>N/A</w:t>
      </w:r>
    </w:p>
    <w:p>
      <w:pPr>
        <w:spacing w:after="0" w:line="161" w:lineRule="exact"/>
        <w:rPr>
          <w:sz w:val="20"/>
          <w:szCs w:val="20"/>
          <w:color w:val="auto"/>
        </w:rPr>
      </w:pPr>
    </w:p>
    <w:p>
      <w:pPr>
        <w:ind w:left="1780"/>
        <w:spacing w:after="0"/>
        <w:tabs>
          <w:tab w:leader="none" w:pos="2440" w:val="left"/>
        </w:tabs>
        <w:rPr>
          <w:sz w:val="20"/>
          <w:szCs w:val="20"/>
          <w:color w:val="auto"/>
        </w:rPr>
      </w:pPr>
      <w:r>
        <w:rPr>
          <w:rFonts w:ascii="Calibri" w:cs="Calibri" w:eastAsia="Calibri" w:hAnsi="Calibri"/>
          <w:sz w:val="20"/>
          <w:szCs w:val="20"/>
          <w:color w:val="auto"/>
        </w:rPr>
        <w:t>Email:</w:t>
      </w:r>
      <w:r>
        <w:rPr>
          <w:sz w:val="20"/>
          <w:szCs w:val="20"/>
          <w:color w:val="auto"/>
        </w:rPr>
        <w:tab/>
      </w:r>
      <w:r>
        <w:rPr>
          <w:rFonts w:ascii="Calibri" w:cs="Calibri" w:eastAsia="Calibri" w:hAnsi="Calibri"/>
          <w:sz w:val="20"/>
          <w:szCs w:val="20"/>
          <w:color w:val="auto"/>
          <w:strike w:val="1"/>
        </w:rPr>
        <w:t>####</w:t>
      </w:r>
    </w:p>
    <w:p>
      <w:pPr>
        <w:spacing w:after="0" w:line="200" w:lineRule="exact"/>
        <w:rPr>
          <w:sz w:val="20"/>
          <w:szCs w:val="20"/>
          <w:color w:val="auto"/>
        </w:rPr>
      </w:pPr>
    </w:p>
    <w:p>
      <w:pPr>
        <w:spacing w:after="0" w:line="366" w:lineRule="exact"/>
        <w:rPr>
          <w:sz w:val="20"/>
          <w:szCs w:val="20"/>
          <w:color w:val="auto"/>
        </w:rPr>
      </w:pPr>
    </w:p>
    <w:p>
      <w:pPr>
        <w:ind w:left="320"/>
        <w:spacing w:after="0"/>
        <w:rPr>
          <w:sz w:val="20"/>
          <w:szCs w:val="20"/>
          <w:color w:val="auto"/>
        </w:rPr>
      </w:pPr>
      <w:r>
        <w:rPr>
          <w:rFonts w:ascii="Calibri" w:cs="Calibri" w:eastAsia="Calibri" w:hAnsi="Calibri"/>
          <w:sz w:val="20"/>
          <w:szCs w:val="20"/>
          <w:color w:val="auto"/>
        </w:rPr>
        <w:t>With a copy of any notce of terminaton or default to:</w:t>
      </w:r>
    </w:p>
    <w:p>
      <w:pPr>
        <w:spacing w:after="0" w:line="200" w:lineRule="exact"/>
        <w:rPr>
          <w:sz w:val="20"/>
          <w:szCs w:val="20"/>
          <w:color w:val="auto"/>
        </w:rPr>
      </w:pPr>
    </w:p>
    <w:p>
      <w:pPr>
        <w:spacing w:after="0" w:line="352" w:lineRule="exact"/>
        <w:rPr>
          <w:sz w:val="20"/>
          <w:szCs w:val="20"/>
          <w:color w:val="auto"/>
        </w:rPr>
      </w:pPr>
    </w:p>
    <w:p>
      <w:pPr>
        <w:ind w:left="1780"/>
        <w:spacing w:after="0"/>
        <w:rPr>
          <w:sz w:val="20"/>
          <w:szCs w:val="20"/>
          <w:color w:val="auto"/>
        </w:rPr>
      </w:pPr>
      <w:r>
        <w:rPr>
          <w:rFonts w:ascii="Calibri" w:cs="Calibri" w:eastAsia="Calibri" w:hAnsi="Calibri"/>
          <w:sz w:val="20"/>
          <w:szCs w:val="20"/>
          <w:color w:val="FF0000"/>
          <w:strike w:val="1"/>
        </w:rPr>
        <w:t>THE GIANNUZZI GROUP,</w:t>
      </w:r>
      <w:r>
        <w:rPr>
          <w:rFonts w:ascii="Calibri" w:cs="Calibri" w:eastAsia="Calibri" w:hAnsi="Calibri"/>
          <w:sz w:val="20"/>
          <w:szCs w:val="20"/>
          <w:u w:val="single" w:color="auto"/>
          <w:color w:val="0000FF"/>
        </w:rPr>
        <w:t>Ballard Spahr</w:t>
      </w:r>
      <w:r>
        <w:rPr>
          <w:rFonts w:ascii="Calibri" w:cs="Calibri" w:eastAsia="Calibri" w:hAnsi="Calibri"/>
          <w:sz w:val="20"/>
          <w:szCs w:val="20"/>
          <w:color w:val="FF0000"/>
        </w:rPr>
        <w:t xml:space="preserve"> </w:t>
      </w:r>
      <w:r>
        <w:rPr>
          <w:rFonts w:ascii="Calibri" w:cs="Calibri" w:eastAsia="Calibri" w:hAnsi="Calibri"/>
          <w:sz w:val="20"/>
          <w:szCs w:val="20"/>
          <w:color w:val="000000"/>
        </w:rPr>
        <w:t>LLP</w:t>
      </w:r>
    </w:p>
    <w:p>
      <w:pPr>
        <w:spacing w:after="0" w:line="169" w:lineRule="exact"/>
        <w:rPr>
          <w:sz w:val="20"/>
          <w:szCs w:val="20"/>
          <w:color w:val="auto"/>
        </w:rPr>
      </w:pPr>
    </w:p>
    <w:p>
      <w:pPr>
        <w:ind w:left="1780" w:right="5100" w:firstLine="281"/>
        <w:spacing w:after="0" w:line="330" w:lineRule="auto"/>
        <w:tabs>
          <w:tab w:leader="none" w:pos="2417" w:val="left"/>
        </w:tabs>
        <w:numPr>
          <w:ilvl w:val="0"/>
          <w:numId w:val="71"/>
        </w:numPr>
        <w:rPr>
          <w:rFonts w:ascii="Calibri" w:cs="Calibri" w:eastAsia="Calibri" w:hAnsi="Calibri"/>
          <w:sz w:val="20"/>
          <w:szCs w:val="20"/>
          <w:color w:val="FF0000"/>
          <w:strike w:val="1"/>
        </w:rPr>
      </w:pPr>
      <w:r>
        <w:rPr>
          <w:rFonts w:ascii="Calibri" w:cs="Calibri" w:eastAsia="Calibri" w:hAnsi="Calibri"/>
          <w:sz w:val="20"/>
          <w:szCs w:val="20"/>
          <w:color w:val="FF0000"/>
          <w:strike w:val="1"/>
        </w:rPr>
        <w:t>West 14</w:t>
      </w:r>
      <w:r>
        <w:rPr>
          <w:rFonts w:ascii="Calibri" w:cs="Calibri" w:eastAsia="Calibri" w:hAnsi="Calibri"/>
          <w:sz w:val="25"/>
          <w:szCs w:val="25"/>
          <w:color w:val="FF0000"/>
          <w:strike w:val="1"/>
          <w:vertAlign w:val="superscript"/>
        </w:rPr>
        <w:t>th</w:t>
      </w:r>
      <w:r>
        <w:rPr>
          <w:rFonts w:ascii="Calibri" w:cs="Calibri" w:eastAsia="Calibri" w:hAnsi="Calibri"/>
          <w:sz w:val="20"/>
          <w:szCs w:val="20"/>
          <w:u w:val="single" w:color="auto"/>
          <w:color w:val="0000FF"/>
        </w:rPr>
        <w:t>1735 Market</w:t>
      </w:r>
      <w:r>
        <w:rPr>
          <w:rFonts w:ascii="Calibri" w:cs="Calibri" w:eastAsia="Calibri" w:hAnsi="Calibri"/>
          <w:sz w:val="20"/>
          <w:szCs w:val="20"/>
          <w:color w:val="FF0000"/>
        </w:rPr>
        <w:t xml:space="preserve"> </w:t>
      </w:r>
      <w:r>
        <w:rPr>
          <w:rFonts w:ascii="Calibri" w:cs="Calibri" w:eastAsia="Calibri" w:hAnsi="Calibri"/>
          <w:sz w:val="20"/>
          <w:szCs w:val="20"/>
          <w:color w:val="000000"/>
        </w:rPr>
        <w:t>Street,</w:t>
      </w:r>
      <w:r>
        <w:rPr>
          <w:rFonts w:ascii="Calibri" w:cs="Calibri" w:eastAsia="Calibri" w:hAnsi="Calibri"/>
          <w:sz w:val="20"/>
          <w:szCs w:val="20"/>
          <w:color w:val="FF0000"/>
        </w:rPr>
        <w:t xml:space="preserve"> </w:t>
      </w:r>
      <w:r>
        <w:rPr>
          <w:rFonts w:ascii="Calibri" w:cs="Calibri" w:eastAsia="Calibri" w:hAnsi="Calibri"/>
          <w:sz w:val="20"/>
          <w:szCs w:val="20"/>
          <w:color w:val="FF0000"/>
          <w:strike w:val="1"/>
        </w:rPr>
        <w:t>4</w:t>
      </w:r>
      <w:r>
        <w:rPr>
          <w:rFonts w:ascii="Calibri" w:cs="Calibri" w:eastAsia="Calibri" w:hAnsi="Calibri"/>
          <w:sz w:val="25"/>
          <w:szCs w:val="25"/>
          <w:color w:val="FF0000"/>
          <w:strike w:val="1"/>
          <w:vertAlign w:val="superscript"/>
        </w:rPr>
        <w:t>th</w:t>
      </w:r>
      <w:r>
        <w:rPr>
          <w:rFonts w:ascii="Calibri" w:cs="Calibri" w:eastAsia="Calibri" w:hAnsi="Calibri"/>
          <w:sz w:val="20"/>
          <w:szCs w:val="20"/>
          <w:color w:val="0000FF"/>
        </w:rPr>
        <w:t>51</w:t>
      </w:r>
      <w:r>
        <w:rPr>
          <w:rFonts w:ascii="Calibri" w:cs="Calibri" w:eastAsia="Calibri" w:hAnsi="Calibri"/>
          <w:sz w:val="25"/>
          <w:szCs w:val="25"/>
          <w:color w:val="0000FF"/>
          <w:vertAlign w:val="superscript"/>
        </w:rPr>
        <w:t>st</w:t>
      </w:r>
      <w:r>
        <w:rPr>
          <w:rFonts w:ascii="Calibri" w:cs="Calibri" w:eastAsia="Calibri" w:hAnsi="Calibri"/>
          <w:sz w:val="20"/>
          <w:szCs w:val="20"/>
          <w:color w:val="FF0000"/>
        </w:rPr>
        <w:t xml:space="preserve"> </w:t>
      </w:r>
      <w:r>
        <w:rPr>
          <w:rFonts w:ascii="Calibri" w:cs="Calibri" w:eastAsia="Calibri" w:hAnsi="Calibri"/>
          <w:sz w:val="20"/>
          <w:szCs w:val="20"/>
          <w:color w:val="000000"/>
        </w:rPr>
        <w:t>Floor</w:t>
      </w:r>
      <w:r>
        <w:rPr>
          <w:rFonts w:ascii="Calibri" w:cs="Calibri" w:eastAsia="Calibri" w:hAnsi="Calibri"/>
          <w:sz w:val="20"/>
          <w:szCs w:val="20"/>
          <w:color w:val="FF0000"/>
        </w:rPr>
        <w:t xml:space="preserve"> </w:t>
      </w:r>
      <w:r>
        <w:rPr>
          <w:rFonts w:ascii="Calibri" w:cs="Calibri" w:eastAsia="Calibri" w:hAnsi="Calibri"/>
          <w:sz w:val="20"/>
          <w:szCs w:val="20"/>
          <w:color w:val="FF0000"/>
          <w:strike w:val="1"/>
        </w:rPr>
        <w:t>New York, NY 10014</w:t>
      </w:r>
      <w:r>
        <w:rPr>
          <w:rFonts w:ascii="Calibri" w:cs="Calibri" w:eastAsia="Calibri" w:hAnsi="Calibri"/>
          <w:sz w:val="20"/>
          <w:szCs w:val="20"/>
          <w:u w:val="single" w:color="auto"/>
          <w:color w:val="0000FF"/>
          <w:strike w:val="1"/>
        </w:rPr>
        <w:t>Philadelphia, PA 19103</w:t>
      </w:r>
    </w:p>
    <w:p>
      <w:pPr>
        <w:spacing w:after="0" w:line="33" w:lineRule="exact"/>
        <w:rPr>
          <w:rFonts w:ascii="Calibri" w:cs="Calibri" w:eastAsia="Calibri" w:hAnsi="Calibri"/>
          <w:sz w:val="20"/>
          <w:szCs w:val="20"/>
          <w:color w:val="FF0000"/>
          <w:strike w:val="1"/>
        </w:rPr>
      </w:pPr>
    </w:p>
    <w:p>
      <w:pPr>
        <w:ind w:left="1780"/>
        <w:spacing w:after="0"/>
        <w:rPr>
          <w:rFonts w:ascii="Calibri" w:cs="Calibri" w:eastAsia="Calibri" w:hAnsi="Calibri"/>
          <w:sz w:val="20"/>
          <w:szCs w:val="20"/>
          <w:color w:val="FF0000"/>
          <w:strike w:val="1"/>
        </w:rPr>
      </w:pPr>
      <w:r>
        <w:rPr>
          <w:rFonts w:ascii="Calibri" w:cs="Calibri" w:eastAsia="Calibri" w:hAnsi="Calibri"/>
          <w:sz w:val="20"/>
          <w:szCs w:val="20"/>
          <w:color w:val="auto"/>
        </w:rPr>
        <w:t xml:space="preserve">Atn:  </w:t>
      </w:r>
      <w:r>
        <w:rPr>
          <w:rFonts w:ascii="Calibri" w:cs="Calibri" w:eastAsia="Calibri" w:hAnsi="Calibri"/>
          <w:sz w:val="20"/>
          <w:szCs w:val="20"/>
          <w:color w:val="FF0000"/>
          <w:strike w:val="1"/>
        </w:rPr>
        <w:t>Nicholas L. Giannuzzi</w:t>
      </w:r>
      <w:r>
        <w:rPr>
          <w:rFonts w:ascii="Calibri" w:cs="Calibri" w:eastAsia="Calibri" w:hAnsi="Calibri"/>
          <w:sz w:val="20"/>
          <w:szCs w:val="20"/>
          <w:u w:val="single" w:color="auto"/>
          <w:color w:val="0000FF"/>
        </w:rPr>
        <w:t>Maulin S. Vidwans</w:t>
      </w:r>
      <w:r>
        <w:rPr>
          <w:rFonts w:ascii="Calibri" w:cs="Calibri" w:eastAsia="Calibri" w:hAnsi="Calibri"/>
          <w:sz w:val="20"/>
          <w:szCs w:val="20"/>
          <w:color w:val="auto"/>
        </w:rPr>
        <w:t>, Esq.</w:t>
      </w:r>
    </w:p>
    <w:p>
      <w:pPr>
        <w:spacing w:after="0" w:line="160" w:lineRule="exact"/>
        <w:rPr>
          <w:rFonts w:ascii="Calibri" w:cs="Calibri" w:eastAsia="Calibri" w:hAnsi="Calibri"/>
          <w:sz w:val="20"/>
          <w:szCs w:val="20"/>
          <w:color w:val="FF0000"/>
          <w:strike w:val="1"/>
        </w:rPr>
      </w:pPr>
    </w:p>
    <w:p>
      <w:pPr>
        <w:ind w:left="1780"/>
        <w:spacing w:after="0"/>
        <w:rPr>
          <w:rFonts w:ascii="Calibri" w:cs="Calibri" w:eastAsia="Calibri" w:hAnsi="Calibri"/>
          <w:sz w:val="20"/>
          <w:szCs w:val="20"/>
          <w:color w:val="FF0000"/>
          <w:strike w:val="1"/>
        </w:rPr>
      </w:pPr>
      <w:r>
        <w:rPr>
          <w:rFonts w:ascii="Calibri" w:cs="Calibri" w:eastAsia="Calibri" w:hAnsi="Calibri"/>
          <w:sz w:val="20"/>
          <w:szCs w:val="20"/>
          <w:color w:val="FF0000"/>
          <w:strike w:val="1"/>
        </w:rPr>
        <w:t>Fax:</w:t>
      </w:r>
      <w:r>
        <w:rPr>
          <w:rFonts w:ascii="Calibri" w:cs="Calibri" w:eastAsia="Calibri" w:hAnsi="Calibri"/>
          <w:sz w:val="20"/>
          <w:szCs w:val="20"/>
          <w:u w:val="single" w:color="auto"/>
          <w:color w:val="0000FF"/>
          <w:strike w:val="1"/>
        </w:rPr>
        <w:t>Telephone:</w:t>
      </w:r>
      <w:r>
        <w:rPr>
          <w:rFonts w:ascii="Calibri" w:cs="Calibri" w:eastAsia="Calibri" w:hAnsi="Calibri"/>
          <w:sz w:val="20"/>
          <w:szCs w:val="20"/>
          <w:color w:val="FF0000"/>
          <w:strike w:val="1"/>
        </w:rPr>
        <w:t xml:space="preserve"> </w:t>
      </w:r>
      <w:r>
        <w:rPr>
          <w:rFonts w:ascii="Calibri" w:cs="Calibri" w:eastAsia="Calibri" w:hAnsi="Calibri"/>
          <w:sz w:val="20"/>
          <w:szCs w:val="20"/>
          <w:u w:val="single" w:color="auto"/>
          <w:color w:val="000000"/>
          <w:strike w:val="1"/>
        </w:rPr>
        <w:t>####</w:t>
      </w:r>
      <w:r>
        <w:rPr>
          <w:rFonts w:ascii="Calibri" w:cs="Calibri" w:eastAsia="Calibri" w:hAnsi="Calibri"/>
          <w:sz w:val="20"/>
          <w:szCs w:val="20"/>
          <w:color w:val="FF0000"/>
          <w:strike w:val="1"/>
        </w:rPr>
        <w:t xml:space="preserve">  N/A</w:t>
      </w:r>
    </w:p>
    <w:p>
      <w:pPr>
        <w:spacing w:after="0" w:line="160" w:lineRule="exact"/>
        <w:rPr>
          <w:rFonts w:ascii="Calibri" w:cs="Calibri" w:eastAsia="Calibri" w:hAnsi="Calibri"/>
          <w:sz w:val="20"/>
          <w:szCs w:val="20"/>
          <w:color w:val="FF0000"/>
          <w:strike w:val="1"/>
        </w:rPr>
      </w:pPr>
    </w:p>
    <w:p>
      <w:pPr>
        <w:ind w:left="1780"/>
        <w:spacing w:after="0"/>
        <w:rPr>
          <w:rFonts w:ascii="Calibri" w:cs="Calibri" w:eastAsia="Calibri" w:hAnsi="Calibri"/>
          <w:sz w:val="20"/>
          <w:szCs w:val="20"/>
          <w:color w:val="FF0000"/>
          <w:strike w:val="1"/>
        </w:rPr>
      </w:pPr>
      <w:r>
        <w:rPr>
          <w:rFonts w:ascii="Calibri" w:cs="Calibri" w:eastAsia="Calibri" w:hAnsi="Calibri"/>
          <w:sz w:val="20"/>
          <w:szCs w:val="20"/>
          <w:color w:val="auto"/>
        </w:rPr>
        <w:t xml:space="preserve">Email:  </w:t>
      </w:r>
      <w:r>
        <w:rPr>
          <w:rFonts w:ascii="Calibri" w:cs="Calibri" w:eastAsia="Calibri" w:hAnsi="Calibri"/>
          <w:sz w:val="20"/>
          <w:szCs w:val="20"/>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-1101725</wp:posOffset>
            </wp:positionV>
            <wp:extent cx="1803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180340" cy="17145"/>
                    </a:xfrm>
                    <a:prstGeom prst="rect">
                      <a:avLst/>
                    </a:prstGeom>
                    <a:noFill/>
                  </pic:spPr>
                </pic:pic>
              </a:graphicData>
            </a:graphic>
          </wp:anchor>
        </w:drawing>
      </w:r>
    </w:p>
    <w:p>
      <w:pPr>
        <w:sectPr>
          <w:pgSz w:w="11900" w:h="16838" w:orient="portrait"/>
          <w:cols w:equalWidth="0" w:num="1">
            <w:col w:w="10960"/>
          </w:cols>
          <w:pgMar w:left="440" w:top="1440" w:right="499" w:bottom="1440" w:gutter="0" w:footer="0" w:header="0"/>
        </w:sectPr>
      </w:pPr>
    </w:p>
    <w:bookmarkStart w:id="130" w:name="page131"/>
    <w:bookmarkEnd w:id="130"/>
    <w:p>
      <w:pPr>
        <w:spacing w:after="0" w:line="245" w:lineRule="exact"/>
        <w:rPr>
          <w:sz w:val="20"/>
          <w:szCs w:val="20"/>
          <w:color w:val="auto"/>
        </w:rPr>
      </w:pPr>
    </w:p>
    <w:p>
      <w:pPr>
        <w:ind w:left="320"/>
        <w:spacing w:after="0"/>
        <w:tabs>
          <w:tab w:leader="none" w:pos="1000" w:val="left"/>
        </w:tabs>
        <w:rPr>
          <w:sz w:val="20"/>
          <w:szCs w:val="20"/>
          <w:color w:val="auto"/>
        </w:rPr>
      </w:pPr>
      <w:r>
        <w:rPr>
          <w:rFonts w:ascii="Calibri" w:cs="Calibri" w:eastAsia="Calibri" w:hAnsi="Calibri"/>
          <w:sz w:val="20"/>
          <w:szCs w:val="20"/>
          <w:color w:val="auto"/>
        </w:rPr>
        <w:t>BANK:</w:t>
      </w:r>
      <w:r>
        <w:rPr>
          <w:sz w:val="20"/>
          <w:szCs w:val="20"/>
          <w:color w:val="auto"/>
        </w:rPr>
        <w:tab/>
      </w:r>
      <w:r>
        <w:rPr>
          <w:rFonts w:ascii="Calibri" w:cs="Calibri" w:eastAsia="Calibri" w:hAnsi="Calibri"/>
          <w:sz w:val="19"/>
          <w:szCs w:val="19"/>
          <w:color w:val="auto"/>
        </w:rPr>
        <w:t>WELLS FARGO BANK, NATIONAL ASSOCIATION</w:t>
      </w:r>
    </w:p>
    <w:p>
      <w:pPr>
        <w:spacing w:after="0" w:line="147" w:lineRule="exact"/>
        <w:rPr>
          <w:sz w:val="20"/>
          <w:szCs w:val="20"/>
          <w:color w:val="auto"/>
        </w:rPr>
      </w:pPr>
    </w:p>
    <w:p>
      <w:pPr>
        <w:ind w:left="2840"/>
        <w:spacing w:after="0"/>
        <w:rPr>
          <w:sz w:val="20"/>
          <w:szCs w:val="20"/>
          <w:color w:val="auto"/>
        </w:rPr>
      </w:pPr>
      <w:r>
        <w:rPr>
          <w:rFonts w:ascii="Calibri" w:cs="Calibri" w:eastAsia="Calibri" w:hAnsi="Calibri"/>
          <w:sz w:val="20"/>
          <w:szCs w:val="20"/>
          <w:color w:val="FF0000"/>
          <w:strike w:val="1"/>
        </w:rPr>
        <w:t>150 East 42nd Street, 39th Floor</w:t>
      </w:r>
      <w:r>
        <w:rPr>
          <w:rFonts w:ascii="Calibri" w:cs="Calibri" w:eastAsia="Calibri" w:hAnsi="Calibri"/>
          <w:sz w:val="20"/>
          <w:szCs w:val="20"/>
          <w:u w:val="single" w:color="auto"/>
          <w:color w:val="0000FF"/>
          <w:strike w:val="1"/>
        </w:rPr>
        <w:t>58 South Service Road, Suite 100</w:t>
      </w:r>
    </w:p>
    <w:p>
      <w:pPr>
        <w:spacing w:after="0" w:line="161" w:lineRule="exact"/>
        <w:rPr>
          <w:sz w:val="20"/>
          <w:szCs w:val="20"/>
          <w:color w:val="auto"/>
        </w:rPr>
      </w:pPr>
    </w:p>
    <w:p>
      <w:pPr>
        <w:ind w:left="1780"/>
        <w:spacing w:after="0"/>
        <w:rPr>
          <w:sz w:val="20"/>
          <w:szCs w:val="20"/>
          <w:color w:val="auto"/>
        </w:rPr>
      </w:pPr>
      <w:r>
        <w:rPr>
          <w:rFonts w:ascii="Calibri" w:cs="Calibri" w:eastAsia="Calibri" w:hAnsi="Calibri"/>
          <w:sz w:val="20"/>
          <w:szCs w:val="20"/>
          <w:color w:val="FF0000"/>
          <w:strike w:val="1"/>
        </w:rPr>
        <w:t>New York</w:t>
      </w:r>
      <w:r>
        <w:rPr>
          <w:rFonts w:ascii="Calibri" w:cs="Calibri" w:eastAsia="Calibri" w:hAnsi="Calibri"/>
          <w:sz w:val="20"/>
          <w:szCs w:val="20"/>
          <w:u w:val="single" w:color="auto"/>
          <w:color w:val="0000FF"/>
        </w:rPr>
        <w:t>Melville</w:t>
      </w:r>
      <w:r>
        <w:rPr>
          <w:rFonts w:ascii="Calibri" w:cs="Calibri" w:eastAsia="Calibri" w:hAnsi="Calibri"/>
          <w:sz w:val="20"/>
          <w:szCs w:val="20"/>
          <w:color w:val="000000"/>
        </w:rPr>
        <w:t>, NY</w:t>
      </w:r>
      <w:r>
        <w:rPr>
          <w:rFonts w:ascii="Calibri" w:cs="Calibri" w:eastAsia="Calibri" w:hAnsi="Calibri"/>
          <w:sz w:val="20"/>
          <w:szCs w:val="20"/>
          <w:color w:val="FF0000"/>
        </w:rPr>
        <w:t xml:space="preserve"> </w:t>
      </w:r>
      <w:r>
        <w:rPr>
          <w:rFonts w:ascii="Calibri" w:cs="Calibri" w:eastAsia="Calibri" w:hAnsi="Calibri"/>
          <w:sz w:val="20"/>
          <w:szCs w:val="20"/>
          <w:color w:val="FF0000"/>
          <w:strike w:val="1"/>
        </w:rPr>
        <w:t>10017</w:t>
      </w:r>
      <w:r>
        <w:rPr>
          <w:rFonts w:ascii="Calibri" w:cs="Calibri" w:eastAsia="Calibri" w:hAnsi="Calibri"/>
          <w:sz w:val="20"/>
          <w:szCs w:val="20"/>
          <w:u w:val="single" w:color="auto"/>
          <w:color w:val="0000FF"/>
        </w:rPr>
        <w:t>11748</w:t>
      </w:r>
    </w:p>
    <w:p>
      <w:pPr>
        <w:spacing w:after="0" w:line="161"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color w:val="auto"/>
        </w:rPr>
        <w:t>Atenton:</w:t>
      </w:r>
      <w:r>
        <w:rPr>
          <w:rFonts w:ascii="Calibri" w:cs="Calibri" w:eastAsia="Calibri" w:hAnsi="Calibri"/>
          <w:sz w:val="20"/>
          <w:szCs w:val="20"/>
          <w:color w:val="FF0000"/>
          <w:strike w:val="1"/>
        </w:rPr>
        <w:t>Christopher Michelet</w:t>
      </w:r>
      <w:r>
        <w:rPr>
          <w:rFonts w:ascii="Calibri" w:cs="Calibri" w:eastAsia="Calibri" w:hAnsi="Calibri"/>
          <w:sz w:val="20"/>
          <w:szCs w:val="20"/>
          <w:u w:val="single" w:color="auto"/>
          <w:color w:val="0000FF"/>
        </w:rPr>
        <w:t>Michael Zick, Executve Director</w:t>
      </w:r>
    </w:p>
    <w:p>
      <w:pPr>
        <w:spacing w:after="0" w:line="147"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color w:val="FF0000"/>
          <w:strike w:val="1"/>
        </w:rPr>
        <w:t>Director</w:t>
      </w:r>
    </w:p>
    <w:p>
      <w:pPr>
        <w:spacing w:after="0" w:line="161" w:lineRule="exact"/>
        <w:rPr>
          <w:sz w:val="20"/>
          <w:szCs w:val="20"/>
          <w:color w:val="auto"/>
        </w:rPr>
      </w:pPr>
    </w:p>
    <w:p>
      <w:pPr>
        <w:ind w:left="1780"/>
        <w:spacing w:after="0"/>
        <w:tabs>
          <w:tab w:leader="none" w:pos="2860" w:val="left"/>
        </w:tabs>
        <w:rPr>
          <w:sz w:val="20"/>
          <w:szCs w:val="20"/>
          <w:color w:val="auto"/>
        </w:rPr>
      </w:pPr>
      <w:r>
        <w:rPr>
          <w:rFonts w:ascii="Calibri" w:cs="Calibri" w:eastAsia="Calibri" w:hAnsi="Calibri"/>
          <w:sz w:val="20"/>
          <w:szCs w:val="20"/>
          <w:color w:val="auto"/>
        </w:rPr>
        <w:t>Telephone:</w:t>
        <w:tab/>
        <w:t>####</w:t>
      </w:r>
    </w:p>
    <w:p>
      <w:pPr>
        <w:spacing w:after="0" w:line="161" w:lineRule="exact"/>
        <w:rPr>
          <w:sz w:val="20"/>
          <w:szCs w:val="20"/>
          <w:color w:val="auto"/>
        </w:rPr>
      </w:pPr>
    </w:p>
    <w:p>
      <w:pPr>
        <w:ind w:left="1780"/>
        <w:spacing w:after="0"/>
        <w:tabs>
          <w:tab w:leader="none" w:pos="2440" w:val="left"/>
        </w:tabs>
        <w:rPr>
          <w:sz w:val="20"/>
          <w:szCs w:val="20"/>
          <w:color w:val="auto"/>
        </w:rPr>
      </w:pPr>
      <w:r>
        <w:rPr>
          <w:rFonts w:ascii="Calibri" w:cs="Calibri" w:eastAsia="Calibri" w:hAnsi="Calibri"/>
          <w:sz w:val="20"/>
          <w:szCs w:val="20"/>
          <w:color w:val="auto"/>
        </w:rPr>
        <w:t>Email:</w:t>
      </w:r>
      <w:r>
        <w:rPr>
          <w:sz w:val="20"/>
          <w:szCs w:val="20"/>
          <w:color w:val="auto"/>
        </w:rPr>
        <w:tab/>
      </w:r>
      <w:r>
        <w:rPr>
          <w:rFonts w:ascii="Calibri" w:cs="Calibri" w:eastAsia="Calibri" w:hAnsi="Calibri"/>
          <w:sz w:val="20"/>
          <w:szCs w:val="20"/>
          <w:color w:val="auto"/>
          <w:strike w:val="1"/>
        </w:rPr>
        <w:t>####</w:t>
      </w:r>
    </w:p>
    <w:p>
      <w:pPr>
        <w:spacing w:after="0" w:line="309" w:lineRule="exact"/>
        <w:rPr>
          <w:sz w:val="20"/>
          <w:szCs w:val="20"/>
          <w:color w:val="auto"/>
        </w:rPr>
      </w:pPr>
    </w:p>
    <w:p>
      <w:pPr>
        <w:ind w:left="320"/>
        <w:spacing w:after="0"/>
        <w:rPr>
          <w:sz w:val="20"/>
          <w:szCs w:val="20"/>
          <w:color w:val="auto"/>
        </w:rPr>
      </w:pPr>
      <w:r>
        <w:rPr>
          <w:rFonts w:ascii="Calibri" w:cs="Calibri" w:eastAsia="Calibri" w:hAnsi="Calibri"/>
          <w:sz w:val="20"/>
          <w:szCs w:val="20"/>
          <w:color w:val="auto"/>
        </w:rPr>
        <w:t>with a copy to:</w:t>
      </w:r>
    </w:p>
    <w:p>
      <w:pPr>
        <w:spacing w:after="0" w:line="200" w:lineRule="exact"/>
        <w:rPr>
          <w:sz w:val="20"/>
          <w:szCs w:val="20"/>
          <w:color w:val="auto"/>
        </w:rPr>
      </w:pPr>
    </w:p>
    <w:p>
      <w:pPr>
        <w:spacing w:after="0" w:line="366" w:lineRule="exact"/>
        <w:rPr>
          <w:sz w:val="20"/>
          <w:szCs w:val="20"/>
          <w:color w:val="auto"/>
        </w:rPr>
      </w:pPr>
    </w:p>
    <w:p>
      <w:pPr>
        <w:ind w:left="1840"/>
        <w:spacing w:after="0"/>
        <w:rPr>
          <w:sz w:val="20"/>
          <w:szCs w:val="20"/>
          <w:color w:val="auto"/>
        </w:rPr>
      </w:pPr>
      <w:r>
        <w:rPr>
          <w:rFonts w:ascii="Calibri" w:cs="Calibri" w:eastAsia="Calibri" w:hAnsi="Calibri"/>
          <w:sz w:val="20"/>
          <w:szCs w:val="20"/>
          <w:color w:val="auto"/>
        </w:rPr>
        <w:t>DUANE MORRIS LLP</w:t>
      </w:r>
    </w:p>
    <w:p>
      <w:pPr>
        <w:spacing w:after="0" w:line="161" w:lineRule="exact"/>
        <w:rPr>
          <w:sz w:val="20"/>
          <w:szCs w:val="20"/>
          <w:color w:val="auto"/>
        </w:rPr>
      </w:pPr>
    </w:p>
    <w:p>
      <w:pPr>
        <w:ind w:left="1840"/>
        <w:spacing w:after="0"/>
        <w:rPr>
          <w:sz w:val="20"/>
          <w:szCs w:val="20"/>
          <w:color w:val="auto"/>
        </w:rPr>
      </w:pPr>
      <w:r>
        <w:rPr>
          <w:rFonts w:ascii="Calibri" w:cs="Calibri" w:eastAsia="Calibri" w:hAnsi="Calibri"/>
          <w:sz w:val="20"/>
          <w:szCs w:val="20"/>
          <w:color w:val="auto"/>
        </w:rPr>
        <w:t>1540 Broadway, 14</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xml:space="preserve"> Floor New York, NY 10036</w:t>
      </w:r>
    </w:p>
    <w:p>
      <w:pPr>
        <w:spacing w:after="0" w:line="181" w:lineRule="exact"/>
        <w:rPr>
          <w:sz w:val="20"/>
          <w:szCs w:val="20"/>
          <w:color w:val="auto"/>
        </w:rPr>
      </w:pPr>
    </w:p>
    <w:p>
      <w:pPr>
        <w:ind w:left="1840"/>
        <w:spacing w:after="0"/>
        <w:rPr>
          <w:sz w:val="20"/>
          <w:szCs w:val="20"/>
          <w:color w:val="auto"/>
        </w:rPr>
      </w:pPr>
      <w:r>
        <w:rPr>
          <w:rFonts w:ascii="Calibri" w:cs="Calibri" w:eastAsia="Calibri" w:hAnsi="Calibri"/>
          <w:sz w:val="20"/>
          <w:szCs w:val="20"/>
          <w:color w:val="auto"/>
        </w:rPr>
        <w:t>Atenton:Laurence S. Hughes</w:t>
      </w:r>
    </w:p>
    <w:p>
      <w:pPr>
        <w:ind w:left="1840"/>
        <w:spacing w:after="0" w:line="225" w:lineRule="auto"/>
        <w:rPr>
          <w:sz w:val="20"/>
          <w:szCs w:val="20"/>
          <w:color w:val="auto"/>
        </w:rPr>
      </w:pPr>
      <w:r>
        <w:rPr>
          <w:rFonts w:ascii="Calibri" w:cs="Calibri" w:eastAsia="Calibri" w:hAnsi="Calibri"/>
          <w:sz w:val="20"/>
          <w:szCs w:val="20"/>
          <w:color w:val="auto"/>
        </w:rPr>
        <w:t>Telephone: ####</w:t>
      </w:r>
    </w:p>
    <w:p>
      <w:pPr>
        <w:spacing w:after="0" w:line="242" w:lineRule="exact"/>
        <w:rPr>
          <w:sz w:val="20"/>
          <w:szCs w:val="20"/>
          <w:color w:val="auto"/>
        </w:rPr>
      </w:pPr>
    </w:p>
    <w:p>
      <w:pPr>
        <w:ind w:left="1840"/>
        <w:spacing w:after="0"/>
        <w:tabs>
          <w:tab w:leader="none" w:pos="2320" w:val="left"/>
        </w:tabs>
        <w:rPr>
          <w:sz w:val="20"/>
          <w:szCs w:val="20"/>
          <w:color w:val="auto"/>
        </w:rPr>
      </w:pPr>
      <w:r>
        <w:rPr>
          <w:rFonts w:ascii="Calibri" w:cs="Calibri" w:eastAsia="Calibri" w:hAnsi="Calibri"/>
          <w:sz w:val="20"/>
          <w:szCs w:val="20"/>
          <w:color w:val="auto"/>
        </w:rPr>
        <w:t>Fax:</w:t>
        <w:tab/>
        <w:t>####</w:t>
      </w:r>
    </w:p>
    <w:p>
      <w:pPr>
        <w:spacing w:after="0" w:line="161" w:lineRule="exact"/>
        <w:rPr>
          <w:sz w:val="20"/>
          <w:szCs w:val="20"/>
          <w:color w:val="auto"/>
        </w:rPr>
      </w:pPr>
    </w:p>
    <w:p>
      <w:pPr>
        <w:ind w:left="1840"/>
        <w:spacing w:after="0"/>
        <w:tabs>
          <w:tab w:leader="none" w:pos="2500" w:val="left"/>
        </w:tabs>
        <w:rPr>
          <w:sz w:val="20"/>
          <w:szCs w:val="20"/>
          <w:color w:val="auto"/>
        </w:rPr>
      </w:pPr>
      <w:r>
        <w:rPr>
          <w:rFonts w:ascii="Calibri" w:cs="Calibri" w:eastAsia="Calibri" w:hAnsi="Calibri"/>
          <w:sz w:val="20"/>
          <w:szCs w:val="20"/>
          <w:color w:val="auto"/>
        </w:rPr>
        <w:t>Email:</w:t>
        <w:tab/>
        <w:t>####</w:t>
      </w:r>
    </w:p>
    <w:p>
      <w:pPr>
        <w:spacing w:after="0" w:line="238"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or to such other address as any party may designate by writen notce to all other partes. Each such notce, request and demand shall be deemed given or made as follows: (a) if sent by hand delivery, upon delivery; (b) if sent by mail, upon the earlier of the date of receipt or three (3) days afer deposit in the U.S. mail, first class and postage prepaid; and (c) if sent by telecopy or email/pdf, upon receipt. Notces sent by hand or overnight courier service, or mailed by certfied or registered mail, shall be deemed to have been given when received; notces sent by facsimile or email shall be deemed to have been given when sent (except that, if not given during normal business hours for the recipient, shall be deemed to have been given at the opening of business on the next business day for the recipient).</w:t>
      </w:r>
    </w:p>
    <w:p>
      <w:pPr>
        <w:spacing w:after="0" w:line="151" w:lineRule="exact"/>
        <w:rPr>
          <w:sz w:val="20"/>
          <w:szCs w:val="20"/>
          <w:color w:val="auto"/>
        </w:rPr>
      </w:pPr>
    </w:p>
    <w:p>
      <w:pPr>
        <w:ind w:left="520"/>
        <w:spacing w:after="0"/>
        <w:tabs>
          <w:tab w:leader="none" w:pos="1740" w:val="left"/>
        </w:tabs>
        <w:rPr>
          <w:sz w:val="20"/>
          <w:szCs w:val="20"/>
          <w:color w:val="auto"/>
        </w:rPr>
      </w:pPr>
      <w:r>
        <w:rPr>
          <w:rFonts w:ascii="Calibri" w:cs="Calibri" w:eastAsia="Calibri" w:hAnsi="Calibri"/>
          <w:sz w:val="20"/>
          <w:szCs w:val="20"/>
          <w:color w:val="auto"/>
        </w:rPr>
        <w:t>SECTION 7.3.</w:t>
        <w:tab/>
        <w:t>COSTS, EXPENSES AND ATTORNEYS' FEES</w:t>
      </w:r>
      <w:r>
        <w:rPr>
          <w:rFonts w:ascii="Calibri" w:cs="Calibri" w:eastAsia="Calibri" w:hAnsi="Calibri"/>
          <w:sz w:val="20"/>
          <w:szCs w:val="20"/>
          <w:u w:val="single" w:color="auto"/>
          <w:color w:val="0000FF"/>
        </w:rPr>
        <w:t>, ETC</w:t>
      </w:r>
      <w:r>
        <w:rPr>
          <w:rFonts w:ascii="Calibri" w:cs="Calibri" w:eastAsia="Calibri" w:hAnsi="Calibri"/>
          <w:sz w:val="20"/>
          <w:szCs w:val="20"/>
          <w:color w:val="auto"/>
        </w:rPr>
        <w:t>. Borrower shall pay to Bank</w:t>
      </w:r>
    </w:p>
    <w:p>
      <w:pPr>
        <w:spacing w:after="0" w:line="22" w:lineRule="exact"/>
        <w:rPr>
          <w:sz w:val="20"/>
          <w:szCs w:val="20"/>
          <w:color w:val="auto"/>
        </w:rPr>
      </w:pPr>
    </w:p>
    <w:p>
      <w:pPr>
        <w:ind w:right="120"/>
        <w:spacing w:after="0" w:line="243" w:lineRule="auto"/>
        <w:rPr>
          <w:sz w:val="20"/>
          <w:szCs w:val="20"/>
          <w:color w:val="auto"/>
        </w:rPr>
      </w:pPr>
      <w:r>
        <w:rPr>
          <w:rFonts w:ascii="Calibri" w:cs="Calibri" w:eastAsia="Calibri" w:hAnsi="Calibri"/>
          <w:sz w:val="20"/>
          <w:szCs w:val="20"/>
          <w:color w:val="auto"/>
        </w:rPr>
        <w:t>immediately upon demand the full amount of all payments, advances, charges, costs and expenses, including, to the extent permited by applicable law, reasonable atorneys' fees (to include outside counsel fees), expended or incurred by Bank in connecton with (a) the negotaton and preparaton of this Agreement and the other Loan Documents, Bank's contnued administraton hereof and thereof, and the preparaton of any amendments and waivers hereto and thereto, (b) the enforcement of Bank's rights and/or the collecton of any amounts which become due to Bank under any of the Loan Documents, whether or not suit is brought, and (c) the prosecuton or defense of any acton in any way related to any of the Loan Documents, including without limitaton, any acton for declaratory relief, whether incurred at the trial or appellate level, in an arbitraton proceeding or otherwise, and including any of the foregoing incurred in connecton with any bankruptcy proceeding</w:t>
      </w:r>
    </w:p>
    <w:p>
      <w:pPr>
        <w:sectPr>
          <w:pgSz w:w="11900" w:h="16838" w:orient="portrait"/>
          <w:cols w:equalWidth="0" w:num="1">
            <w:col w:w="11080"/>
          </w:cols>
          <w:pgMar w:left="440" w:top="1440" w:right="379" w:bottom="1440" w:gutter="0" w:footer="0" w:header="0"/>
        </w:sectPr>
      </w:pPr>
    </w:p>
    <w:bookmarkStart w:id="131" w:name="page132"/>
    <w:bookmarkEnd w:id="131"/>
    <w:p>
      <w:pPr>
        <w:ind w:right="80"/>
        <w:spacing w:after="0" w:line="242" w:lineRule="auto"/>
        <w:rPr>
          <w:sz w:val="20"/>
          <w:szCs w:val="20"/>
          <w:color w:val="auto"/>
        </w:rPr>
      </w:pPr>
      <w:r>
        <w:rPr>
          <w:rFonts w:ascii="Calibri" w:cs="Calibri" w:eastAsia="Calibri" w:hAnsi="Calibri"/>
          <w:sz w:val="20"/>
          <w:szCs w:val="20"/>
          <w:color w:val="auto"/>
        </w:rPr>
        <w:t>(including without limitaton, any adversary proceeding, contested mater or moton brought by Bank or any other person) relatng to Borrower or any other person or entty. Whenever in this Agreement and the other Loan Documents Borrower is obligated to pay for the atorneys' fees of Bank, or the phrase "reasonable atorneys' fees" or a similar phrase is used, it shall be Borrower's obligaton to pay the atorneys' fees actually incurred or allocated, at standard hourly rates, without regard to any statutory interpretaton, which shall not apply, Borrower hereby waiving the applicaton of any such statute. Notwithstanding anything in this Agreement to the contrary, reasonable atorneys' fees shall not exceed the amount permited by law.</w:t>
      </w:r>
    </w:p>
    <w:p>
      <w:pPr>
        <w:spacing w:after="0" w:line="156" w:lineRule="exact"/>
        <w:rPr>
          <w:sz w:val="20"/>
          <w:szCs w:val="20"/>
          <w:color w:val="auto"/>
        </w:rPr>
      </w:pPr>
    </w:p>
    <w:p>
      <w:pPr>
        <w:ind w:firstLine="518"/>
        <w:spacing w:after="0" w:line="241" w:lineRule="auto"/>
        <w:rPr>
          <w:sz w:val="20"/>
          <w:szCs w:val="20"/>
          <w:color w:val="auto"/>
        </w:rPr>
      </w:pPr>
      <w:r>
        <w:rPr>
          <w:rFonts w:ascii="Calibri" w:cs="Calibri" w:eastAsia="Calibri" w:hAnsi="Calibri"/>
          <w:sz w:val="20"/>
          <w:szCs w:val="20"/>
          <w:color w:val="auto"/>
        </w:rPr>
        <w:t>SECTION 7.4. SUCCESSORS, ASSIGNMENT. This Agreement shall be binding upon and inure to the benefit of the heirs, executors, administrators, legal representatves, successors and assigns of the partes; provided however, that Borrower may not assign or transfer its interests or rights hereunder without Bank's prior writen consent. Bank reserves the right to sell, assign, transfer, negotate or grant partcipatons in all or any part of, or any interest in, Bank's rights and benefits under each of the Loan Documents. In connecton therewith, Bank may disclose all documents and informaton which Bank now has or may hereafer acquire relatng to any credit subject hereto, Borrower or its business, any guarantor hereunder or the business of such guarantor, if any, or any collateral required hereunder so long as the recipient has a “need to know” such informaton and is bound by a duty of confidentality (subject to “market” or customary exceptons).</w:t>
      </w:r>
    </w:p>
    <w:p>
      <w:pPr>
        <w:spacing w:after="0" w:line="158" w:lineRule="exact"/>
        <w:rPr>
          <w:sz w:val="20"/>
          <w:szCs w:val="20"/>
          <w:color w:val="auto"/>
        </w:rPr>
      </w:pPr>
    </w:p>
    <w:p>
      <w:pPr>
        <w:ind w:right="40" w:firstLine="518"/>
        <w:spacing w:after="0"/>
        <w:rPr>
          <w:sz w:val="20"/>
          <w:szCs w:val="20"/>
          <w:color w:val="auto"/>
        </w:rPr>
      </w:pPr>
      <w:r>
        <w:rPr>
          <w:rFonts w:ascii="Calibri" w:cs="Calibri" w:eastAsia="Calibri" w:hAnsi="Calibri"/>
          <w:sz w:val="20"/>
          <w:szCs w:val="20"/>
          <w:color w:val="auto"/>
        </w:rPr>
        <w:t>SECTION 7.5. ENTIRE AGREEMENT; AMENDMENT. To the full extent permited by law, this Agreement and the other Loan Documents consttute the entre agreement between Borrower and Bank with respect to each credit subject hereto and supersede all prior negotatons, communicatons, discussions and correspondence concerning the subject mater hereof. This Agreement may be amended or modified only in writng signed by each party hereto.</w:t>
      </w:r>
    </w:p>
    <w:p>
      <w:pPr>
        <w:spacing w:after="0" w:line="157" w:lineRule="exact"/>
        <w:rPr>
          <w:sz w:val="20"/>
          <w:szCs w:val="20"/>
          <w:color w:val="auto"/>
        </w:rPr>
      </w:pPr>
    </w:p>
    <w:p>
      <w:pPr>
        <w:ind w:right="240" w:firstLine="518"/>
        <w:spacing w:after="0"/>
        <w:rPr>
          <w:sz w:val="20"/>
          <w:szCs w:val="20"/>
          <w:color w:val="auto"/>
        </w:rPr>
      </w:pPr>
      <w:r>
        <w:rPr>
          <w:rFonts w:ascii="Calibri" w:cs="Calibri" w:eastAsia="Calibri" w:hAnsi="Calibri"/>
          <w:sz w:val="20"/>
          <w:szCs w:val="20"/>
          <w:color w:val="auto"/>
        </w:rPr>
        <w:t>SECTION 7.6. NO THIRD PARTY BENEFICIARIES. This Agreement is made and entered into for the sole protecton and benefit of the partes hereto and their respectve permited successors and assigns, and no other person or entty shall be a third party beneficiary of, or have any direct or indirect cause of acton or claim in connecton with, this Agreement or any other of the Loan Documents to which it is not a party.</w:t>
      </w:r>
    </w:p>
    <w:p>
      <w:pPr>
        <w:spacing w:after="0" w:line="157" w:lineRule="exact"/>
        <w:rPr>
          <w:sz w:val="20"/>
          <w:szCs w:val="20"/>
          <w:color w:val="auto"/>
        </w:rPr>
      </w:pPr>
    </w:p>
    <w:p>
      <w:pPr>
        <w:ind w:right="740" w:firstLine="518"/>
        <w:spacing w:after="0"/>
        <w:rPr>
          <w:sz w:val="20"/>
          <w:szCs w:val="20"/>
          <w:color w:val="auto"/>
        </w:rPr>
      </w:pPr>
      <w:r>
        <w:rPr>
          <w:rFonts w:ascii="Calibri" w:cs="Calibri" w:eastAsia="Calibri" w:hAnsi="Calibri"/>
          <w:sz w:val="20"/>
          <w:szCs w:val="20"/>
          <w:color w:val="auto"/>
        </w:rPr>
        <w:t>SECTION 7.7. SEVERABILITY OF PROVISIONS. If any provision of this Agreement shall be prohibited by or invalid under applicable law, such provision shall be ineﬀectve only to the extent of such prohibiton or invalidity without invalidatng the remainder of such provision or any remaining provisions of this Agreement.</w:t>
      </w:r>
    </w:p>
    <w:p>
      <w:pPr>
        <w:spacing w:after="0" w:line="145" w:lineRule="exact"/>
        <w:rPr>
          <w:sz w:val="20"/>
          <w:szCs w:val="20"/>
          <w:color w:val="auto"/>
        </w:rPr>
      </w:pPr>
    </w:p>
    <w:p>
      <w:pPr>
        <w:ind w:right="340" w:firstLine="518"/>
        <w:spacing w:after="0"/>
        <w:rPr>
          <w:sz w:val="20"/>
          <w:szCs w:val="20"/>
          <w:color w:val="auto"/>
        </w:rPr>
      </w:pPr>
      <w:r>
        <w:rPr>
          <w:rFonts w:ascii="Calibri" w:cs="Calibri" w:eastAsia="Calibri" w:hAnsi="Calibri"/>
          <w:sz w:val="20"/>
          <w:szCs w:val="20"/>
          <w:color w:val="auto"/>
        </w:rPr>
        <w:t>SECTION 7.8. COUNTERPARTS. This Agreement may be executed in any number of counterparts, each of which when executed and delivered shall be deemed to be an original, and all of which when taken together shall consttute one and the same Agreement. Delivery of an executed counterpart of the signature of this Agreement by telecopy or email shall be eﬀectve as delivery of a manually executed counterpart of this Agreement.</w:t>
      </w:r>
    </w:p>
    <w:p>
      <w:pPr>
        <w:spacing w:after="0" w:line="292" w:lineRule="exact"/>
        <w:rPr>
          <w:sz w:val="20"/>
          <w:szCs w:val="20"/>
          <w:color w:val="auto"/>
        </w:rPr>
      </w:pPr>
    </w:p>
    <w:p>
      <w:pPr>
        <w:ind w:right="500" w:firstLine="518"/>
        <w:spacing w:after="0"/>
        <w:rPr>
          <w:sz w:val="20"/>
          <w:szCs w:val="20"/>
          <w:color w:val="auto"/>
        </w:rPr>
      </w:pPr>
      <w:r>
        <w:rPr>
          <w:rFonts w:ascii="Calibri" w:cs="Calibri" w:eastAsia="Calibri" w:hAnsi="Calibri"/>
          <w:sz w:val="20"/>
          <w:szCs w:val="20"/>
          <w:color w:val="auto"/>
        </w:rPr>
        <w:t>SECTION 7.9. GOVERNING LAW. This Agreement shall be governed by and construed in accordance with the laws of New York (such State is referred to herein as the “State”), but giving eﬀect to federal laws applicable to natonal banks, without reference to the conflicts of law or choice of law principles thereof.</w:t>
      </w:r>
    </w:p>
    <w:p>
      <w:pPr>
        <w:sectPr>
          <w:pgSz w:w="11900" w:h="16838" w:orient="portrait"/>
          <w:cols w:equalWidth="0" w:num="1">
            <w:col w:w="11000"/>
          </w:cols>
          <w:pgMar w:left="440" w:top="1425" w:right="459" w:bottom="1440" w:gutter="0" w:footer="0" w:header="0"/>
        </w:sectPr>
      </w:pPr>
    </w:p>
    <w:bookmarkStart w:id="132" w:name="page133"/>
    <w:bookmarkEnd w:id="132"/>
    <w:p>
      <w:pPr>
        <w:spacing w:after="0" w:line="120" w:lineRule="exact"/>
        <w:rPr>
          <w:sz w:val="20"/>
          <w:szCs w:val="20"/>
          <w:color w:val="auto"/>
        </w:rPr>
      </w:pPr>
    </w:p>
    <w:p>
      <w:pPr>
        <w:ind w:left="120" w:right="280" w:firstLine="518"/>
        <w:spacing w:after="0" w:line="236" w:lineRule="auto"/>
        <w:rPr>
          <w:sz w:val="20"/>
          <w:szCs w:val="20"/>
          <w:color w:val="auto"/>
        </w:rPr>
      </w:pPr>
      <w:r>
        <w:rPr>
          <w:rFonts w:ascii="Calibri" w:cs="Calibri" w:eastAsia="Calibri" w:hAnsi="Calibri"/>
          <w:sz w:val="20"/>
          <w:szCs w:val="20"/>
          <w:color w:val="auto"/>
        </w:rPr>
        <w:t>SECTION 7.10. BUSINESS PURPOSE. Borrower represents and warrants that each credit subject hereto is made for (a) a business, commercial, investment, agricultural or other similar purpose, (b) the purpose of acquiring or carrying on a business, professional or commercial actvity, or (c) the purpose of acquiring any real or personal property as an investment and not primarily for a personal, family or household use.</w:t>
      </w:r>
    </w:p>
    <w:p>
      <w:pPr>
        <w:spacing w:after="0" w:line="160" w:lineRule="exact"/>
        <w:rPr>
          <w:sz w:val="20"/>
          <w:szCs w:val="20"/>
          <w:color w:val="auto"/>
        </w:rPr>
      </w:pPr>
    </w:p>
    <w:p>
      <w:pPr>
        <w:ind w:left="120" w:right="280" w:firstLine="518"/>
        <w:spacing w:after="0" w:line="241" w:lineRule="auto"/>
        <w:rPr>
          <w:sz w:val="20"/>
          <w:szCs w:val="20"/>
          <w:color w:val="auto"/>
        </w:rPr>
      </w:pPr>
      <w:r>
        <w:rPr>
          <w:rFonts w:ascii="Calibri" w:cs="Calibri" w:eastAsia="Calibri" w:hAnsi="Calibri"/>
          <w:sz w:val="20"/>
          <w:szCs w:val="20"/>
          <w:color w:val="auto"/>
        </w:rPr>
        <w:t>SECTION 7.11. RIGHT OF SETOFF; DEPOSIT ACCOUNTS. Upon and afer the occurrence of an Event of Default and during the contnuance thereof, (a) Borrower hereby authorizes Bank, at any tme and from tme to tme, without notce, which is hereby expressly waived by Borrower, and whether or not Bank shall have declared any credit subject hereto to be due and payable in accordance with the terms hereof, to set oﬀ against, and to appropriate and apply to the payment of, Borrower's obligatons and liabilites under the Loan Documents (whether matured or unmatured, fixed or contngent, liquidated or unliquidated), any and all amounts owing by Bank to Borrower (whether payable in U.S. dollars or any other currency, whether matured or unmatured, and in the case of deposits, whether general or special (except trust and escrow accounts), tme or demand and however evidenced), and</w:t>
      </w:r>
    </w:p>
    <w:p>
      <w:pPr>
        <w:spacing w:after="0" w:line="2" w:lineRule="exact"/>
        <w:rPr>
          <w:sz w:val="20"/>
          <w:szCs w:val="20"/>
          <w:color w:val="auto"/>
        </w:rPr>
      </w:pPr>
    </w:p>
    <w:p>
      <w:pPr>
        <w:ind w:left="400" w:hanging="284"/>
        <w:spacing w:after="0"/>
        <w:tabs>
          <w:tab w:leader="none" w:pos="400" w:val="left"/>
        </w:tabs>
        <w:numPr>
          <w:ilvl w:val="0"/>
          <w:numId w:val="72"/>
        </w:numPr>
        <w:rPr>
          <w:rFonts w:ascii="Calibri" w:cs="Calibri" w:eastAsia="Calibri" w:hAnsi="Calibri"/>
          <w:sz w:val="20"/>
          <w:szCs w:val="20"/>
          <w:color w:val="auto"/>
        </w:rPr>
      </w:pPr>
      <w:r>
        <w:rPr>
          <w:rFonts w:ascii="Calibri" w:cs="Calibri" w:eastAsia="Calibri" w:hAnsi="Calibri"/>
          <w:sz w:val="20"/>
          <w:szCs w:val="20"/>
          <w:color w:val="auto"/>
        </w:rPr>
        <w:t>pending any such acton, to the extent necessary, to hold such amounts as collateral to secure such obligatons and liabilites and</w:t>
      </w:r>
    </w:p>
    <w:p>
      <w:pPr>
        <w:spacing w:after="0" w:line="22" w:lineRule="exact"/>
        <w:rPr>
          <w:rFonts w:ascii="Calibri" w:cs="Calibri" w:eastAsia="Calibri" w:hAnsi="Calibri"/>
          <w:sz w:val="20"/>
          <w:szCs w:val="20"/>
          <w:color w:val="auto"/>
        </w:rPr>
      </w:pPr>
    </w:p>
    <w:p>
      <w:pPr>
        <w:ind w:left="120" w:right="3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to return as unpaid for insuﬃcient funds any and all checks and other items drawn against any deposits so held as Bank, in its sole discreton, may elect. Bank may exercise this remedy regardless of the adequacy of any collateral for the obligatons of Borrower to Bank and whether or not the Bank is otherwise fully secured. Borrower hereby grants to Bank a security interest in all deposits and</w:t>
      </w:r>
    </w:p>
    <w:p>
      <w:pPr>
        <w:spacing w:after="0" w:line="22" w:lineRule="exact"/>
        <w:rPr>
          <w:rFonts w:ascii="Calibri" w:cs="Calibri" w:eastAsia="Calibri" w:hAnsi="Calibri"/>
          <w:sz w:val="20"/>
          <w:szCs w:val="20"/>
          <w:color w:val="auto"/>
        </w:rPr>
      </w:pPr>
    </w:p>
    <w:p>
      <w:pPr>
        <w:ind w:left="120" w:right="106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accounts maintained with Bank to secure the payment of all obligatons and liabilites of Borrower to Bank under the Loan Documents.</w:t>
      </w:r>
    </w:p>
    <w:p>
      <w:pPr>
        <w:spacing w:after="0" w:line="149" w:lineRule="exact"/>
        <w:rPr>
          <w:sz w:val="20"/>
          <w:szCs w:val="20"/>
          <w:color w:val="auto"/>
        </w:rPr>
      </w:pPr>
    </w:p>
    <w:p>
      <w:pPr>
        <w:ind w:left="640"/>
        <w:spacing w:after="0"/>
        <w:tabs>
          <w:tab w:leader="none" w:pos="1960" w:val="left"/>
        </w:tabs>
        <w:rPr>
          <w:sz w:val="20"/>
          <w:szCs w:val="20"/>
          <w:color w:val="auto"/>
        </w:rPr>
      </w:pPr>
      <w:r>
        <w:rPr>
          <w:rFonts w:ascii="Calibri" w:cs="Calibri" w:eastAsia="Calibri" w:hAnsi="Calibri"/>
          <w:sz w:val="20"/>
          <w:szCs w:val="20"/>
          <w:color w:val="auto"/>
        </w:rPr>
        <w:t>SECTION 7.12.</w:t>
      </w:r>
      <w:r>
        <w:rPr>
          <w:sz w:val="20"/>
          <w:szCs w:val="20"/>
          <w:color w:val="auto"/>
        </w:rPr>
        <w:tab/>
      </w:r>
      <w:r>
        <w:rPr>
          <w:rFonts w:ascii="Calibri" w:cs="Calibri" w:eastAsia="Calibri" w:hAnsi="Calibri"/>
          <w:sz w:val="19"/>
          <w:szCs w:val="19"/>
          <w:color w:val="auto"/>
        </w:rPr>
        <w:t>ARBITRATION.</w:t>
      </w:r>
    </w:p>
    <w:p>
      <w:pPr>
        <w:spacing w:after="0" w:line="147" w:lineRule="exact"/>
        <w:rPr>
          <w:sz w:val="20"/>
          <w:szCs w:val="20"/>
          <w:color w:val="auto"/>
        </w:rPr>
      </w:pPr>
    </w:p>
    <w:p>
      <w:pPr>
        <w:ind w:left="920" w:hanging="264"/>
        <w:spacing w:after="0"/>
        <w:tabs>
          <w:tab w:leader="none" w:pos="920" w:val="left"/>
        </w:tabs>
        <w:numPr>
          <w:ilvl w:val="0"/>
          <w:numId w:val="73"/>
        </w:numPr>
        <w:rPr>
          <w:rFonts w:ascii="Calibri" w:cs="Calibri" w:eastAsia="Calibri" w:hAnsi="Calibri"/>
          <w:sz w:val="20"/>
          <w:szCs w:val="20"/>
          <w:color w:val="auto"/>
        </w:rPr>
      </w:pPr>
      <w:r>
        <w:rPr>
          <w:rFonts w:ascii="Calibri" w:cs="Calibri" w:eastAsia="Calibri" w:hAnsi="Calibri"/>
          <w:sz w:val="20"/>
          <w:szCs w:val="20"/>
          <w:u w:val="single" w:color="auto"/>
          <w:color w:val="auto"/>
        </w:rPr>
        <w:t>Arbitraton</w:t>
      </w:r>
      <w:r>
        <w:rPr>
          <w:rFonts w:ascii="Calibri" w:cs="Calibri" w:eastAsia="Calibri" w:hAnsi="Calibri"/>
          <w:sz w:val="20"/>
          <w:szCs w:val="20"/>
          <w:color w:val="auto"/>
        </w:rPr>
        <w:t>. The partes hereto agree, upon demand by any party, to submit to binding arbitraton all claims, disputes and</w:t>
      </w:r>
    </w:p>
    <w:p>
      <w:pPr>
        <w:spacing w:after="0" w:line="22" w:lineRule="exact"/>
        <w:rPr>
          <w:rFonts w:ascii="Calibri" w:cs="Calibri" w:eastAsia="Calibri" w:hAnsi="Calibri"/>
          <w:sz w:val="20"/>
          <w:szCs w:val="20"/>
          <w:color w:val="auto"/>
        </w:rPr>
      </w:pPr>
    </w:p>
    <w:p>
      <w:pPr>
        <w:ind w:right="1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controversies between or among them (and their respectve employees, oﬃcers, directors, atorneys, and other agents), whether in tort, contract or otherwise in any way arising out of or relatng to (i) any credit subject hereto, or any of the Loan Documents, and their negotaton, executon, collateralizaton, administraton, repayment, modificaton, extension, substtuton, formaton, inducement,</w:t>
      </w:r>
    </w:p>
    <w:p>
      <w:pPr>
        <w:spacing w:after="0" w:line="22" w:lineRule="exact"/>
        <w:rPr>
          <w:rFonts w:ascii="Calibri" w:cs="Calibri" w:eastAsia="Calibri" w:hAnsi="Calibri"/>
          <w:sz w:val="20"/>
          <w:szCs w:val="20"/>
          <w:color w:val="auto"/>
        </w:rPr>
      </w:pPr>
    </w:p>
    <w:p>
      <w:pPr>
        <w:ind w:right="100"/>
        <w:spacing w:after="0"/>
        <w:rPr>
          <w:rFonts w:ascii="Calibri" w:cs="Calibri" w:eastAsia="Calibri" w:hAnsi="Calibri"/>
          <w:sz w:val="20"/>
          <w:szCs w:val="20"/>
          <w:color w:val="auto"/>
        </w:rPr>
      </w:pPr>
      <w:r>
        <w:rPr>
          <w:rFonts w:ascii="Calibri" w:cs="Calibri" w:eastAsia="Calibri" w:hAnsi="Calibri"/>
          <w:sz w:val="20"/>
          <w:szCs w:val="20"/>
          <w:color w:val="auto"/>
        </w:rPr>
        <w:t>enforcement, default or terminaton; or (ii) requests for additonal credit. In the event of a court ordered arbitraton, the party requestng arbitraton shall be responsible for tmely filing the demand for arbitraton and paying the appropriate filing fee within 30 days of the abatement order or the tme specified by the court. Failure to tmely file the demand for arbitraton as ordered by the court will result in that party’s right to demand arbitraton being automatcally terminated.</w:t>
      </w:r>
    </w:p>
    <w:p>
      <w:pPr>
        <w:spacing w:after="0" w:line="251" w:lineRule="exact"/>
        <w:rPr>
          <w:rFonts w:ascii="Calibri" w:cs="Calibri" w:eastAsia="Calibri" w:hAnsi="Calibri"/>
          <w:sz w:val="20"/>
          <w:szCs w:val="20"/>
          <w:color w:val="auto"/>
        </w:rPr>
      </w:pPr>
    </w:p>
    <w:p>
      <w:pPr>
        <w:ind w:firstLine="656"/>
        <w:spacing w:after="0" w:line="233" w:lineRule="auto"/>
        <w:tabs>
          <w:tab w:leader="none" w:pos="923" w:val="left"/>
        </w:tabs>
        <w:numPr>
          <w:ilvl w:val="0"/>
          <w:numId w:val="73"/>
        </w:numPr>
        <w:rPr>
          <w:rFonts w:ascii="Calibri" w:cs="Calibri" w:eastAsia="Calibri" w:hAnsi="Calibri"/>
          <w:sz w:val="20"/>
          <w:szCs w:val="20"/>
          <w:color w:val="auto"/>
        </w:rPr>
      </w:pPr>
      <w:r>
        <w:rPr>
          <w:rFonts w:ascii="Calibri" w:cs="Calibri" w:eastAsia="Calibri" w:hAnsi="Calibri"/>
          <w:sz w:val="20"/>
          <w:szCs w:val="20"/>
          <w:u w:val="single" w:color="auto"/>
          <w:color w:val="auto"/>
        </w:rPr>
        <w:t>Governing Rules</w:t>
      </w:r>
      <w:r>
        <w:rPr>
          <w:rFonts w:ascii="Calibri" w:cs="Calibri" w:eastAsia="Calibri" w:hAnsi="Calibri"/>
          <w:sz w:val="20"/>
          <w:szCs w:val="20"/>
          <w:color w:val="auto"/>
        </w:rPr>
        <w:t>. Any arbitraton proceeding will (i) proceed in a locaton in the State selected by the American Arbitraton Associaton (“AAA”); (ii) be governed by the Federal Arbitraton Act (Title 9 of the United States Code), notwithstanding any conflictng choice of law provision in any of the documents between the partes; and (iii) be conducted by the AAA, or such other administrator as the partes shall mutually agree upon, in accordance with the AAA’s commercial dispute resoluton procedures, unless the claim or counterclaim is at least $1,000,000.00 exclusive of claimed interest, arbitraton fees and costs in which case the arbitraton shall be conducted in accordance with the AAA’s optonal procedures for large, complex commercial disputes (the commercial dispute resoluton procedures or the optonal procedures for large, complex commercial disputes to be referred to herein, as applicable, as the “Rules”). If there is any inconsistency between the terms hereof and the Rules, the terms and procedures set forth herein shall control. Any party who fails or refuses to submit to</w:t>
      </w:r>
    </w:p>
    <w:p>
      <w:pPr>
        <w:sectPr>
          <w:pgSz w:w="11900" w:h="16838" w:orient="portrait"/>
          <w:cols w:equalWidth="0" w:num="1">
            <w:col w:w="11180"/>
          </w:cols>
          <w:pgMar w:left="320" w:top="1440" w:right="399" w:bottom="1440" w:gutter="0" w:footer="0" w:header="0"/>
        </w:sectPr>
      </w:pPr>
    </w:p>
    <w:bookmarkStart w:id="133" w:name="page134"/>
    <w:bookmarkEnd w:id="133"/>
    <w:p>
      <w:pPr>
        <w:ind w:right="520"/>
        <w:spacing w:after="0" w:line="231" w:lineRule="auto"/>
        <w:rPr>
          <w:sz w:val="20"/>
          <w:szCs w:val="20"/>
          <w:color w:val="auto"/>
        </w:rPr>
      </w:pPr>
      <w:r>
        <w:rPr>
          <w:rFonts w:ascii="Calibri" w:cs="Calibri" w:eastAsia="Calibri" w:hAnsi="Calibri"/>
          <w:sz w:val="20"/>
          <w:szCs w:val="20"/>
          <w:color w:val="auto"/>
        </w:rPr>
        <w:t>arbitraton following a demand by any other party shall bear all costs and expenses incurred by such other party in compelling arbitraton of any dispute. Nothing contained herein shall be deemed to be a waiver by any party that is a bank of the protectons aﬀorded to it under 12 U.S.C. §91 or any similar applicable state law.</w:t>
      </w:r>
    </w:p>
    <w:p>
      <w:pPr>
        <w:spacing w:after="0" w:line="146" w:lineRule="exact"/>
        <w:rPr>
          <w:sz w:val="20"/>
          <w:szCs w:val="20"/>
          <w:color w:val="auto"/>
        </w:rPr>
      </w:pPr>
    </w:p>
    <w:p>
      <w:pPr>
        <w:jc w:val="both"/>
        <w:ind w:firstLine="656"/>
        <w:spacing w:after="0" w:line="234" w:lineRule="auto"/>
        <w:tabs>
          <w:tab w:leader="none" w:pos="916" w:val="left"/>
        </w:tabs>
        <w:numPr>
          <w:ilvl w:val="0"/>
          <w:numId w:val="74"/>
        </w:numPr>
        <w:rPr>
          <w:rFonts w:ascii="Calibri" w:cs="Calibri" w:eastAsia="Calibri" w:hAnsi="Calibri"/>
          <w:sz w:val="20"/>
          <w:szCs w:val="20"/>
          <w:color w:val="auto"/>
        </w:rPr>
      </w:pPr>
      <w:r>
        <w:rPr>
          <w:rFonts w:ascii="Calibri" w:cs="Calibri" w:eastAsia="Calibri" w:hAnsi="Calibri"/>
          <w:sz w:val="20"/>
          <w:szCs w:val="20"/>
          <w:u w:val="single" w:color="auto"/>
          <w:color w:val="auto"/>
        </w:rPr>
        <w:t>No Waiver of Provisional Remedies, Self-Help and Foreclosure</w:t>
      </w:r>
      <w:r>
        <w:rPr>
          <w:rFonts w:ascii="Calibri" w:cs="Calibri" w:eastAsia="Calibri" w:hAnsi="Calibri"/>
          <w:sz w:val="20"/>
          <w:szCs w:val="20"/>
          <w:color w:val="auto"/>
        </w:rPr>
        <w:t>. The arbitraton requirement does not limit the right of any party to (i) foreclose against real or personal property collateral; (ii) exercise self-help remedies relatng to collateral or proceeds of</w:t>
      </w:r>
    </w:p>
    <w:p>
      <w:pPr>
        <w:spacing w:after="0" w:line="23" w:lineRule="exact"/>
        <w:rPr>
          <w:rFonts w:ascii="Calibri" w:cs="Calibri" w:eastAsia="Calibri" w:hAnsi="Calibri"/>
          <w:sz w:val="20"/>
          <w:szCs w:val="20"/>
          <w:color w:val="auto"/>
        </w:rPr>
      </w:pPr>
    </w:p>
    <w:p>
      <w:pPr>
        <w:jc w:val="both"/>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collateral such as setoﬀ or repossession; or (iii) obtain provisional or ancillary remedies such as replevin, injunctve relief, atachment or the appointment of a receiver, before during or afer the pendency of any arbitraton proceeding. This exclusion does not consttute a waiver of the right or obligaton of any party to submit any dispute to arbitraton or reference hereunder, including those arising from the exercise of the actons detailed in sectons (i), (ii) and (iii) of this paragraph.</w:t>
      </w:r>
    </w:p>
    <w:p>
      <w:pPr>
        <w:spacing w:after="0" w:line="160" w:lineRule="exact"/>
        <w:rPr>
          <w:rFonts w:ascii="Calibri" w:cs="Calibri" w:eastAsia="Calibri" w:hAnsi="Calibri"/>
          <w:sz w:val="20"/>
          <w:szCs w:val="20"/>
          <w:color w:val="auto"/>
        </w:rPr>
      </w:pPr>
    </w:p>
    <w:p>
      <w:pPr>
        <w:ind w:right="360" w:firstLine="656"/>
        <w:spacing w:after="0" w:line="234" w:lineRule="auto"/>
        <w:tabs>
          <w:tab w:leader="none" w:pos="923" w:val="left"/>
        </w:tabs>
        <w:numPr>
          <w:ilvl w:val="0"/>
          <w:numId w:val="74"/>
        </w:numPr>
        <w:rPr>
          <w:rFonts w:ascii="Calibri" w:cs="Calibri" w:eastAsia="Calibri" w:hAnsi="Calibri"/>
          <w:sz w:val="20"/>
          <w:szCs w:val="20"/>
          <w:color w:val="auto"/>
        </w:rPr>
      </w:pPr>
      <w:r>
        <w:rPr>
          <w:rFonts w:ascii="Calibri" w:cs="Calibri" w:eastAsia="Calibri" w:hAnsi="Calibri"/>
          <w:sz w:val="20"/>
          <w:szCs w:val="20"/>
          <w:u w:val="single" w:color="auto"/>
          <w:color w:val="auto"/>
        </w:rPr>
        <w:t>Arbitrator Qualificatons and Powers</w:t>
      </w:r>
      <w:r>
        <w:rPr>
          <w:rFonts w:ascii="Calibri" w:cs="Calibri" w:eastAsia="Calibri" w:hAnsi="Calibri"/>
          <w:sz w:val="20"/>
          <w:szCs w:val="20"/>
          <w:color w:val="auto"/>
        </w:rPr>
        <w:t>. Any arbitraton proceeding in which the amount in controversy is $5,000,000.00 or less will be decided by a single arbitrator selected according to the Rules, and who shall not render an award of greater than</w:t>
      </w:r>
    </w:p>
    <w:p>
      <w:pPr>
        <w:spacing w:after="0" w:line="23" w:lineRule="exact"/>
        <w:rPr>
          <w:rFonts w:ascii="Calibri" w:cs="Calibri" w:eastAsia="Calibri" w:hAnsi="Calibri"/>
          <w:sz w:val="20"/>
          <w:szCs w:val="20"/>
          <w:color w:val="auto"/>
        </w:rPr>
      </w:pPr>
    </w:p>
    <w:p>
      <w:pPr>
        <w:ind w:right="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$5,000,000.00. Any dispute in which the amount in controversy exceeds $5,000,000.00 shall be decided by majority vote of a panel of three arbitrators; provided however, that all three arbitrators must actvely partcipate in all hearings and deliberatons. The arbitrator will be a neutral atorney licensed in the State or a neutral retred judge of the state or federal judiciary of the State, in either case with</w:t>
      </w:r>
    </w:p>
    <w:p>
      <w:pPr>
        <w:spacing w:after="0" w:line="22" w:lineRule="exact"/>
        <w:rPr>
          <w:rFonts w:ascii="Calibri" w:cs="Calibri" w:eastAsia="Calibri" w:hAnsi="Calibri"/>
          <w:sz w:val="20"/>
          <w:szCs w:val="20"/>
          <w:color w:val="auto"/>
        </w:rPr>
      </w:pPr>
    </w:p>
    <w:p>
      <w:pPr>
        <w:ind w:right="2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 minimum of ten years experience in the substantve law applicable to the subject mater of the dispute to be arbitrated. The arbitrator will determine whether or not an issue is arbitratable and will give eﬀect to the statutes of limitaton in determining any claim. In any arbitraton proceeding the arbitrator will decide (by documents only or with a hearing at the arbitrator's discreton) any</w:t>
      </w:r>
    </w:p>
    <w:p>
      <w:pPr>
        <w:spacing w:after="0" w:line="22" w:lineRule="exact"/>
        <w:rPr>
          <w:rFonts w:ascii="Calibri" w:cs="Calibri" w:eastAsia="Calibri" w:hAnsi="Calibri"/>
          <w:sz w:val="20"/>
          <w:szCs w:val="20"/>
          <w:color w:val="auto"/>
        </w:rPr>
      </w:pPr>
    </w:p>
    <w:p>
      <w:pPr>
        <w:ind w:right="1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pre-hearing motons which are similar to motons to dismiss for failure to state a claim or motons for summary adjudicaton. The arbitrator shall resolve all disputes in accordance with the substantve law of the State and may grant any remedy or relief that a court of such state could order or grant within the scope hereof and such ancillary relief as is necessary to make eﬀectve any award. The arbitrator shall also have the power to award recovery of all costs and fees, to impose sanctons and to take such other acton as the</w:t>
      </w:r>
    </w:p>
    <w:p>
      <w:pPr>
        <w:spacing w:after="0" w:line="25" w:lineRule="exact"/>
        <w:rPr>
          <w:rFonts w:ascii="Calibri" w:cs="Calibri" w:eastAsia="Calibri" w:hAnsi="Calibri"/>
          <w:sz w:val="20"/>
          <w:szCs w:val="20"/>
          <w:color w:val="auto"/>
        </w:rPr>
      </w:pPr>
    </w:p>
    <w:p>
      <w:pPr>
        <w:ind w:right="1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arbitrator deems necessary to the same extent a judge could pursuant to the Federal Rules of Civil Procedure, the corresponding rules of civil practce and procedure applicable in the State or other applicable law. Judgment upon the award rendered by the arbitrator may be entered in any court having jurisdicton. The insttuton and maintenance of an acton for judicial relief or pursuit of a</w:t>
      </w:r>
    </w:p>
    <w:p>
      <w:pPr>
        <w:spacing w:after="0" w:line="22" w:lineRule="exact"/>
        <w:rPr>
          <w:rFonts w:ascii="Calibri" w:cs="Calibri" w:eastAsia="Calibri" w:hAnsi="Calibri"/>
          <w:sz w:val="20"/>
          <w:szCs w:val="20"/>
          <w:color w:val="auto"/>
        </w:rPr>
      </w:pPr>
    </w:p>
    <w:p>
      <w:pPr>
        <w:ind w:right="2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provisional or ancillary remedy shall not consttute a waiver of the right of any party, including the plaintﬀ, to submit the controversy or claim to arbitraton if any other party contests such acton for judicial relief.</w:t>
      </w:r>
    </w:p>
    <w:p>
      <w:pPr>
        <w:spacing w:after="0" w:line="252" w:lineRule="exact"/>
        <w:rPr>
          <w:rFonts w:ascii="Calibri" w:cs="Calibri" w:eastAsia="Calibri" w:hAnsi="Calibri"/>
          <w:sz w:val="20"/>
          <w:szCs w:val="20"/>
          <w:color w:val="auto"/>
        </w:rPr>
      </w:pPr>
    </w:p>
    <w:p>
      <w:pPr>
        <w:ind w:right="20" w:firstLine="656"/>
        <w:spacing w:after="0" w:line="234" w:lineRule="auto"/>
        <w:tabs>
          <w:tab w:leader="none" w:pos="917" w:val="left"/>
        </w:tabs>
        <w:numPr>
          <w:ilvl w:val="0"/>
          <w:numId w:val="74"/>
        </w:numPr>
        <w:rPr>
          <w:rFonts w:ascii="Calibri" w:cs="Calibri" w:eastAsia="Calibri" w:hAnsi="Calibri"/>
          <w:sz w:val="20"/>
          <w:szCs w:val="20"/>
          <w:color w:val="auto"/>
        </w:rPr>
      </w:pPr>
      <w:r>
        <w:rPr>
          <w:rFonts w:ascii="Calibri" w:cs="Calibri" w:eastAsia="Calibri" w:hAnsi="Calibri"/>
          <w:sz w:val="20"/>
          <w:szCs w:val="20"/>
          <w:u w:val="single" w:color="auto"/>
          <w:color w:val="auto"/>
        </w:rPr>
        <w:t>Discovery</w:t>
      </w:r>
      <w:r>
        <w:rPr>
          <w:rFonts w:ascii="Calibri" w:cs="Calibri" w:eastAsia="Calibri" w:hAnsi="Calibri"/>
          <w:sz w:val="20"/>
          <w:szCs w:val="20"/>
          <w:color w:val="auto"/>
        </w:rPr>
        <w:t>. In any arbitraton proceeding, discovery will be permited in accordance with the Rules. All discovery shall be expressly limited to maters directly relevant to the dispute being arbitrated and must be completed no later than 20 days before the hearing date. Any requests for an extension of the discovery periods, or any discovery disputes, will be subject to final determinaton by the arbitrator upon a showing that the request for discovery is essental for the party's presentaton and that no alternatve means for obtaining informaton is available.</w:t>
      </w:r>
    </w:p>
    <w:p>
      <w:pPr>
        <w:spacing w:after="0" w:line="146" w:lineRule="exact"/>
        <w:rPr>
          <w:rFonts w:ascii="Calibri" w:cs="Calibri" w:eastAsia="Calibri" w:hAnsi="Calibri"/>
          <w:sz w:val="20"/>
          <w:szCs w:val="20"/>
          <w:color w:val="auto"/>
        </w:rPr>
      </w:pPr>
    </w:p>
    <w:p>
      <w:pPr>
        <w:ind w:right="40" w:firstLine="656"/>
        <w:spacing w:after="0"/>
        <w:tabs>
          <w:tab w:leader="none" w:pos="881" w:val="left"/>
        </w:tabs>
        <w:numPr>
          <w:ilvl w:val="0"/>
          <w:numId w:val="74"/>
        </w:numPr>
        <w:rPr>
          <w:rFonts w:ascii="Calibri" w:cs="Calibri" w:eastAsia="Calibri" w:hAnsi="Calibri"/>
          <w:sz w:val="20"/>
          <w:szCs w:val="20"/>
          <w:color w:val="auto"/>
        </w:rPr>
      </w:pPr>
      <w:r>
        <w:rPr>
          <w:rFonts w:ascii="Calibri" w:cs="Calibri" w:eastAsia="Calibri" w:hAnsi="Calibri"/>
          <w:sz w:val="20"/>
          <w:szCs w:val="20"/>
          <w:u w:val="single" w:color="auto"/>
          <w:color w:val="auto"/>
        </w:rPr>
        <w:t>Class Proceedings and Consolidatons</w:t>
      </w:r>
      <w:r>
        <w:rPr>
          <w:rFonts w:ascii="Calibri" w:cs="Calibri" w:eastAsia="Calibri" w:hAnsi="Calibri"/>
          <w:sz w:val="20"/>
          <w:szCs w:val="20"/>
          <w:color w:val="auto"/>
        </w:rPr>
        <w:t>. No party hereto shall be enttled to join or consolidate disputes by or against others in any arbitraton, except partes who have executed any Loan Document, or to include in any arbitraton any dispute as a representatve or member of a class, or to act in any arbitraton in the interest of the general public or in a private atorney general capacity.</w:t>
      </w:r>
    </w:p>
    <w:p>
      <w:pPr>
        <w:sectPr>
          <w:pgSz w:w="11900" w:h="16838" w:orient="portrait"/>
          <w:cols w:equalWidth="0" w:num="1">
            <w:col w:w="11140"/>
          </w:cols>
          <w:pgMar w:left="320" w:top="1411" w:right="439" w:bottom="1440" w:gutter="0" w:footer="0" w:header="0"/>
        </w:sectPr>
      </w:pPr>
    </w:p>
    <w:bookmarkStart w:id="134" w:name="page135"/>
    <w:bookmarkEnd w:id="134"/>
    <w:p>
      <w:pPr>
        <w:spacing w:after="0" w:line="110" w:lineRule="exact"/>
        <w:rPr>
          <w:sz w:val="20"/>
          <w:szCs w:val="20"/>
          <w:color w:val="auto"/>
        </w:rPr>
      </w:pPr>
    </w:p>
    <w:p>
      <w:pPr>
        <w:ind w:left="920" w:hanging="264"/>
        <w:spacing w:after="0"/>
        <w:tabs>
          <w:tab w:leader="none" w:pos="920" w:val="left"/>
        </w:tabs>
        <w:numPr>
          <w:ilvl w:val="0"/>
          <w:numId w:val="75"/>
        </w:numPr>
        <w:rPr>
          <w:rFonts w:ascii="Calibri" w:cs="Calibri" w:eastAsia="Calibri" w:hAnsi="Calibri"/>
          <w:sz w:val="20"/>
          <w:szCs w:val="20"/>
          <w:color w:val="auto"/>
        </w:rPr>
      </w:pPr>
      <w:r>
        <w:rPr>
          <w:rFonts w:ascii="Calibri" w:cs="Calibri" w:eastAsia="Calibri" w:hAnsi="Calibri"/>
          <w:sz w:val="20"/>
          <w:szCs w:val="20"/>
          <w:u w:val="single" w:color="auto"/>
          <w:color w:val="auto"/>
        </w:rPr>
        <w:t>Payment of Arbitraton Costs and Fees</w:t>
      </w:r>
      <w:r>
        <w:rPr>
          <w:rFonts w:ascii="Calibri" w:cs="Calibri" w:eastAsia="Calibri" w:hAnsi="Calibri"/>
          <w:sz w:val="20"/>
          <w:szCs w:val="20"/>
          <w:color w:val="auto"/>
        </w:rPr>
        <w:t>. The arbitrator shall award all costs and expenses of the arbitraton proceeding.</w:t>
      </w:r>
    </w:p>
    <w:p>
      <w:pPr>
        <w:spacing w:after="0" w:line="157" w:lineRule="exact"/>
        <w:rPr>
          <w:rFonts w:ascii="Calibri" w:cs="Calibri" w:eastAsia="Calibri" w:hAnsi="Calibri"/>
          <w:sz w:val="20"/>
          <w:szCs w:val="20"/>
          <w:color w:val="auto"/>
        </w:rPr>
      </w:pPr>
    </w:p>
    <w:p>
      <w:pPr>
        <w:ind w:firstLine="656"/>
        <w:spacing w:after="0" w:line="236" w:lineRule="auto"/>
        <w:tabs>
          <w:tab w:leader="none" w:pos="923" w:val="left"/>
        </w:tabs>
        <w:numPr>
          <w:ilvl w:val="0"/>
          <w:numId w:val="75"/>
        </w:numPr>
        <w:rPr>
          <w:rFonts w:ascii="Calibri" w:cs="Calibri" w:eastAsia="Calibri" w:hAnsi="Calibri"/>
          <w:sz w:val="20"/>
          <w:szCs w:val="20"/>
          <w:color w:val="auto"/>
        </w:rPr>
      </w:pPr>
      <w:r>
        <w:rPr>
          <w:rFonts w:ascii="Calibri" w:cs="Calibri" w:eastAsia="Calibri" w:hAnsi="Calibri"/>
          <w:sz w:val="20"/>
          <w:szCs w:val="20"/>
          <w:u w:val="single" w:color="auto"/>
          <w:color w:val="auto"/>
        </w:rPr>
        <w:t>Miscellaneous</w:t>
      </w:r>
      <w:r>
        <w:rPr>
          <w:rFonts w:ascii="Calibri" w:cs="Calibri" w:eastAsia="Calibri" w:hAnsi="Calibri"/>
          <w:sz w:val="20"/>
          <w:szCs w:val="20"/>
          <w:color w:val="auto"/>
        </w:rPr>
        <w:t>. To the maximum extent practcable, the AAA, the arbitrators and the partes shall take all acton required to conclude any arbitraton proceeding within 180 days of the filing of the dispute with the AAA. No arbitrator or other party to an arbitraton proceeding may disclose the existence, content or results thereof, except for disclosures of informaton by a party required</w:t>
      </w:r>
    </w:p>
    <w:p>
      <w:pPr>
        <w:spacing w:after="0" w:line="22" w:lineRule="exact"/>
        <w:rPr>
          <w:rFonts w:ascii="Calibri" w:cs="Calibri" w:eastAsia="Calibri" w:hAnsi="Calibri"/>
          <w:sz w:val="20"/>
          <w:szCs w:val="20"/>
          <w:color w:val="auto"/>
        </w:rPr>
      </w:pPr>
    </w:p>
    <w:p>
      <w:pPr>
        <w:jc w:val="both"/>
        <w:spacing w:after="0"/>
        <w:rPr>
          <w:rFonts w:ascii="Calibri" w:cs="Calibri" w:eastAsia="Calibri" w:hAnsi="Calibri"/>
          <w:sz w:val="20"/>
          <w:szCs w:val="20"/>
          <w:color w:val="auto"/>
        </w:rPr>
      </w:pPr>
      <w:r>
        <w:rPr>
          <w:rFonts w:ascii="Calibri" w:cs="Calibri" w:eastAsia="Calibri" w:hAnsi="Calibri"/>
          <w:sz w:val="20"/>
          <w:szCs w:val="20"/>
          <w:color w:val="auto"/>
        </w:rPr>
        <w:t>in the ordinary course of its business or by applicable law or regulaton. If more than one agreement for arbitraton by or between the partes potentally applies to a dispute, the arbitraton provision most directly related to the Loan Documents or the subject mater of the dispute shall control. This arbitraton provision shall survive terminaton, amendment or expiraton of any of the Loan Documents or any relatonship between the partes.</w:t>
      </w:r>
    </w:p>
    <w:p>
      <w:pPr>
        <w:spacing w:after="0" w:line="134" w:lineRule="exact"/>
        <w:rPr>
          <w:rFonts w:ascii="Calibri" w:cs="Calibri" w:eastAsia="Calibri" w:hAnsi="Calibri"/>
          <w:sz w:val="20"/>
          <w:szCs w:val="20"/>
          <w:color w:val="auto"/>
        </w:rPr>
      </w:pPr>
    </w:p>
    <w:p>
      <w:pPr>
        <w:ind w:left="880" w:hanging="224"/>
        <w:spacing w:after="0"/>
        <w:tabs>
          <w:tab w:leader="none" w:pos="880" w:val="left"/>
        </w:tabs>
        <w:numPr>
          <w:ilvl w:val="0"/>
          <w:numId w:val="75"/>
        </w:numPr>
        <w:rPr>
          <w:rFonts w:ascii="Calibri" w:cs="Calibri" w:eastAsia="Calibri" w:hAnsi="Calibri"/>
          <w:sz w:val="20"/>
          <w:szCs w:val="20"/>
          <w:color w:val="auto"/>
        </w:rPr>
      </w:pPr>
      <w:r>
        <w:rPr>
          <w:rFonts w:ascii="Calibri" w:cs="Calibri" w:eastAsia="Calibri" w:hAnsi="Calibri"/>
          <w:sz w:val="20"/>
          <w:szCs w:val="20"/>
          <w:u w:val="single" w:color="auto"/>
          <w:color w:val="auto"/>
        </w:rPr>
        <w:t>Small Claims Court</w:t>
      </w:r>
      <w:r>
        <w:rPr>
          <w:rFonts w:ascii="Calibri" w:cs="Calibri" w:eastAsia="Calibri" w:hAnsi="Calibri"/>
          <w:sz w:val="20"/>
          <w:szCs w:val="20"/>
          <w:color w:val="auto"/>
        </w:rPr>
        <w:t>. Notwithstanding anything herein to the contrary, each party retains the right to pursue in Small Claims</w:t>
      </w:r>
    </w:p>
    <w:p>
      <w:pPr>
        <w:spacing w:after="0" w:line="22" w:lineRule="exact"/>
        <w:rPr>
          <w:rFonts w:ascii="Calibri" w:cs="Calibri" w:eastAsia="Calibri" w:hAnsi="Calibri"/>
          <w:sz w:val="20"/>
          <w:szCs w:val="20"/>
          <w:color w:val="auto"/>
        </w:rPr>
      </w:pPr>
    </w:p>
    <w:p>
      <w:pPr>
        <w:ind w:right="1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Court any dispute within that court’s jurisdicton. Further, this arbitraton provision shall apply only to disputes in which either party seeks to recover an amount of money (excluding atorneys’ fees and costs) that exceeds the jurisdictonal limit of the Small Claims Court.</w:t>
      </w:r>
    </w:p>
    <w:p>
      <w:pPr>
        <w:spacing w:after="0" w:line="157" w:lineRule="exact"/>
        <w:rPr>
          <w:rFonts w:ascii="Calibri" w:cs="Calibri" w:eastAsia="Calibri" w:hAnsi="Calibri"/>
          <w:sz w:val="20"/>
          <w:szCs w:val="20"/>
          <w:color w:val="auto"/>
        </w:rPr>
      </w:pPr>
    </w:p>
    <w:p>
      <w:pPr>
        <w:ind w:right="100" w:firstLine="656"/>
        <w:spacing w:after="0" w:line="242" w:lineRule="auto"/>
        <w:tabs>
          <w:tab w:leader="none" w:pos="871" w:val="left"/>
        </w:tabs>
        <w:numPr>
          <w:ilvl w:val="0"/>
          <w:numId w:val="75"/>
        </w:numPr>
        <w:rPr>
          <w:rFonts w:ascii="Calibri" w:cs="Calibri" w:eastAsia="Calibri" w:hAnsi="Calibri"/>
          <w:sz w:val="20"/>
          <w:szCs w:val="20"/>
          <w:color w:val="auto"/>
        </w:rPr>
      </w:pPr>
      <w:r>
        <w:rPr>
          <w:rFonts w:ascii="Calibri" w:cs="Calibri" w:eastAsia="Calibri" w:hAnsi="Calibri"/>
          <w:sz w:val="20"/>
          <w:szCs w:val="20"/>
          <w:u w:val="single" w:color="auto"/>
          <w:color w:val="auto"/>
        </w:rPr>
        <w:t>Definiton - business day</w:t>
      </w:r>
      <w:r>
        <w:rPr>
          <w:rFonts w:ascii="Calibri" w:cs="Calibri" w:eastAsia="Calibri" w:hAnsi="Calibri"/>
          <w:sz w:val="20"/>
          <w:szCs w:val="20"/>
          <w:color w:val="auto"/>
        </w:rPr>
        <w:t>. “business day” means, for all purposes of this Agreement, any day that is not a Saturday, Sunday or other day on which the Federal Reserve Bank of New York is closed.</w:t>
      </w:r>
    </w:p>
    <w:p>
      <w:pPr>
        <w:sectPr>
          <w:pgSz w:w="11900" w:h="16838" w:orient="portrait"/>
          <w:cols w:equalWidth="0" w:num="1">
            <w:col w:w="10980"/>
          </w:cols>
          <w:pgMar w:left="320" w:top="1440" w:right="599" w:bottom="1440" w:gutter="0" w:footer="0" w:header="0"/>
        </w:sectPr>
      </w:pPr>
    </w:p>
    <w:bookmarkStart w:id="135" w:name="page136"/>
    <w:bookmarkEnd w:id="135"/>
    <w:p>
      <w:pPr>
        <w:spacing w:after="0" w:line="255" w:lineRule="exact"/>
        <w:rPr>
          <w:sz w:val="20"/>
          <w:szCs w:val="20"/>
          <w:color w:val="auto"/>
        </w:rPr>
      </w:pPr>
    </w:p>
    <w:p>
      <w:pPr>
        <w:ind w:firstLine="518"/>
        <w:spacing w:after="0" w:line="234" w:lineRule="auto"/>
        <w:rPr>
          <w:sz w:val="20"/>
          <w:szCs w:val="20"/>
          <w:color w:val="auto"/>
        </w:rPr>
      </w:pPr>
      <w:r>
        <w:rPr>
          <w:rFonts w:ascii="Calibri" w:cs="Calibri" w:eastAsia="Calibri" w:hAnsi="Calibri"/>
          <w:sz w:val="20"/>
          <w:szCs w:val="20"/>
          <w:color w:val="auto"/>
        </w:rPr>
        <w:t>IN WITNESS WHEREOF, the partes hereto, intending to be legally bound hereby, have caused this Agreement to be executed as of the eﬀectve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20"/>
        <w:spacing w:after="0"/>
        <w:rPr>
          <w:sz w:val="20"/>
          <w:szCs w:val="20"/>
          <w:color w:val="auto"/>
        </w:rPr>
      </w:pPr>
      <w:r>
        <w:rPr>
          <w:rFonts w:ascii="Calibri" w:cs="Calibri" w:eastAsia="Calibri" w:hAnsi="Calibri"/>
          <w:sz w:val="20"/>
          <w:szCs w:val="20"/>
          <w:color w:val="auto"/>
        </w:rPr>
        <w:t xml:space="preserve">WELLS FARGO BANK, </w:t>
      </w:r>
      <w:r>
        <w:rPr>
          <w:rFonts w:ascii="Calibri" w:cs="Calibri" w:eastAsia="Calibri" w:hAnsi="Calibri"/>
          <w:sz w:val="20"/>
          <w:szCs w:val="20"/>
          <w:color w:val="FF0000"/>
          <w:strike w:val="1"/>
        </w:rPr>
        <w:t>ALL MARKET</w:t>
      </w:r>
      <w:r>
        <w:rPr>
          <w:rFonts w:ascii="Calibri" w:cs="Calibri" w:eastAsia="Calibri" w:hAnsi="Calibri"/>
          <w:sz w:val="20"/>
          <w:szCs w:val="20"/>
          <w:u w:val="single" w:color="auto"/>
          <w:color w:val="0000FF"/>
        </w:rPr>
        <w:t>THE VITA COCO</w:t>
      </w:r>
    </w:p>
    <w:p>
      <w:pPr>
        <w:spacing w:after="0"/>
        <w:tabs>
          <w:tab w:leader="none" w:pos="1420" w:val="left"/>
        </w:tabs>
        <w:rPr>
          <w:sz w:val="20"/>
          <w:szCs w:val="20"/>
          <w:color w:val="auto"/>
        </w:rPr>
      </w:pPr>
      <w:r>
        <w:rPr>
          <w:rFonts w:ascii="Calibri" w:cs="Calibri" w:eastAsia="Calibri" w:hAnsi="Calibri"/>
          <w:sz w:val="20"/>
          <w:szCs w:val="20"/>
          <w:u w:val="single" w:color="auto"/>
          <w:color w:val="0000FF"/>
        </w:rPr>
        <w:t>COMPANY,</w:t>
      </w:r>
      <w:r>
        <w:rPr>
          <w:rFonts w:ascii="Calibri" w:cs="Calibri" w:eastAsia="Calibri" w:hAnsi="Calibri"/>
          <w:sz w:val="20"/>
          <w:szCs w:val="20"/>
          <w:color w:val="0000FF"/>
        </w:rPr>
        <w:t xml:space="preserve"> </w:t>
      </w:r>
      <w:r>
        <w:rPr>
          <w:rFonts w:ascii="Calibri" w:cs="Calibri" w:eastAsia="Calibri" w:hAnsi="Calibri"/>
          <w:sz w:val="20"/>
          <w:szCs w:val="20"/>
          <w:color w:val="000000"/>
        </w:rPr>
        <w:t>INC.</w:t>
      </w:r>
      <w:r>
        <w:rPr>
          <w:sz w:val="20"/>
          <w:szCs w:val="20"/>
          <w:color w:val="auto"/>
        </w:rPr>
        <w:tab/>
      </w:r>
      <w:r>
        <w:rPr>
          <w:rFonts w:ascii="Calibri" w:cs="Calibri" w:eastAsia="Calibri" w:hAnsi="Calibri"/>
          <w:sz w:val="19"/>
          <w:szCs w:val="19"/>
          <w:color w:val="auto"/>
        </w:rPr>
        <w:t>NATIONAL ASSOCIATION</w:t>
      </w:r>
    </w:p>
    <w:p>
      <w:pPr>
        <w:spacing w:after="0" w:line="200" w:lineRule="exact"/>
        <w:rPr>
          <w:sz w:val="20"/>
          <w:szCs w:val="20"/>
          <w:color w:val="auto"/>
        </w:rPr>
      </w:pPr>
    </w:p>
    <w:p>
      <w:pPr>
        <w:spacing w:after="0" w:line="232"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-21590</wp:posOffset>
            </wp:positionV>
            <wp:extent cx="1257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-21590</wp:posOffset>
            </wp:positionV>
            <wp:extent cx="1257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4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20"/>
          <w:szCs w:val="20"/>
          <w:color w:val="auto"/>
        </w:rPr>
        <w:t>Title:</w:t>
      </w:r>
      <w:r>
        <w:rPr>
          <w:sz w:val="20"/>
          <w:szCs w:val="20"/>
          <w:color w:val="auto"/>
        </w:rPr>
        <w:tab/>
      </w:r>
      <w:r>
        <w:rPr>
          <w:rFonts w:ascii="Calibri" w:cs="Calibri" w:eastAsia="Calibri" w:hAnsi="Calibri"/>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-20955</wp:posOffset>
            </wp:positionV>
            <wp:extent cx="125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-20955</wp:posOffset>
            </wp:positionV>
            <wp:extent cx="1257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10920"/>
          </w:cols>
          <w:pgMar w:left="440" w:top="1440" w:right="5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1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THE VITA COCO COMPANY, INC.</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Non-employee members of the board of directors (the “Board”) of The Vita Coco Company, Inc. (the “Company”) shall be eligible to receive cash and equity compensation as set forth in this Amended and Restated Non-Employee Director Compensation Policy (this “Policy”). The cash and equity compensation described in this Policy shall be paid or be made, as applicable, automatically and without further action of the Board, to each member of the Board who is not an employee of the Company or any parent or subsidiary of the Company (each, a “Non-Employee Director”) who may be eligible to receive such cash or equity compensation, unless such Non-Employee Director declines the receipt of such cash or equity compensation by written notice to the Company. This Policy shall become effective as of December 4, 2024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223"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Compensation.</w:t>
      </w:r>
    </w:p>
    <w:p>
      <w:pPr>
        <w:spacing w:after="0" w:line="25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Retainers. Each Non-Employee Director shall receive an annual retainer of $60,000 for service on the Board.</w:t>
      </w:r>
    </w:p>
    <w:p>
      <w:pPr>
        <w:spacing w:after="0" w:line="24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Annual Retainers. In addition, a Non-Employee Director shall receive the following annual retainers:</w:t>
      </w:r>
    </w:p>
    <w:p>
      <w:pPr>
        <w:spacing w:after="0" w:line="256" w:lineRule="exact"/>
        <w:rPr>
          <w:rFonts w:ascii="Times New Roman" w:cs="Times New Roman" w:eastAsia="Times New Roman" w:hAnsi="Times New Roman"/>
          <w:sz w:val="20"/>
          <w:szCs w:val="20"/>
          <w:color w:val="auto"/>
        </w:rPr>
      </w:pPr>
    </w:p>
    <w:p>
      <w:pPr>
        <w:ind w:left="1960" w:right="160" w:hanging="436"/>
        <w:spacing w:after="0" w:line="281" w:lineRule="auto"/>
        <w:tabs>
          <w:tab w:leader="none" w:pos="1960"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Audit Committee. A Non-Employee Director serving as Chairperson of the Audit Committee shall receive an additional annual retainer of $35,000 for such service. A Non-Employee Director serving as a member of the Audit Committee (other than the Chairperson) shall receive an additional annual retainer of $10,000 for such service.</w:t>
      </w:r>
    </w:p>
    <w:p>
      <w:pPr>
        <w:spacing w:after="0" w:line="191" w:lineRule="exact"/>
        <w:rPr>
          <w:rFonts w:ascii="Times New Roman" w:cs="Times New Roman" w:eastAsia="Times New Roman" w:hAnsi="Times New Roman"/>
          <w:sz w:val="19"/>
          <w:szCs w:val="19"/>
          <w:color w:val="auto"/>
        </w:rPr>
      </w:pPr>
    </w:p>
    <w:p>
      <w:pPr>
        <w:ind w:left="1960" w:right="100" w:hanging="491"/>
        <w:spacing w:after="0" w:line="254" w:lineRule="auto"/>
        <w:tabs>
          <w:tab w:leader="none" w:pos="196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Committee. A Non-Employee Director serving as Chairperson of the Compensation Committee shall receive an additional annual retainer of $10,000 for such service. A Non-Employee Director serving as a member of the Compensation Committee (other than the Chairperson) shall receive an additional annual retainer of $5,000 for such service.</w:t>
      </w:r>
    </w:p>
    <w:p>
      <w:pPr>
        <w:spacing w:after="0" w:line="214" w:lineRule="exact"/>
        <w:rPr>
          <w:rFonts w:ascii="Times New Roman" w:cs="Times New Roman" w:eastAsia="Times New Roman" w:hAnsi="Times New Roman"/>
          <w:sz w:val="20"/>
          <w:szCs w:val="20"/>
          <w:color w:val="auto"/>
        </w:rPr>
      </w:pPr>
    </w:p>
    <w:p>
      <w:pPr>
        <w:ind w:left="1960" w:right="220" w:hanging="546"/>
        <w:spacing w:after="0" w:line="258" w:lineRule="auto"/>
        <w:tabs>
          <w:tab w:leader="none" w:pos="196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Nominating and Corporate Governance Committee.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199" w:lineRule="exact"/>
        <w:rPr>
          <w:rFonts w:ascii="Times New Roman" w:cs="Times New Roman" w:eastAsia="Times New Roman" w:hAnsi="Times New Roman"/>
          <w:sz w:val="20"/>
          <w:szCs w:val="20"/>
          <w:color w:val="auto"/>
        </w:rPr>
      </w:pPr>
    </w:p>
    <w:p>
      <w:pPr>
        <w:ind w:left="1300" w:right="140" w:hanging="320"/>
        <w:spacing w:after="0" w:line="283" w:lineRule="auto"/>
        <w:tabs>
          <w:tab w:leader="none" w:pos="128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Retainers. The annual retainers described in Sections 1(a) and 1(b) shall be earned on a quarterly basis based on a calendar quarter and shall be paid by the Company</w:t>
      </w:r>
    </w:p>
    <w:p>
      <w:pPr>
        <w:sectPr>
          <w:pgSz w:w="11900" w:h="16838" w:orient="portrait"/>
          <w:cols w:equalWidth="0" w:num="1">
            <w:col w:w="11240"/>
          </w:cols>
          <w:pgMar w:left="320" w:top="1409" w:right="339" w:bottom="1440" w:gutter="0" w:footer="0" w:header="0"/>
        </w:sectPr>
      </w:pPr>
    </w:p>
    <w:bookmarkStart w:id="137" w:name="page138"/>
    <w:bookmarkEnd w:id="137"/>
    <w:p>
      <w:pPr>
        <w:ind w:left="968" w:right="100"/>
        <w:spacing w:after="0" w:line="269" w:lineRule="auto"/>
        <w:rPr>
          <w:sz w:val="20"/>
          <w:szCs w:val="20"/>
          <w:color w:val="auto"/>
        </w:rPr>
      </w:pPr>
      <w:r>
        <w:rPr>
          <w:rFonts w:ascii="Times New Roman" w:cs="Times New Roman" w:eastAsia="Times New Roman" w:hAnsi="Times New Roman"/>
          <w:sz w:val="19"/>
          <w:szCs w:val="19"/>
          <w:color w:val="auto"/>
        </w:rPr>
        <w:t>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89" w:lineRule="exact"/>
        <w:rPr>
          <w:sz w:val="20"/>
          <w:szCs w:val="20"/>
          <w:color w:val="auto"/>
        </w:rPr>
      </w:pPr>
    </w:p>
    <w:p>
      <w:pPr>
        <w:ind w:left="328" w:right="180" w:hanging="328"/>
        <w:spacing w:after="0" w:line="253" w:lineRule="auto"/>
        <w:tabs>
          <w:tab w:leader="none" w:pos="3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Compensation. Non-Employee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(such plan, as may be amended from time to time, the “Equity Plan”)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219" w:lineRule="exact"/>
        <w:rPr>
          <w:rFonts w:ascii="Times New Roman" w:cs="Times New Roman" w:eastAsia="Times New Roman" w:hAnsi="Times New Roman"/>
          <w:sz w:val="20"/>
          <w:szCs w:val="20"/>
          <w:color w:val="auto"/>
        </w:rPr>
      </w:pPr>
    </w:p>
    <w:p>
      <w:pPr>
        <w:ind w:left="968" w:hanging="320"/>
        <w:spacing w:after="0" w:line="251" w:lineRule="auto"/>
        <w:tabs>
          <w:tab w:leader="none" w:pos="957"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Awards. Each Non-Employee Director who (i) serves on the Board as of the date of any annual meeting of the Company’s stockholders (an “Annual Meeting”) after the Pricing Date and (ii) will continue to serve as a Non-Employee Director immediately following such Annual Meeting shall be automatically granted, on the date of such Annual Meeting, an award of RSUs that have an aggregate fair value on the date of grant of $115,000 (as determined in accordance with FASB Accounting Codification Topic 718 (“ASC 718”) and subject to adjustment as provided in the Equity Plan). The awards described in this Section 2(b) shall be referred to as the “Annual Awards.”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208" w:lineRule="exact"/>
        <w:rPr>
          <w:rFonts w:ascii="Times New Roman" w:cs="Times New Roman" w:eastAsia="Times New Roman" w:hAnsi="Times New Roman"/>
          <w:sz w:val="20"/>
          <w:szCs w:val="20"/>
          <w:color w:val="auto"/>
        </w:rPr>
      </w:pPr>
    </w:p>
    <w:p>
      <w:pPr>
        <w:ind w:left="968" w:hanging="320"/>
        <w:spacing w:after="0" w:line="251" w:lineRule="auto"/>
        <w:tabs>
          <w:tab w:leader="none" w:pos="96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Awards. Except as otherwise determined by the Board, each Non-Employee Director who is initially elected or appointed on any date other than the date of an Annual Meeting shall be automatically granted, on the date of such Non-Employee Director’s initial election or appointment (such Non-Employee Director’s “Start Date”), an award of RSUs that have an aggregate fair value on such Non-Employee Director’s Start Date equal to the product of (i) $115,000 (as determined in accordance with ASC 718)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(with the number of shares of common stock underlying each such award subject to adjustment as provided in the Equity Plan). The awards described in this Section 2(c) shall be referred to as “Initial Awards.” Notwithstanding the foregoing, the Board in its sole discretion may determine that the Initial Award for any Non-Employee Director be granted in the form of restricted stock units with equivalent value on the date of grant (based on the closing price per share of the Company’s common stock) (with the number of shares of common stock underlying each</w:t>
      </w:r>
    </w:p>
    <w:p>
      <w:pPr>
        <w:sectPr>
          <w:pgSz w:w="11900" w:h="16838" w:orient="portrait"/>
          <w:cols w:equalWidth="0" w:num="1">
            <w:col w:w="10888"/>
          </w:cols>
          <w:pgMar w:left="652" w:top="1413" w:right="359" w:bottom="1440" w:gutter="0" w:footer="0" w:header="0"/>
        </w:sectPr>
      </w:pPr>
    </w:p>
    <w:bookmarkStart w:id="138" w:name="page139"/>
    <w:bookmarkEnd w:id="138"/>
    <w:p>
      <w:pPr>
        <w:ind w:left="320" w:right="280"/>
        <w:spacing w:after="0" w:line="283" w:lineRule="auto"/>
        <w:rPr>
          <w:sz w:val="20"/>
          <w:szCs w:val="20"/>
          <w:color w:val="auto"/>
        </w:rPr>
      </w:pPr>
      <w:r>
        <w:rPr>
          <w:rFonts w:ascii="Times New Roman" w:cs="Times New Roman" w:eastAsia="Times New Roman" w:hAnsi="Times New Roman"/>
          <w:sz w:val="20"/>
          <w:szCs w:val="20"/>
          <w:color w:val="auto"/>
        </w:rPr>
        <w:t>such award subject to adjustment as provided in the Equity Plan). For the avoidance of doubt, no Non-Employee Director shall be granted more than one Initial Award.</w:t>
      </w:r>
    </w:p>
    <w:p>
      <w:pPr>
        <w:spacing w:after="0" w:line="173" w:lineRule="exact"/>
        <w:rPr>
          <w:sz w:val="20"/>
          <w:szCs w:val="20"/>
          <w:color w:val="auto"/>
        </w:rPr>
      </w:pPr>
    </w:p>
    <w:p>
      <w:pPr>
        <w:ind w:left="320" w:right="140" w:hanging="320"/>
        <w:spacing w:after="0" w:line="257" w:lineRule="auto"/>
        <w:tabs>
          <w:tab w:leader="none" w:pos="30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Employment of Employee Directors.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employment with the Company and any parent or subsidiary of the Company, Annual Awards as described in Section 2(b) above.</w:t>
      </w:r>
    </w:p>
    <w:p>
      <w:pPr>
        <w:spacing w:after="0" w:line="199" w:lineRule="exact"/>
        <w:rPr>
          <w:rFonts w:ascii="Times New Roman" w:cs="Times New Roman" w:eastAsia="Times New Roman" w:hAnsi="Times New Roman"/>
          <w:sz w:val="20"/>
          <w:szCs w:val="20"/>
          <w:color w:val="auto"/>
        </w:rPr>
      </w:pPr>
    </w:p>
    <w:p>
      <w:pPr>
        <w:ind w:left="320" w:hanging="320"/>
        <w:spacing w:after="0" w:line="253" w:lineRule="auto"/>
        <w:tabs>
          <w:tab w:leader="none" w:pos="3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Vesting of Awards Granted to Non-Employee Directors. Each Annual Award and each Initial Award shall vest and become exercisable on the earlier of (i) the day immediately preceding the date of the first Annual Meeting following the date of grant and (ii) the first anniversary of the date of grant, subject to the Non-Employee Director continuing in service on the Board through the applicable vesting date. No portion of an Annual Award or Initial Award that is unvested or unexercisable at the time of a Non-Employee Director’s termination of service on the Board shall become vested and exercisable thereafter. All of a Non-Employee Director’s Annual Awards and Initial Awards shall vest in full immediately prior to the occurrence of a Change in Control (as defined in the Equity Plan), to the extent outstanding at such time.</w:t>
      </w:r>
    </w:p>
    <w:p>
      <w:pPr>
        <w:sectPr>
          <w:pgSz w:w="11900" w:h="16838" w:orient="portrait"/>
          <w:cols w:equalWidth="0" w:num="1">
            <w:col w:w="10240"/>
          </w:cols>
          <w:pgMar w:left="1300" w:top="1413"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VITA COCO COMPANY,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INSIDER TRADING COMPLIANCE POLICY</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of February 8,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Insider Trading Compliance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The Vita Coco Company,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consists of seven sections:</w:t>
      </w:r>
    </w:p>
    <w:p>
      <w:pPr>
        <w:spacing w:after="0" w:line="301" w:lineRule="exact"/>
        <w:rPr>
          <w:sz w:val="20"/>
          <w:szCs w:val="20"/>
          <w:color w:val="auto"/>
        </w:rPr>
      </w:pPr>
    </w:p>
    <w:p>
      <w:pPr>
        <w:ind w:left="640" w:hanging="308"/>
        <w:spacing w:after="0"/>
        <w:tabs>
          <w:tab w:leader="none" w:pos="6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I provides an overview;</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II sets forth the policies of the Company prohibiting insider trading;</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III explains insider trading;</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IV consists of procedures that have been put in place by the Company to prevent insider trading;</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V sets forth additional transactions that are prohibited by this Policy;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VI explains Rule 10b5-1 trading plans;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VII refers to the execution and return of a certificate of compliance.</w:t>
      </w:r>
    </w:p>
    <w:p>
      <w:pPr>
        <w:spacing w:after="0" w:line="30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  SUMMARY</w:t>
      </w:r>
    </w:p>
    <w:p>
      <w:pPr>
        <w:spacing w:after="0" w:line="247"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This Policy provides guidelines to all officers, directors and employees of the Company with respect to trading in the Company’s securities, as well as the securities of publicly traded companies with whom the Company has a business relationship.</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Preventing insider trading is necessary to comply with securities laws and to preserve the reputation and integrity of the Company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w:t>
      </w:r>
    </w:p>
    <w:p>
      <w:pPr>
        <w:spacing w:after="0" w:line="20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partnerships or trusts (such entities, together with all officers, directors and employees of the Company, are referred to as the “</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General Counsel.</w:t>
      </w:r>
    </w:p>
    <w:p>
      <w:pPr>
        <w:spacing w:after="0" w:line="202" w:lineRule="exact"/>
        <w:rPr>
          <w:sz w:val="20"/>
          <w:szCs w:val="20"/>
          <w:color w:val="auto"/>
        </w:rPr>
      </w:pPr>
    </w:p>
    <w:p>
      <w:pPr>
        <w:ind w:left="400" w:hanging="392"/>
        <w:spacing w:after="0"/>
        <w:tabs>
          <w:tab w:leader="none" w:pos="40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POLICIES PROHIBITING INSIDER TRADING</w:t>
      </w:r>
    </w:p>
    <w:p>
      <w:pPr>
        <w:sectPr>
          <w:pgSz w:w="11900" w:h="16838" w:orient="portrait"/>
          <w:cols w:equalWidth="0" w:num="1">
            <w:col w:w="11240"/>
          </w:cols>
          <w:pgMar w:left="320" w:top="1417" w:right="339" w:bottom="1440" w:gutter="0" w:footer="0" w:header="0"/>
        </w:sectPr>
      </w:pPr>
    </w:p>
    <w:bookmarkStart w:id="140" w:name="page141"/>
    <w:bookmarkEnd w:id="140"/>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No officer, director or employee shall purchase or sell any type of security while in possession of material, non-public information relating to the security or its issuer, whether the issuer of such security is the Company or any other company.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These prohibitions do not apply to the following “</w:t>
      </w:r>
      <w:r>
        <w:rPr>
          <w:rFonts w:ascii="Times New Roman" w:cs="Times New Roman" w:eastAsia="Times New Roman" w:hAnsi="Times New Roman"/>
          <w:sz w:val="20"/>
          <w:szCs w:val="20"/>
          <w:b w:val="1"/>
          <w:bCs w:val="1"/>
          <w:color w:val="auto"/>
        </w:rPr>
        <w:t>permitted transactions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660" w:right="300" w:hanging="328"/>
        <w:spacing w:after="0" w:line="269" w:lineRule="auto"/>
        <w:tabs>
          <w:tab w:leader="none" w:pos="64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securities by a Covered Person from the Company or sales of the Company’s securities by a Covered Person to the Company;</w:t>
      </w:r>
    </w:p>
    <w:p>
      <w:pPr>
        <w:spacing w:after="0" w:line="199"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except non-discretionary “sell to cover” transactions on the participant’s behalf (without further authorization) are covered under this exception (while the “cashless exercise” of a Company stock option through a broker does involve a market sale of the Company’s securities, and therefore would not qualify under this exception); or</w:t>
      </w:r>
    </w:p>
    <w:p>
      <w:pPr>
        <w:spacing w:after="0" w:line="219" w:lineRule="exact"/>
        <w:rPr>
          <w:rFonts w:ascii="Times New Roman" w:cs="Times New Roman" w:eastAsia="Times New Roman" w:hAnsi="Times New Roman"/>
          <w:sz w:val="20"/>
          <w:szCs w:val="20"/>
          <w:color w:val="auto"/>
        </w:rPr>
      </w:pPr>
    </w:p>
    <w:p>
      <w:pPr>
        <w:ind w:left="660" w:hanging="328"/>
        <w:spacing w:after="0" w:line="251" w:lineRule="auto"/>
        <w:tabs>
          <w:tab w:leader="none" w:pos="64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0"/>
          <w:szCs w:val="20"/>
          <w:b w:val="1"/>
          <w:bCs w:val="1"/>
          <w:color w:val="auto"/>
        </w:rPr>
        <w:t>Rule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10b5-1</w:t>
      </w:r>
      <w:r>
        <w:rPr>
          <w:rFonts w:ascii="Times New Roman" w:cs="Times New Roman" w:eastAsia="Times New Roman" w:hAnsi="Times New Roman"/>
          <w:sz w:val="20"/>
          <w:szCs w:val="20"/>
          <w:color w:val="auto"/>
        </w:rPr>
        <w:t>”) promulgated under the Securities Exchange Act of 1934, as amended (the “</w:t>
      </w:r>
      <w:r>
        <w:rPr>
          <w:rFonts w:ascii="Times New Roman" w:cs="Times New Roman" w:eastAsia="Times New Roman" w:hAnsi="Times New Roman"/>
          <w:sz w:val="20"/>
          <w:szCs w:val="20"/>
          <w:b w:val="1"/>
          <w:bCs w:val="1"/>
          <w:color w:val="auto"/>
        </w:rPr>
        <w:t>1934 Act</w:t>
      </w:r>
      <w:r>
        <w:rPr>
          <w:rFonts w:ascii="Times New Roman" w:cs="Times New Roman" w:eastAsia="Times New Roman" w:hAnsi="Times New Roman"/>
          <w:sz w:val="20"/>
          <w:szCs w:val="20"/>
          <w:color w:val="auto"/>
        </w:rPr>
        <w:t>”), (ii) was pre-cleared in advance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this Policy and (iii) has not been amended or modified in any respect after such initial pre-clearance without such amendment or modification being pre-cleared in advance pursuant to this Policy. For more information about Rule 10b5 1 trading plans, see Section VI below.</w:t>
      </w:r>
    </w:p>
    <w:p>
      <w:pPr>
        <w:spacing w:after="0" w:line="216"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0"/>
          <w:szCs w:val="20"/>
          <w:color w:val="auto"/>
        </w:rPr>
        <w:t>In addition, no officer, director or employee shall directly or indirectly communicate (or “</w:t>
      </w:r>
      <w:r>
        <w:rPr>
          <w:rFonts w:ascii="Times New Roman" w:cs="Times New Roman" w:eastAsia="Times New Roman" w:hAnsi="Times New Roman"/>
          <w:sz w:val="20"/>
          <w:szCs w:val="20"/>
          <w:b w:val="1"/>
          <w:bCs w:val="1"/>
          <w:color w:val="auto"/>
        </w:rPr>
        <w:t>tip</w:t>
      </w:r>
      <w:r>
        <w:rPr>
          <w:rFonts w:ascii="Times New Roman" w:cs="Times New Roman" w:eastAsia="Times New Roman" w:hAnsi="Times New Roman"/>
          <w:sz w:val="20"/>
          <w:szCs w:val="20"/>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89" w:lineRule="exact"/>
        <w:rPr>
          <w:sz w:val="20"/>
          <w:szCs w:val="20"/>
          <w:color w:val="auto"/>
        </w:rPr>
      </w:pPr>
    </w:p>
    <w:p>
      <w:pPr>
        <w:ind w:left="480" w:hanging="472"/>
        <w:spacing w:after="0"/>
        <w:tabs>
          <w:tab w:leader="none" w:pos="48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EXPLANATION OF INSIDER TRADING</w:t>
      </w:r>
    </w:p>
    <w:p>
      <w:pPr>
        <w:spacing w:after="0" w:line="260"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“Insider trading” refers to the purchase or sale of a security while in possession of “material,” “non-public” information relating to the security or its issuer.</w:t>
      </w:r>
    </w:p>
    <w:p>
      <w:pPr>
        <w:spacing w:after="0" w:line="173" w:lineRule="exact"/>
        <w:rPr>
          <w:sz w:val="20"/>
          <w:szCs w:val="20"/>
          <w:color w:val="auto"/>
        </w:rPr>
      </w:pPr>
    </w:p>
    <w:p>
      <w:pPr>
        <w:ind w:right="700" w:firstLine="648"/>
        <w:spacing w:after="0" w:line="283" w:lineRule="auto"/>
        <w:rPr>
          <w:sz w:val="20"/>
          <w:szCs w:val="20"/>
          <w:color w:val="auto"/>
        </w:rPr>
      </w:pPr>
      <w:r>
        <w:rPr>
          <w:rFonts w:ascii="Times New Roman" w:cs="Times New Roman" w:eastAsia="Times New Roman" w:hAnsi="Times New Roman"/>
          <w:sz w:val="20"/>
          <w:szCs w:val="20"/>
          <w:color w:val="auto"/>
        </w:rPr>
        <w:t>“Securities” include stocks, bonds, notes, debentures, options, warrants and other convertible securities, as well as derivative instruments.</w:t>
      </w:r>
    </w:p>
    <w:p>
      <w:pPr>
        <w:spacing w:after="0" w:line="17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exercise of stock options, pledges, gifts, and acquisitions and exercises of warrants or puts, calls or other derivative securities.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It is generally understood that insider trading includes the following:</w:t>
      </w:r>
    </w:p>
    <w:p>
      <w:pPr>
        <w:sectPr>
          <w:pgSz w:w="11900" w:h="16838" w:orient="portrait"/>
          <w:cols w:equalWidth="0" w:num="1">
            <w:col w:w="11220"/>
          </w:cols>
          <w:pgMar w:left="320" w:top="1413" w:right="359" w:bottom="1440" w:gutter="0" w:footer="0" w:header="0"/>
        </w:sectPr>
      </w:pPr>
    </w:p>
    <w:bookmarkStart w:id="141" w:name="page142"/>
    <w:bookmarkEnd w:id="141"/>
    <w:p>
      <w:pPr>
        <w:ind w:left="640" w:hanging="308"/>
        <w:spacing w:after="0"/>
        <w:tabs>
          <w:tab w:leader="none" w:pos="6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by insiders while in possession of material, non-public information;</w:t>
      </w:r>
    </w:p>
    <w:p>
      <w:pPr>
        <w:spacing w:after="0" w:line="256"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199" w:lineRule="exact"/>
        <w:rPr>
          <w:rFonts w:ascii="Times New Roman" w:cs="Times New Roman" w:eastAsia="Times New Roman" w:hAnsi="Times New Roman"/>
          <w:sz w:val="20"/>
          <w:szCs w:val="20"/>
          <w:color w:val="auto"/>
        </w:rPr>
      </w:pPr>
    </w:p>
    <w:p>
      <w:pPr>
        <w:ind w:left="660" w:right="420" w:hanging="328"/>
        <w:spacing w:after="0" w:line="269" w:lineRule="auto"/>
        <w:tabs>
          <w:tab w:leader="none" w:pos="64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or tipping material, non-public information to others, including recommending the purchase or sale of a security while in possession of such information.</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A. What Facts are Material?</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Examples of material information include (but are not limited to) information about:</w:t>
      </w:r>
    </w:p>
    <w:p>
      <w:pPr>
        <w:spacing w:after="0" w:line="256" w:lineRule="exact"/>
        <w:rPr>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earnings or earnings forecasts;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mergers, acquisitions, tender offers or dispositions’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products or product developments;</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business developments such as developments regarding strategic collaborations or developments with major customers and suppliers;</w:t>
      </w:r>
    </w:p>
    <w:p>
      <w:pPr>
        <w:spacing w:after="0" w:line="18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regarding the Company’s intellectual property portfolio;</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incidents involving cybersecurity or data protection;</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or control changes;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financing developments including pending public sales or offerings of debt or equity securities;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on borrowings;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bankruptcies; and</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or regulatory actions.</w:t>
      </w:r>
    </w:p>
    <w:p>
      <w:pPr>
        <w:spacing w:after="0" w:line="256"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Moreover, material information does not have to be related to a company’s business. For example, the contents of a forthcoming newspaper column that is expected to affect the market price of a security can be material.</w:t>
      </w:r>
    </w:p>
    <w:p>
      <w:pPr>
        <w:spacing w:after="0" w:line="200" w:lineRule="exact"/>
        <w:rPr>
          <w:sz w:val="20"/>
          <w:szCs w:val="20"/>
          <w:color w:val="auto"/>
        </w:rPr>
      </w:pPr>
    </w:p>
    <w:p>
      <w:pPr>
        <w:ind w:right="440" w:firstLine="648"/>
        <w:spacing w:after="0" w:line="269" w:lineRule="auto"/>
        <w:rPr>
          <w:sz w:val="20"/>
          <w:szCs w:val="20"/>
          <w:color w:val="auto"/>
        </w:rPr>
      </w:pPr>
      <w:r>
        <w:rPr>
          <w:rFonts w:ascii="Times New Roman" w:cs="Times New Roman" w:eastAsia="Times New Roman" w:hAnsi="Times New Roman"/>
          <w:sz w:val="20"/>
          <w:szCs w:val="20"/>
          <w:color w:val="auto"/>
        </w:rPr>
        <w:t>A good general rule of thumb: When in doubt, do not trade. Please contact the General Counsel if you have any questions about whether information is material.</w:t>
      </w:r>
    </w:p>
    <w:p>
      <w:pPr>
        <w:sectPr>
          <w:pgSz w:w="11900" w:h="16838" w:orient="portrait"/>
          <w:cols w:equalWidth="0" w:num="1">
            <w:col w:w="11220"/>
          </w:cols>
          <w:pgMar w:left="320" w:top="1413" w:right="359" w:bottom="1440" w:gutter="0" w:footer="0" w:header="0"/>
        </w:sectPr>
      </w:pPr>
    </w:p>
    <w:bookmarkStart w:id="142" w:name="page143"/>
    <w:bookmarkEnd w:id="142"/>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B.  What is Non-Public?</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Information is “non-public” if it is not available to the general public. In order for information to be considered public, it must be widely disseminated in a manner making it generally available to investors through such media as Dow Jones, Business Wire, Reuters, The Wall Street Journal, Associated Press, or United Press International,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that are available on the SEC’s web site.</w:t>
      </w:r>
    </w:p>
    <w:p>
      <w:pPr>
        <w:spacing w:after="0" w:line="21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General Counsel.</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C.  Who is an Insider?</w:t>
      </w:r>
    </w:p>
    <w:p>
      <w:pPr>
        <w:spacing w:after="0" w:line="243" w:lineRule="exact"/>
        <w:rPr>
          <w:sz w:val="20"/>
          <w:szCs w:val="20"/>
          <w:color w:val="auto"/>
        </w:rPr>
      </w:pPr>
    </w:p>
    <w:p>
      <w:pPr>
        <w:jc w:val="both"/>
        <w:ind w:right="100" w:firstLine="648"/>
        <w:spacing w:after="0" w:line="254" w:lineRule="auto"/>
        <w:rPr>
          <w:sz w:val="20"/>
          <w:szCs w:val="20"/>
          <w:color w:val="auto"/>
        </w:rPr>
      </w:pPr>
      <w:r>
        <w:rPr>
          <w:rFonts w:ascii="Times New Roman" w:cs="Times New Roman" w:eastAsia="Times New Roman" w:hAnsi="Times New Roman"/>
          <w:sz w:val="20"/>
          <w:szCs w:val="20"/>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w:t>
      </w:r>
    </w:p>
    <w:p>
      <w:pPr>
        <w:ind w:right="20"/>
        <w:spacing w:after="0" w:line="272" w:lineRule="auto"/>
        <w:rPr>
          <w:sz w:val="20"/>
          <w:szCs w:val="20"/>
          <w:color w:val="auto"/>
        </w:rPr>
      </w:pPr>
      <w:r>
        <w:rPr>
          <w:rFonts w:ascii="Times New Roman" w:cs="Times New Roman" w:eastAsia="Times New Roman" w:hAnsi="Times New Roman"/>
          <w:sz w:val="19"/>
          <w:szCs w:val="19"/>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D. Trading by Persons Other than Insiders</w:t>
      </w:r>
    </w:p>
    <w:p>
      <w:pPr>
        <w:spacing w:after="0" w:line="252"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20"/>
          <w:szCs w:val="20"/>
          <w:color w:val="auto"/>
        </w:rPr>
        <w:t>Insiders may be liable for communicating or tipping material, non-public information to a third party (“</w:t>
      </w:r>
      <w:r>
        <w:rPr>
          <w:rFonts w:ascii="Times New Roman" w:cs="Times New Roman" w:eastAsia="Times New Roman" w:hAnsi="Times New Roman"/>
          <w:sz w:val="20"/>
          <w:szCs w:val="20"/>
          <w:b w:val="1"/>
          <w:bCs w:val="1"/>
          <w:color w:val="auto"/>
        </w:rPr>
        <w:t>tippee</w:t>
      </w:r>
      <w:r>
        <w:rPr>
          <w:rFonts w:ascii="Times New Roman" w:cs="Times New Roman" w:eastAsia="Times New Roman" w:hAnsi="Times New Roman"/>
          <w:sz w:val="20"/>
          <w:szCs w:val="20"/>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9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ectPr>
          <w:pgSz w:w="11900" w:h="16838" w:orient="portrait"/>
          <w:cols w:equalWidth="0" w:num="1">
            <w:col w:w="11220"/>
          </w:cols>
          <w:pgMar w:left="320" w:top="1440" w:right="359" w:bottom="1440" w:gutter="0" w:footer="0" w:header="0"/>
        </w:sectPr>
      </w:pPr>
    </w:p>
    <w:bookmarkStart w:id="143" w:name="page144"/>
    <w:bookmarkEnd w:id="143"/>
    <w:p>
      <w:pPr>
        <w:ind w:left="340"/>
        <w:spacing w:after="0"/>
        <w:rPr>
          <w:sz w:val="20"/>
          <w:szCs w:val="20"/>
          <w:color w:val="auto"/>
        </w:rPr>
      </w:pPr>
      <w:r>
        <w:rPr>
          <w:rFonts w:ascii="Times New Roman" w:cs="Times New Roman" w:eastAsia="Times New Roman" w:hAnsi="Times New Roman"/>
          <w:sz w:val="20"/>
          <w:szCs w:val="20"/>
          <w:u w:val="single" w:color="auto"/>
          <w:color w:val="auto"/>
        </w:rPr>
        <w:t>E.  Penalties for Engaging in Insider Trading</w:t>
      </w:r>
    </w:p>
    <w:p>
      <w:pPr>
        <w:spacing w:after="0" w:line="256" w:lineRule="exact"/>
        <w:rPr>
          <w:sz w:val="20"/>
          <w:szCs w:val="20"/>
          <w:color w:val="auto"/>
        </w:rPr>
      </w:pPr>
    </w:p>
    <w:p>
      <w:pPr>
        <w:ind w:right="320" w:firstLine="648"/>
        <w:spacing w:after="0" w:line="254" w:lineRule="auto"/>
        <w:rPr>
          <w:sz w:val="20"/>
          <w:szCs w:val="20"/>
          <w:color w:val="auto"/>
        </w:rPr>
      </w:pPr>
      <w:r>
        <w:rPr>
          <w:rFonts w:ascii="Times New Roman" w:cs="Times New Roman" w:eastAsia="Times New Roman" w:hAnsi="Times New Roman"/>
          <w:sz w:val="20"/>
          <w:szCs w:val="20"/>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214" w:lineRule="exact"/>
        <w:rPr>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administrative sanctions;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industry self-regulatory organization sanctions;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injunctions;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awards to private plaintiffs;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disgorgement of all profits;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for the violator of up to three times the amount of profit gained or loss avoided;</w:t>
      </w:r>
    </w:p>
    <w:p>
      <w:pPr>
        <w:spacing w:after="0" w:line="256" w:lineRule="exact"/>
        <w:rPr>
          <w:rFonts w:ascii="Times New Roman" w:cs="Times New Roman" w:eastAsia="Times New Roman" w:hAnsi="Times New Roman"/>
          <w:sz w:val="20"/>
          <w:szCs w:val="20"/>
          <w:color w:val="auto"/>
        </w:rPr>
      </w:pPr>
    </w:p>
    <w:p>
      <w:pPr>
        <w:ind w:left="660" w:right="540" w:hanging="328"/>
        <w:spacing w:after="0" w:line="269" w:lineRule="auto"/>
        <w:tabs>
          <w:tab w:leader="none" w:pos="6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for the employer or other controlling person of a violator (i.e., where the violator is an employee or other controlled person);</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for individual violators; and</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jail sentences of up to 20 years.</w:t>
      </w:r>
    </w:p>
    <w:p>
      <w:pPr>
        <w:spacing w:after="0" w:line="256" w:lineRule="exact"/>
        <w:rPr>
          <w:sz w:val="20"/>
          <w:szCs w:val="20"/>
          <w:color w:val="auto"/>
        </w:rPr>
      </w:pPr>
    </w:p>
    <w:p>
      <w:pPr>
        <w:jc w:val="both"/>
        <w:ind w:right="180" w:firstLine="648"/>
        <w:spacing w:after="0" w:line="281" w:lineRule="auto"/>
        <w:rPr>
          <w:sz w:val="20"/>
          <w:szCs w:val="20"/>
          <w:color w:val="auto"/>
        </w:rPr>
      </w:pPr>
      <w:r>
        <w:rPr>
          <w:rFonts w:ascii="Times New Roman" w:cs="Times New Roman" w:eastAsia="Times New Roman" w:hAnsi="Times New Roman"/>
          <w:sz w:val="19"/>
          <w:szCs w:val="19"/>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9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0"/>
          <w:szCs w:val="20"/>
          <w:u w:val="single" w:color="auto"/>
          <w:color w:val="auto"/>
        </w:rPr>
        <w:t>F.</w:t>
      </w:r>
      <w:r>
        <w:rPr>
          <w:sz w:val="20"/>
          <w:szCs w:val="20"/>
          <w:color w:val="auto"/>
        </w:rPr>
        <w:tab/>
      </w:r>
      <w:r>
        <w:rPr>
          <w:rFonts w:ascii="Times New Roman" w:cs="Times New Roman" w:eastAsia="Times New Roman" w:hAnsi="Times New Roman"/>
          <w:sz w:val="19"/>
          <w:szCs w:val="19"/>
          <w:u w:val="single" w:color="auto"/>
          <w:color w:val="auto"/>
        </w:rPr>
        <w:t>Size of Transaction and Reason for Transaction Do Not Matter</w:t>
      </w:r>
    </w:p>
    <w:p>
      <w:pPr>
        <w:spacing w:after="0" w:line="24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213" w:lineRule="exact"/>
        <w:rPr>
          <w:sz w:val="20"/>
          <w:szCs w:val="20"/>
          <w:color w:val="auto"/>
        </w:rPr>
      </w:pPr>
    </w:p>
    <w:p>
      <w:pPr>
        <w:ind w:left="640" w:hanging="308"/>
        <w:spacing w:after="0"/>
        <w:tabs>
          <w:tab w:leader="none" w:pos="640" w:val="left"/>
        </w:tabs>
        <w:numPr>
          <w:ilvl w:val="0"/>
          <w:numId w:val="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Examples of Insider Trading</w:t>
      </w:r>
    </w:p>
    <w:p>
      <w:pPr>
        <w:spacing w:after="0" w:line="242" w:lineRule="exact"/>
        <w:rPr>
          <w:rFonts w:ascii="Times New Roman" w:cs="Times New Roman" w:eastAsia="Times New Roman" w:hAnsi="Times New Roman"/>
          <w:sz w:val="20"/>
          <w:szCs w:val="20"/>
          <w:u w:val="single" w:color="auto"/>
          <w:color w:val="auto"/>
        </w:rPr>
      </w:pPr>
    </w:p>
    <w:p>
      <w:pPr>
        <w:ind w:left="66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Examples of insider trading cases include:</w:t>
      </w:r>
    </w:p>
    <w:p>
      <w:pPr>
        <w:spacing w:after="0" w:line="256" w:lineRule="exact"/>
        <w:rPr>
          <w:sz w:val="20"/>
          <w:szCs w:val="20"/>
          <w:color w:val="auto"/>
        </w:rPr>
      </w:pPr>
    </w:p>
    <w:p>
      <w:pPr>
        <w:ind w:left="660" w:hanging="328"/>
        <w:spacing w:after="0" w:line="269" w:lineRule="auto"/>
        <w:tabs>
          <w:tab w:leader="none" w:pos="6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brought against corporate officers, directors, and employees who traded in a company’s securities after learning of significant confidential corporate developments;</w:t>
      </w:r>
    </w:p>
    <w:p>
      <w:pPr>
        <w:spacing w:after="0" w:line="199"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friends, business associates, family members and other tippees of such officers, directors, and employees who traded in the securities after receiving such information;</w:t>
      </w:r>
    </w:p>
    <w:p>
      <w:pPr>
        <w:sectPr>
          <w:pgSz w:w="11900" w:h="16838" w:orient="portrait"/>
          <w:cols w:equalWidth="0" w:num="1">
            <w:col w:w="11180"/>
          </w:cols>
          <w:pgMar w:left="320" w:top="1413" w:right="399" w:bottom="1440" w:gutter="0" w:footer="0" w:header="0"/>
        </w:sectPr>
      </w:pPr>
    </w:p>
    <w:bookmarkStart w:id="144" w:name="page145"/>
    <w:bookmarkEnd w:id="144"/>
    <w:p>
      <w:pPr>
        <w:spacing w:after="0" w:line="216" w:lineRule="exact"/>
        <w:rPr>
          <w:sz w:val="20"/>
          <w:szCs w:val="20"/>
          <w:color w:val="auto"/>
        </w:rPr>
      </w:pPr>
    </w:p>
    <w:p>
      <w:pPr>
        <w:ind w:left="640" w:hanging="308"/>
        <w:spacing w:after="0"/>
        <w:tabs>
          <w:tab w:leader="none" w:pos="6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employees who learned of such information in the course of their employment; and</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persons who misappropriated, and took advantage of, confidential information from their employers.</w:t>
      </w:r>
    </w:p>
    <w:p>
      <w:pPr>
        <w:spacing w:after="0" w:line="243" w:lineRule="exact"/>
        <w:rPr>
          <w:sz w:val="20"/>
          <w:szCs w:val="20"/>
          <w:color w:val="auto"/>
        </w:rPr>
      </w:pPr>
    </w:p>
    <w:p>
      <w:pPr>
        <w:ind w:right="300" w:firstLine="648"/>
        <w:spacing w:after="0" w:line="283" w:lineRule="auto"/>
        <w:rPr>
          <w:sz w:val="20"/>
          <w:szCs w:val="20"/>
          <w:color w:val="auto"/>
        </w:rPr>
      </w:pPr>
      <w:r>
        <w:rPr>
          <w:rFonts w:ascii="Times New Roman" w:cs="Times New Roman" w:eastAsia="Times New Roman" w:hAnsi="Times New Roman"/>
          <w:sz w:val="20"/>
          <w:szCs w:val="20"/>
          <w:color w:val="auto"/>
        </w:rPr>
        <w:t>The following are illustrations of insider trading violations. These illustrations are hypothetical and, consequently, not intended to reflect on the actual activities or business of the Company or any other entity.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Trading by Insider</w:t>
      </w:r>
    </w:p>
    <w:p>
      <w:pPr>
        <w:spacing w:after="0" w:line="256"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20"/>
          <w:szCs w:val="20"/>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Trading by Tippee</w:t>
      </w:r>
    </w:p>
    <w:p>
      <w:pPr>
        <w:spacing w:after="0" w:line="256"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20"/>
          <w:szCs w:val="20"/>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H. Prohibition of Records Falsification and False Statements</w:t>
      </w:r>
    </w:p>
    <w:p>
      <w:pPr>
        <w:spacing w:after="0" w:line="24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19"/>
          <w:szCs w:val="19"/>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20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STATEMENT OF PROCEDURES PREVENTING INSIDER TRADING</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procedures have been established, and will be maintained and enforced, by the Company to prevent insider trading.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Every officer, director and designated employee is required to follow these procedures.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A. Pre-Clearance of All Trades by All Officers, Directors and Certain Employees</w:t>
      </w:r>
    </w:p>
    <w:p>
      <w:pPr>
        <w:sectPr>
          <w:pgSz w:w="11900" w:h="16838" w:orient="portrait"/>
          <w:cols w:equalWidth="0" w:num="1">
            <w:col w:w="11220"/>
          </w:cols>
          <w:pgMar w:left="320" w:top="1440" w:right="359" w:bottom="1440" w:gutter="0" w:footer="0" w:header="0"/>
        </w:sectPr>
      </w:pPr>
    </w:p>
    <w:bookmarkStart w:id="145" w:name="page146"/>
    <w:bookmarkEnd w:id="145"/>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To provide assistance in preventing inadvertent violations of applicable securities laws and to avoid the appearance of impropriety in connection with the purchase and sale of the Company’s securities, all transactions in the Company’s securities (including without limitation, acquisitions and dispositions of Company stock (including by gift), the exercise of stock options and the sale of Company stock issued upon exercise of stock options) by officers, directors and such other employees as are designated from time to time by the Board of Directors, the Chief Executive Officer, the Chief Financial Officer or General Counsel as being subject to this pre-clearance process (each, a “</w:t>
      </w:r>
      <w:r>
        <w:rPr>
          <w:rFonts w:ascii="Times New Roman" w:cs="Times New Roman" w:eastAsia="Times New Roman" w:hAnsi="Times New Roman"/>
          <w:sz w:val="20"/>
          <w:szCs w:val="20"/>
          <w:b w:val="1"/>
          <w:bCs w:val="1"/>
          <w:color w:val="auto"/>
        </w:rPr>
        <w:t>Pre-Clearance Person</w:t>
      </w:r>
      <w:r>
        <w:rPr>
          <w:rFonts w:ascii="Times New Roman" w:cs="Times New Roman" w:eastAsia="Times New Roman" w:hAnsi="Times New Roman"/>
          <w:sz w:val="20"/>
          <w:szCs w:val="20"/>
          <w:color w:val="auto"/>
        </w:rPr>
        <w:t>”) must be pre-cleared by the General Counsel. Pre-clearance does not relieve anyone of his or her responsibility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 rules. For the avoidance of doubt, any designation by the Board of Directors of the employees who are subject to pre-clearance may be updated from time to time by the Chief Executive Officer, the Chief Financial Officer, or the General Counsel.</w:t>
      </w:r>
    </w:p>
    <w:p>
      <w:pPr>
        <w:spacing w:after="0" w:line="22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General Counsel, the Pre-Clearance Person must execute a certification (in the form approved by the General Counsel) that he, she or it is not aware of material, non-public information about the Company. The General Counsel shall have sole discretion to decide whether to clear any contemplated transaction, provided that the Chief Financial 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(or the Chief Financial Officer, in the case of the General Counsel or persons or entities subject to this policy as a result of their relationship with the General Counsel).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B.  Open Trading Windows and Black-Out Periods</w:t>
      </w:r>
    </w:p>
    <w:p>
      <w:pPr>
        <w:spacing w:after="0" w:line="256"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Officers, directors or other employees designated from time to time by the Board of Directors, the Chief Executive Officer or the Chief Financial Officer or the General Counsel as being subject to quarterly black-out periods may only purchase or sell any security of the Company during open trading windows: the period beginning upon the completion of the second full trading day after the public release of earnings data for a fiscal quarter and ending the later of (i) after the market closes on the 15th calendar day of the last month of each fiscal quarter of the Company, or (ii) seven (7) business days after the public release of earnings, except for purchases and sales made pursuant to the permitted transactions described in Section II.</w:t>
      </w:r>
    </w:p>
    <w:p>
      <w:pPr>
        <w:sectPr>
          <w:pgSz w:w="11900" w:h="16838" w:orient="portrait"/>
          <w:cols w:equalWidth="0" w:num="1">
            <w:col w:w="11240"/>
          </w:cols>
          <w:pgMar w:left="320" w:top="1413" w:right="339" w:bottom="1440" w:gutter="0" w:footer="0" w:header="0"/>
        </w:sectPr>
      </w:pPr>
    </w:p>
    <w:bookmarkStart w:id="146" w:name="page147"/>
    <w:bookmarkEnd w:id="146"/>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929005</wp:posOffset>
            </wp:positionV>
            <wp:extent cx="4860925" cy="18262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4860925" cy="1826260"/>
                    </a:xfrm>
                    <a:prstGeom prst="rect">
                      <a:avLst/>
                    </a:prstGeom>
                    <a:noFill/>
                  </pic:spPr>
                </pic:pic>
              </a:graphicData>
            </a:graphic>
          </wp:anchor>
        </w:drawing>
      </w:r>
    </w:p>
    <w:p>
      <w:pPr>
        <w:ind w:left="2820"/>
        <w:spacing w:after="0"/>
        <w:rPr>
          <w:sz w:val="20"/>
          <w:szCs w:val="20"/>
          <w:color w:val="auto"/>
        </w:rPr>
      </w:pPr>
      <w:r>
        <w:rPr>
          <w:rFonts w:ascii="Times New Roman" w:cs="Times New Roman" w:eastAsia="Times New Roman" w:hAnsi="Times New Roman"/>
          <w:sz w:val="18"/>
          <w:szCs w:val="18"/>
          <w:b w:val="1"/>
          <w:bCs w:val="1"/>
          <w:color w:val="auto"/>
        </w:rPr>
        <w:t>Open Trading Windows (</w:t>
      </w:r>
      <w:r>
        <w:rPr>
          <w:rFonts w:ascii="Times New Roman" w:cs="Times New Roman" w:eastAsia="Times New Roman" w:hAnsi="Times New Roman"/>
          <w:sz w:val="18"/>
          <w:szCs w:val="18"/>
          <w:b w:val="1"/>
          <w:bCs w:val="1"/>
          <w:i w:val="1"/>
          <w:iCs w:val="1"/>
          <w:color w:val="auto"/>
        </w:rPr>
        <w:t>unless a blackout period is in effect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tbl>
      <w:tblPr>
        <w:tblLayout w:type="fixed"/>
        <w:tblInd w:w="130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Fiscal Quarter</w:t>
            </w:r>
          </w:p>
        </w:tc>
        <w:tc>
          <w:tcPr>
            <w:tcW w:w="210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34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Ending after the market closes on:</w:t>
            </w:r>
          </w:p>
        </w:tc>
        <w:tc>
          <w:tcPr>
            <w:tcW w:w="0" w:type="dxa"/>
            <w:vAlign w:val="bottom"/>
          </w:tcPr>
          <w:p>
            <w:pPr>
              <w:spacing w:after="0"/>
              <w:rPr>
                <w:sz w:val="1"/>
                <w:szCs w:val="1"/>
                <w:color w:val="auto"/>
              </w:rPr>
            </w:pPr>
          </w:p>
        </w:tc>
      </w:tr>
      <w:tr>
        <w:trPr>
          <w:trHeight w:val="331"/>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Q1</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January through</w:t>
            </w:r>
          </w:p>
        </w:tc>
        <w:tc>
          <w:tcPr>
            <w:tcW w:w="2100" w:type="dxa"/>
            <w:vAlign w:val="bottom"/>
            <w:tcBorders>
              <w:right w:val="single" w:sz="8" w:color="auto"/>
            </w:tcBorders>
          </w:tcPr>
          <w:p>
            <w:pPr>
              <w:spacing w:after="0"/>
              <w:rPr>
                <w:sz w:val="24"/>
                <w:szCs w:val="24"/>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later of June 15 or seven (7) business days</w:t>
            </w:r>
          </w:p>
        </w:tc>
        <w:tc>
          <w:tcPr>
            <w:tcW w:w="0" w:type="dxa"/>
            <w:vAlign w:val="bottom"/>
          </w:tcPr>
          <w:p>
            <w:pPr>
              <w:spacing w:after="0"/>
              <w:rPr>
                <w:sz w:val="1"/>
                <w:szCs w:val="1"/>
                <w:color w:val="auto"/>
              </w:rPr>
            </w:pPr>
          </w:p>
        </w:tc>
      </w:tr>
      <w:tr>
        <w:trPr>
          <w:trHeight w:val="239"/>
        </w:trPr>
        <w:tc>
          <w:tcPr>
            <w:tcW w:w="212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March</w:t>
            </w:r>
          </w:p>
        </w:tc>
        <w:tc>
          <w:tcPr>
            <w:tcW w:w="2100" w:type="dxa"/>
            <w:vAlign w:val="bottom"/>
            <w:tcBorders>
              <w:right w:val="single" w:sz="8" w:color="auto"/>
            </w:tcBorders>
          </w:tcPr>
          <w:p>
            <w:pPr>
              <w:spacing w:after="0"/>
              <w:rPr>
                <w:sz w:val="20"/>
                <w:szCs w:val="20"/>
                <w:color w:val="auto"/>
              </w:rPr>
            </w:pP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after the public release of earnings</w:t>
            </w:r>
          </w:p>
        </w:tc>
        <w:tc>
          <w:tcPr>
            <w:tcW w:w="0" w:type="dxa"/>
            <w:vAlign w:val="bottom"/>
          </w:tcPr>
          <w:p>
            <w:pPr>
              <w:spacing w:after="0"/>
              <w:rPr>
                <w:sz w:val="1"/>
                <w:szCs w:val="1"/>
                <w:color w:val="auto"/>
              </w:rPr>
            </w:pPr>
          </w:p>
        </w:tc>
      </w:tr>
      <w:tr>
        <w:trPr>
          <w:trHeight w:val="376"/>
        </w:trPr>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Q2</w:t>
            </w:r>
          </w:p>
        </w:tc>
        <w:tc>
          <w:tcPr>
            <w:tcW w:w="1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April through June</w:t>
            </w:r>
          </w:p>
        </w:tc>
        <w:tc>
          <w:tcPr>
            <w:tcW w:w="2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Two full trading days after</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later of September 15 or seven (7) business</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vMerge w:val="continue"/>
          </w:tcPr>
          <w:p>
            <w:pPr>
              <w:spacing w:after="0"/>
              <w:rPr>
                <w:sz w:val="17"/>
                <w:szCs w:val="17"/>
                <w:color w:val="auto"/>
              </w:rPr>
            </w:pPr>
          </w:p>
        </w:tc>
        <w:tc>
          <w:tcPr>
            <w:tcW w:w="1840" w:type="dxa"/>
            <w:vAlign w:val="bottom"/>
            <w:tcBorders>
              <w:bottom w:val="single" w:sz="8" w:color="auto"/>
              <w:right w:val="single" w:sz="8" w:color="auto"/>
            </w:tcBorders>
            <w:vMerge w:val="continue"/>
          </w:tcPr>
          <w:p>
            <w:pPr>
              <w:spacing w:after="0"/>
              <w:rPr>
                <w:sz w:val="17"/>
                <w:szCs w:val="17"/>
                <w:color w:val="auto"/>
              </w:rPr>
            </w:pPr>
          </w:p>
        </w:tc>
        <w:tc>
          <w:tcPr>
            <w:tcW w:w="21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the public release of</w:t>
            </w:r>
          </w:p>
        </w:tc>
        <w:tc>
          <w:tcPr>
            <w:tcW w:w="344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days after the public release of earnings</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earnings date for the fiscal</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w w:val="99"/>
              </w:rPr>
              <w:t>Q3</w:t>
            </w:r>
          </w:p>
        </w:tc>
        <w:tc>
          <w:tcPr>
            <w:tcW w:w="18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 July through</w:t>
            </w:r>
          </w:p>
        </w:tc>
        <w:tc>
          <w:tcPr>
            <w:tcW w:w="21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quarter</w:t>
            </w:r>
          </w:p>
        </w:tc>
        <w:tc>
          <w:tcPr>
            <w:tcW w:w="34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the later of December 15 or seven (7) business</w:t>
            </w:r>
          </w:p>
        </w:tc>
        <w:tc>
          <w:tcPr>
            <w:tcW w:w="0" w:type="dxa"/>
            <w:vAlign w:val="bottom"/>
          </w:tcPr>
          <w:p>
            <w:pPr>
              <w:spacing w:after="0"/>
              <w:rPr>
                <w:sz w:val="1"/>
                <w:szCs w:val="1"/>
                <w:color w:val="auto"/>
              </w:rPr>
            </w:pPr>
          </w:p>
        </w:tc>
      </w:tr>
      <w:tr>
        <w:trPr>
          <w:trHeight w:val="239"/>
        </w:trPr>
        <w:tc>
          <w:tcPr>
            <w:tcW w:w="212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September</w:t>
            </w:r>
          </w:p>
        </w:tc>
        <w:tc>
          <w:tcPr>
            <w:tcW w:w="2100" w:type="dxa"/>
            <w:vAlign w:val="bottom"/>
            <w:tcBorders>
              <w:right w:val="single" w:sz="8" w:color="auto"/>
            </w:tcBorders>
          </w:tcPr>
          <w:p>
            <w:pPr>
              <w:spacing w:after="0"/>
              <w:rPr>
                <w:sz w:val="20"/>
                <w:szCs w:val="20"/>
                <w:color w:val="auto"/>
              </w:rPr>
            </w:pP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days after the public release of earnings</w:t>
            </w:r>
          </w:p>
        </w:tc>
        <w:tc>
          <w:tcPr>
            <w:tcW w:w="0" w:type="dxa"/>
            <w:vAlign w:val="bottom"/>
          </w:tcPr>
          <w:p>
            <w:pPr>
              <w:spacing w:after="0"/>
              <w:rPr>
                <w:sz w:val="1"/>
                <w:szCs w:val="1"/>
                <w:color w:val="auto"/>
              </w:rPr>
            </w:pPr>
          </w:p>
        </w:tc>
      </w:tr>
      <w:tr>
        <w:trPr>
          <w:trHeight w:val="335"/>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Q4</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October through</w:t>
            </w:r>
          </w:p>
        </w:tc>
        <w:tc>
          <w:tcPr>
            <w:tcW w:w="2100" w:type="dxa"/>
            <w:vAlign w:val="bottom"/>
            <w:tcBorders>
              <w:right w:val="single" w:sz="8" w:color="auto"/>
            </w:tcBorders>
          </w:tcPr>
          <w:p>
            <w:pPr>
              <w:spacing w:after="0"/>
              <w:rPr>
                <w:sz w:val="24"/>
                <w:szCs w:val="24"/>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later of March 15 or seven (7) business</w:t>
            </w:r>
          </w:p>
        </w:tc>
        <w:tc>
          <w:tcPr>
            <w:tcW w:w="0" w:type="dxa"/>
            <w:vAlign w:val="bottom"/>
          </w:tcPr>
          <w:p>
            <w:pPr>
              <w:spacing w:after="0"/>
              <w:rPr>
                <w:sz w:val="1"/>
                <w:szCs w:val="1"/>
                <w:color w:val="auto"/>
              </w:rPr>
            </w:pPr>
          </w:p>
        </w:tc>
      </w:tr>
      <w:tr>
        <w:trPr>
          <w:trHeight w:val="239"/>
        </w:trPr>
        <w:tc>
          <w:tcPr>
            <w:tcW w:w="212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December</w:t>
            </w:r>
          </w:p>
        </w:tc>
        <w:tc>
          <w:tcPr>
            <w:tcW w:w="2100" w:type="dxa"/>
            <w:vAlign w:val="bottom"/>
            <w:tcBorders>
              <w:bottom w:val="single" w:sz="8" w:color="auto"/>
              <w:right w:val="single" w:sz="8" w:color="auto"/>
            </w:tcBorders>
          </w:tcPr>
          <w:p>
            <w:pPr>
              <w:spacing w:after="0"/>
              <w:rPr>
                <w:sz w:val="20"/>
                <w:szCs w:val="20"/>
                <w:color w:val="auto"/>
              </w:rPr>
            </w:pP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days after the public release of earnings</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580" w:firstLine="648"/>
        <w:spacing w:after="0" w:line="269" w:lineRule="auto"/>
        <w:rPr>
          <w:sz w:val="20"/>
          <w:szCs w:val="20"/>
          <w:color w:val="auto"/>
        </w:rPr>
      </w:pPr>
      <w:r>
        <w:rPr>
          <w:rFonts w:ascii="Times New Roman" w:cs="Times New Roman" w:eastAsia="Times New Roman" w:hAnsi="Times New Roman"/>
          <w:sz w:val="20"/>
          <w:szCs w:val="20"/>
          <w:color w:val="auto"/>
        </w:rPr>
        <w:t>For the avoidance of doubt, any designation by the Board of Directors of the employees who are subject to quarterly black-out periods may be updated from time to time by the Chief Executive Officer, Chief Financial Officer or General Counsel.</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Exceptions to the black-out period policy may be approved only by the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w:t>
      </w:r>
    </w:p>
    <w:p>
      <w:pPr>
        <w:spacing w:after="0" w:line="19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auto"/>
        </w:rPr>
        <w:t>From time to time, the Company, through the Board of Directors, the Company’s disclosure committee, the Chief Financial Officer or the General Counsel,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 Any trading suspension will remain effective until revoked by the General Counsel.</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C.  Post-Termination Transactions</w:t>
      </w:r>
    </w:p>
    <w:p>
      <w:pPr>
        <w:spacing w:after="0" w:line="256"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D. Information Relating to the Company</w:t>
      </w:r>
    </w:p>
    <w:p>
      <w:pPr>
        <w:spacing w:after="0" w:line="256"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Access to Information</w:t>
      </w:r>
    </w:p>
    <w:p>
      <w:pPr>
        <w:spacing w:after="0" w:line="243"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9"/>
          <w:szCs w:val="19"/>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1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20"/>
          <w:szCs w:val="20"/>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20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Inquiries From Third Parties</w:t>
      </w:r>
    </w:p>
    <w:p>
      <w:pPr>
        <w:spacing w:after="0" w:line="243"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Inquiries from third parties, such as industry analysts or members of the media, about the Company should be directed to the Chief Financial Officer or the General Counsel.</w:t>
      </w:r>
    </w:p>
    <w:p>
      <w:pPr>
        <w:spacing w:after="0" w:line="187"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Limitations on Access to Company Information</w:t>
      </w:r>
    </w:p>
    <w:p>
      <w:pPr>
        <w:spacing w:after="0" w:line="242" w:lineRule="exact"/>
        <w:rPr>
          <w:rFonts w:ascii="Times New Roman" w:cs="Times New Roman" w:eastAsia="Times New Roman" w:hAnsi="Times New Roman"/>
          <w:sz w:val="20"/>
          <w:szCs w:val="20"/>
          <w:u w:val="single" w:color="auto"/>
          <w:color w:val="auto"/>
        </w:rPr>
      </w:pPr>
    </w:p>
    <w:p>
      <w:pPr>
        <w:ind w:left="66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9"/>
          <w:szCs w:val="19"/>
          <w:color w:val="auto"/>
        </w:rPr>
        <w:t>The following procedures are designed to maintain confidentiality with respect to the Company’s business operations and activities.</w:t>
      </w:r>
    </w:p>
    <w:p>
      <w:pPr>
        <w:spacing w:after="0" w:line="268"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All officers, directors and employees should take all steps and precautions necessary to restrict access to, and secure, material, non-public information by, among other things:</w:t>
      </w:r>
    </w:p>
    <w:p>
      <w:pPr>
        <w:spacing w:after="0" w:line="200" w:lineRule="exact"/>
        <w:rPr>
          <w:sz w:val="20"/>
          <w:szCs w:val="20"/>
          <w:color w:val="auto"/>
        </w:rPr>
      </w:pPr>
    </w:p>
    <w:p>
      <w:pPr>
        <w:ind w:left="640" w:hanging="308"/>
        <w:spacing w:after="0"/>
        <w:tabs>
          <w:tab w:leader="none" w:pos="6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confidentiality of Company-related transactions;</w:t>
      </w:r>
    </w:p>
    <w:p>
      <w:pPr>
        <w:spacing w:after="0" w:line="256" w:lineRule="exact"/>
        <w:rPr>
          <w:rFonts w:ascii="Times New Roman" w:cs="Times New Roman" w:eastAsia="Times New Roman" w:hAnsi="Times New Roman"/>
          <w:sz w:val="20"/>
          <w:szCs w:val="20"/>
          <w:color w:val="auto"/>
        </w:rPr>
      </w:pPr>
    </w:p>
    <w:p>
      <w:pPr>
        <w:ind w:left="660" w:right="720" w:hanging="328"/>
        <w:spacing w:after="0" w:line="269"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99" w:lineRule="exact"/>
        <w:rPr>
          <w:rFonts w:ascii="Times New Roman" w:cs="Times New Roman" w:eastAsia="Times New Roman" w:hAnsi="Times New Roman"/>
          <w:sz w:val="20"/>
          <w:szCs w:val="20"/>
          <w:color w:val="auto"/>
        </w:rPr>
      </w:pPr>
    </w:p>
    <w:p>
      <w:pPr>
        <w:ind w:left="660" w:right="180" w:hanging="328"/>
        <w:spacing w:after="0" w:line="269"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99"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removing and cleaning up all confidential documents and other materials from conference rooms following the conclusion of any meetings;</w:t>
      </w:r>
    </w:p>
    <w:p>
      <w:pPr>
        <w:spacing w:after="0" w:line="173"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disposing of all confidential documents and other papers, after there is no longer any business or other legally required need, through shredders when appropriate;</w:t>
      </w:r>
    </w:p>
    <w:p>
      <w:pPr>
        <w:spacing w:after="0" w:line="1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access to areas likely to contain confidential documents or material, non-public information;</w:t>
      </w:r>
    </w:p>
    <w:p>
      <w:pPr>
        <w:spacing w:after="0" w:line="256"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safeguarding laptop computers, mobile devices, tablets, memory sticks, CDs and other items that contain confidential information; and</w:t>
      </w:r>
    </w:p>
    <w:p>
      <w:pPr>
        <w:spacing w:after="0" w:line="199" w:lineRule="exact"/>
        <w:rPr>
          <w:rFonts w:ascii="Times New Roman" w:cs="Times New Roman" w:eastAsia="Times New Roman" w:hAnsi="Times New Roman"/>
          <w:sz w:val="20"/>
          <w:szCs w:val="20"/>
          <w:color w:val="auto"/>
        </w:rPr>
      </w:pPr>
    </w:p>
    <w:p>
      <w:pPr>
        <w:ind w:left="660" w:right="100" w:hanging="328"/>
        <w:spacing w:after="0" w:line="283"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avoiding the discussion of material, non-public information in places where the information could be overheard by others such as in elevators, restrooms, hallways, restaurants, airplanes or taxicabs.</w:t>
      </w:r>
    </w:p>
    <w:p>
      <w:pPr>
        <w:spacing w:after="0" w:line="173"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Personnel involved with material, non-public information, to the extent feasible, should conduct their business and activities in areas separate from other Company activities.</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V.</w:t>
      </w:r>
      <w:r>
        <w:rPr>
          <w:sz w:val="20"/>
          <w:szCs w:val="20"/>
          <w:color w:val="auto"/>
        </w:rPr>
        <w:tab/>
      </w:r>
      <w:r>
        <w:rPr>
          <w:rFonts w:ascii="Times New Roman" w:cs="Times New Roman" w:eastAsia="Times New Roman" w:hAnsi="Times New Roman"/>
          <w:sz w:val="19"/>
          <w:szCs w:val="19"/>
          <w:b w:val="1"/>
          <w:bCs w:val="1"/>
          <w:color w:val="auto"/>
        </w:rPr>
        <w:t>ADDITIONAL PROHIBITED TRANSACTIONS</w:t>
      </w:r>
    </w:p>
    <w:p>
      <w:pPr>
        <w:sectPr>
          <w:pgSz w:w="11900" w:h="16838" w:orient="portrait"/>
          <w:cols w:equalWidth="0" w:num="1">
            <w:col w:w="11180"/>
          </w:cols>
          <w:pgMar w:left="320" w:top="1440" w:right="399" w:bottom="1440" w:gutter="0" w:footer="0" w:header="0"/>
        </w:sectPr>
      </w:pPr>
    </w:p>
    <w:bookmarkStart w:id="148" w:name="page149"/>
    <w:bookmarkEnd w:id="148"/>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A. Short Sales</w:t>
      </w:r>
    </w:p>
    <w:p>
      <w:pPr>
        <w:spacing w:after="0" w:line="2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i.e., sales of shares that the insider does not own at the time of sale, or sales of shares against which the insider does not deliver the shares within 20 days after the sale.</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B.  Options</w:t>
      </w:r>
    </w:p>
    <w:p>
      <w:pPr>
        <w:spacing w:after="0" w:line="25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short-tam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C.  Hedging Transactions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D. Purchases of the Company’s Securities on Margin; Pledging the Company’s Securities to Secure Margin or Other Loans</w:t>
      </w:r>
    </w:p>
    <w:p>
      <w:pPr>
        <w:spacing w:after="0" w:line="243"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E.  Partnership Distributions</w:t>
      </w:r>
    </w:p>
    <w:p>
      <w:pPr>
        <w:spacing w:after="0" w:line="256" w:lineRule="exact"/>
        <w:rPr>
          <w:sz w:val="20"/>
          <w:szCs w:val="20"/>
          <w:color w:val="auto"/>
        </w:rPr>
      </w:pPr>
    </w:p>
    <w:p>
      <w:pPr>
        <w:ind w:right="260" w:firstLine="648"/>
        <w:spacing w:after="0" w:line="269" w:lineRule="auto"/>
        <w:rPr>
          <w:sz w:val="20"/>
          <w:szCs w:val="20"/>
          <w:color w:val="auto"/>
        </w:rPr>
      </w:pPr>
      <w:r>
        <w:rPr>
          <w:rFonts w:ascii="Times New Roman" w:cs="Times New Roman" w:eastAsia="Times New Roman" w:hAnsi="Times New Roman"/>
          <w:sz w:val="20"/>
          <w:szCs w:val="20"/>
          <w:color w:val="auto"/>
        </w:rPr>
        <w:t>Nothing in this Policy is intended to limit the ability of a venture capital partnership or other similar entity with which a director is affiliated to distribute Company securities to its partners, members</w:t>
      </w:r>
    </w:p>
    <w:p>
      <w:pPr>
        <w:sectPr>
          <w:pgSz w:w="11900" w:h="16838" w:orient="portrait"/>
          <w:cols w:equalWidth="0" w:num="1">
            <w:col w:w="11240"/>
          </w:cols>
          <w:pgMar w:left="320" w:top="1413" w:right="339" w:bottom="1440" w:gutter="0" w:footer="0" w:header="0"/>
        </w:sectPr>
      </w:pPr>
    </w:p>
    <w:bookmarkStart w:id="149" w:name="page150"/>
    <w:bookmarkEnd w:id="149"/>
    <w:p>
      <w:pPr>
        <w:ind w:right="240"/>
        <w:spacing w:after="0" w:line="310" w:lineRule="auto"/>
        <w:rPr>
          <w:sz w:val="20"/>
          <w:szCs w:val="20"/>
          <w:color w:val="auto"/>
        </w:rPr>
      </w:pPr>
      <w:r>
        <w:rPr>
          <w:rFonts w:ascii="Times New Roman" w:cs="Times New Roman" w:eastAsia="Times New Roman" w:hAnsi="Times New Roman"/>
          <w:sz w:val="19"/>
          <w:szCs w:val="19"/>
          <w:color w:val="auto"/>
        </w:rPr>
        <w:t>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4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19"/>
          <w:szCs w:val="19"/>
          <w:b w:val="1"/>
          <w:bCs w:val="1"/>
          <w:color w:val="auto"/>
        </w:rPr>
        <w:t>RULE 10B5-1 TRADING PLANS</w:t>
      </w:r>
    </w:p>
    <w:p>
      <w:pPr>
        <w:spacing w:after="0" w:line="26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(a “</w:t>
      </w:r>
      <w:r>
        <w:rPr>
          <w:rFonts w:ascii="Times New Roman" w:cs="Times New Roman" w:eastAsia="Times New Roman" w:hAnsi="Times New Roman"/>
          <w:sz w:val="20"/>
          <w:szCs w:val="20"/>
          <w:b w:val="1"/>
          <w:bCs w:val="1"/>
          <w:color w:val="auto"/>
        </w:rPr>
        <w:t>Trading Plan</w:t>
      </w:r>
      <w:r>
        <w:rPr>
          <w:rFonts w:ascii="Times New Roman" w:cs="Times New Roman" w:eastAsia="Times New Roman" w:hAnsi="Times New Roman"/>
          <w:sz w:val="20"/>
          <w:szCs w:val="20"/>
          <w:color w:val="auto"/>
        </w:rPr>
        <w:t>”) entered into in good faith and in accordance with the terms of Rule 10b5 -1 and all applicable state laws and will be exempt from the trading restrictions set forth in this Policy. All Trading Plans adopted by directors, officers and employees of the Company must comply with the Company’s Individual Rule 10b5-1 Trading Place Guidelines, which are attached hereto as Annex A.</w:t>
      </w:r>
    </w:p>
    <w:p>
      <w:pPr>
        <w:spacing w:after="0" w:line="22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spacing w:after="0" w:line="2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19"/>
          <w:szCs w:val="19"/>
          <w:b w:val="1"/>
          <w:bCs w:val="1"/>
          <w:color w:val="auto"/>
        </w:rPr>
        <w:t>ACKNOWLEDGEMENT OF COMPLIANCE</w:t>
      </w:r>
    </w:p>
    <w:p>
      <w:pPr>
        <w:spacing w:after="0" w:line="247" w:lineRule="exact"/>
        <w:rPr>
          <w:sz w:val="20"/>
          <w:szCs w:val="20"/>
          <w:color w:val="auto"/>
        </w:rPr>
      </w:pPr>
    </w:p>
    <w:p>
      <w:pPr>
        <w:ind w:right="600" w:firstLine="648"/>
        <w:spacing w:after="0" w:line="283" w:lineRule="auto"/>
        <w:rPr>
          <w:sz w:val="20"/>
          <w:szCs w:val="20"/>
          <w:color w:val="auto"/>
        </w:rPr>
      </w:pPr>
      <w:r>
        <w:rPr>
          <w:rFonts w:ascii="Times New Roman" w:cs="Times New Roman" w:eastAsia="Times New Roman" w:hAnsi="Times New Roman"/>
          <w:sz w:val="20"/>
          <w:szCs w:val="20"/>
          <w:color w:val="auto"/>
        </w:rPr>
        <w:t>All officers, directors and employees are asked to certify that they have reviewed and understand the Policy during the annual compliance training or certification program.</w:t>
      </w:r>
    </w:p>
    <w:p>
      <w:pPr>
        <w:sectPr>
          <w:pgSz w:w="11900" w:h="16838" w:orient="portrait"/>
          <w:cols w:equalWidth="0" w:num="1">
            <w:col w:w="11200"/>
          </w:cols>
          <w:pgMar w:left="320" w:top="1413" w:right="3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Vita Coco Company,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Individual Rule 10b5-1 Trading Plan Guidelines</w:t>
      </w:r>
    </w:p>
    <w:p>
      <w:pPr>
        <w:spacing w:after="0" w:line="23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Securities and Exchange Commission enacted Rule 10b5-1 (the “</w:t>
      </w:r>
      <w:r>
        <w:rPr>
          <w:rFonts w:ascii="Times New Roman" w:cs="Times New Roman" w:eastAsia="Times New Roman" w:hAnsi="Times New Roman"/>
          <w:sz w:val="20"/>
          <w:szCs w:val="20"/>
          <w:b w:val="1"/>
          <w:bCs w:val="1"/>
          <w:color w:val="auto"/>
        </w:rPr>
        <w:t>Rule</w:t>
      </w:r>
      <w:r>
        <w:rPr>
          <w:rFonts w:ascii="Times New Roman" w:cs="Times New Roman" w:eastAsia="Times New Roman" w:hAnsi="Times New Roman"/>
          <w:sz w:val="20"/>
          <w:szCs w:val="20"/>
          <w:color w:val="auto"/>
        </w:rPr>
        <w:t>”) to give directors, officers and employees who were often in possession of material, nonpublic information (“</w:t>
      </w:r>
      <w:r>
        <w:rPr>
          <w:rFonts w:ascii="Times New Roman" w:cs="Times New Roman" w:eastAsia="Times New Roman" w:hAnsi="Times New Roman"/>
          <w:sz w:val="20"/>
          <w:szCs w:val="20"/>
          <w:b w:val="1"/>
          <w:bCs w:val="1"/>
          <w:color w:val="auto"/>
        </w:rPr>
        <w:t>Insiders</w:t>
      </w:r>
      <w:r>
        <w:rPr>
          <w:rFonts w:ascii="Times New Roman" w:cs="Times New Roman" w:eastAsia="Times New Roman" w:hAnsi="Times New Roman"/>
          <w:sz w:val="20"/>
          <w:szCs w:val="20"/>
          <w:color w:val="auto"/>
        </w:rPr>
        <w:t>”) greater flexibility to engage in transactions in their company’s stock. If Insiders follow the requirements of the Rule, they have an affirmative defense from insider trading liability for trades made under an effective written plan for trading securities (commonly referred to as a Rule 10b5-1 Plan). In each case, Insiders must act in good faith with respect to the Plan and not as part of a scheme to evade the prohibitions against unlawful insider trading.</w:t>
      </w:r>
    </w:p>
    <w:p>
      <w:pPr>
        <w:spacing w:after="0" w:line="21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As set forth in The Vita Coco Company, Inc. Insider Trading Compliance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The Vita Coco Company,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permits its Insiders to purchase or sell shares of Company common stock pursuant to a Rule 10b5-1 plan (a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under certain circumstances. The Legal Department has set forth the following guidelines (the “</w:t>
      </w:r>
      <w:r>
        <w:rPr>
          <w:rFonts w:ascii="Times New Roman" w:cs="Times New Roman" w:eastAsia="Times New Roman" w:hAnsi="Times New Roman"/>
          <w:sz w:val="20"/>
          <w:szCs w:val="20"/>
          <w:b w:val="1"/>
          <w:bCs w:val="1"/>
          <w:color w:val="auto"/>
        </w:rPr>
        <w:t>Guidelines</w:t>
      </w:r>
      <w:r>
        <w:rPr>
          <w:rFonts w:ascii="Times New Roman" w:cs="Times New Roman" w:eastAsia="Times New Roman" w:hAnsi="Times New Roman"/>
          <w:sz w:val="20"/>
          <w:szCs w:val="20"/>
          <w:color w:val="auto"/>
        </w:rPr>
        <w:t>”) to provide Insiders with clarity as to what parameters must be followed in order to adopt a Plan that is compliant with the Company’s Policy. These Guidelines are in addition to, and not in lieu of, the requirements and conditions of the Rule. Any questions regarding the Guidelines should be directed to the General Counsel.</w:t>
      </w:r>
    </w:p>
    <w:p>
      <w:pPr>
        <w:spacing w:after="0" w:line="204" w:lineRule="exact"/>
        <w:rPr>
          <w:sz w:val="20"/>
          <w:szCs w:val="20"/>
          <w:color w:val="auto"/>
        </w:rPr>
      </w:pPr>
    </w:p>
    <w:p>
      <w:pPr>
        <w:ind w:left="660" w:right="100" w:hanging="328"/>
        <w:spacing w:after="0" w:line="258"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Pre-Clearance</w:t>
      </w:r>
      <w:r>
        <w:rPr>
          <w:rFonts w:ascii="Times New Roman" w:cs="Times New Roman" w:eastAsia="Times New Roman" w:hAnsi="Times New Roman"/>
          <w:sz w:val="20"/>
          <w:szCs w:val="20"/>
          <w:color w:val="auto"/>
        </w:rPr>
        <w:t>. All Plans must be submitted in writing and pre-cleared by the Company’s General Counsel (or his or her designee) at least five days prior to the entry into the Plan. The Company reserves the right to withhold pre-clearance of any Plan that the Company determines is not consistent with the rules regarding such plans. Notwithstanding any pre-clearance of a Plan, the Company assumes no liability for the consequences of any transaction made pursuant to such plan.</w:t>
      </w:r>
    </w:p>
    <w:p>
      <w:pPr>
        <w:spacing w:after="0" w:line="212" w:lineRule="exact"/>
        <w:rPr>
          <w:rFonts w:ascii="Times New Roman" w:cs="Times New Roman" w:eastAsia="Times New Roman" w:hAnsi="Times New Roman"/>
          <w:sz w:val="20"/>
          <w:szCs w:val="20"/>
          <w:color w:val="auto"/>
        </w:rPr>
      </w:pPr>
    </w:p>
    <w:p>
      <w:pPr>
        <w:ind w:left="660" w:right="580" w:hanging="328"/>
        <w:spacing w:after="0" w:line="269"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Adoption</w:t>
      </w:r>
      <w:r>
        <w:rPr>
          <w:rFonts w:ascii="Times New Roman" w:cs="Times New Roman" w:eastAsia="Times New Roman" w:hAnsi="Times New Roman"/>
          <w:sz w:val="20"/>
          <w:szCs w:val="20"/>
          <w:color w:val="auto"/>
        </w:rPr>
        <w:t>. All Plans must be entered into during an open trading window and when the Insider is not in possession of any material, nonpublic information.</w:t>
      </w:r>
    </w:p>
    <w:p>
      <w:pPr>
        <w:spacing w:after="0" w:line="199" w:lineRule="exact"/>
        <w:rPr>
          <w:rFonts w:ascii="Times New Roman" w:cs="Times New Roman" w:eastAsia="Times New Roman" w:hAnsi="Times New Roman"/>
          <w:sz w:val="20"/>
          <w:szCs w:val="20"/>
          <w:color w:val="auto"/>
        </w:rPr>
      </w:pPr>
    </w:p>
    <w:p>
      <w:pPr>
        <w:ind w:left="660" w:right="60" w:hanging="328"/>
        <w:spacing w:after="0" w:line="258"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Format</w:t>
      </w:r>
      <w:r>
        <w:rPr>
          <w:rFonts w:ascii="Times New Roman" w:cs="Times New Roman" w:eastAsia="Times New Roman" w:hAnsi="Times New Roman"/>
          <w:sz w:val="20"/>
          <w:szCs w:val="20"/>
          <w:color w:val="auto"/>
        </w:rPr>
        <w:t>. All Plans must be in writing and must not allow the Insider to exercise any subsequent influence over how, when or whether to effect trades in Company securities under the Plan. Additionally, Plans must (a) expressly state the amount, price and dates on which transactions may be executed, (b) provide a written formula for determining amounts, prices and dates or (c) delegate discretion on those matters to an independent third party.</w:t>
      </w:r>
    </w:p>
    <w:p>
      <w:pPr>
        <w:spacing w:after="0" w:line="19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Cooling-Off Period</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1300" w:right="20" w:hanging="324"/>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If the Insider is a Company director or officer (as defined in Rule 16a-1 under the Securities Exchange Act of 1934, as amended (a “</w:t>
      </w:r>
      <w:r>
        <w:rPr>
          <w:rFonts w:ascii="Times New Roman" w:cs="Times New Roman" w:eastAsia="Times New Roman" w:hAnsi="Times New Roman"/>
          <w:sz w:val="20"/>
          <w:szCs w:val="20"/>
          <w:b w:val="1"/>
          <w:bCs w:val="1"/>
          <w:color w:val="auto"/>
        </w:rPr>
        <w:t>Section 16 Person</w:t>
      </w:r>
      <w:r>
        <w:rPr>
          <w:rFonts w:ascii="Times New Roman" w:cs="Times New Roman" w:eastAsia="Times New Roman" w:hAnsi="Times New Roman"/>
          <w:sz w:val="20"/>
          <w:szCs w:val="20"/>
          <w:color w:val="auto"/>
        </w:rPr>
        <w:t>”)), the Plan must not permit any trades to occur until the later of (a) 90 days following adoption or modification of the Plan or (2) two business days following the disclosure of the Company’s financial results in a Form 10-Q or Form 10-K for the fiscal quarter in which the Plan was adopted or modified (but, in any event, this required cooling-off period is subject to a maximum of 120 days after adoption of the Plan).</w:t>
      </w:r>
    </w:p>
    <w:p>
      <w:pPr>
        <w:sectPr>
          <w:pgSz w:w="11900" w:h="16838" w:orient="portrait"/>
          <w:cols w:equalWidth="0" w:num="1">
            <w:col w:w="11240"/>
          </w:cols>
          <w:pgMar w:left="320" w:top="1409" w:right="339" w:bottom="1440" w:gutter="0" w:footer="0" w:header="0"/>
        </w:sectPr>
      </w:pPr>
    </w:p>
    <w:bookmarkStart w:id="151" w:name="page152"/>
    <w:bookmarkEnd w:id="151"/>
    <w:p>
      <w:pPr>
        <w:ind w:left="968" w:right="120" w:hanging="320"/>
        <w:spacing w:after="0" w:line="283" w:lineRule="auto"/>
        <w:tabs>
          <w:tab w:leader="none" w:pos="96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Insider is not a Section 16 Person (but is also not the Company), the Plan must not permit any trades to occur until the expiration of a cooling-off period of 30 days after the adoption or modification of such Plan.</w:t>
      </w:r>
    </w:p>
    <w:p>
      <w:pPr>
        <w:spacing w:after="0" w:line="173" w:lineRule="exact"/>
        <w:rPr>
          <w:rFonts w:ascii="Times New Roman" w:cs="Times New Roman" w:eastAsia="Times New Roman" w:hAnsi="Times New Roman"/>
          <w:sz w:val="20"/>
          <w:szCs w:val="20"/>
          <w:color w:val="auto"/>
        </w:rPr>
      </w:pPr>
    </w:p>
    <w:p>
      <w:pPr>
        <w:ind w:left="328" w:right="20" w:hanging="328"/>
        <w:spacing w:after="0" w:line="258" w:lineRule="auto"/>
        <w:tabs>
          <w:tab w:leader="none" w:pos="32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Multiple Plans</w:t>
      </w:r>
      <w:r>
        <w:rPr>
          <w:rFonts w:ascii="Times New Roman" w:cs="Times New Roman" w:eastAsia="Times New Roman" w:hAnsi="Times New Roman"/>
          <w:sz w:val="20"/>
          <w:szCs w:val="20"/>
          <w:color w:val="auto"/>
        </w:rPr>
        <w:t>. Pursuant to the Rule, a person may only rely on the affirmative defense for a single-trade plan once during any consecutive 12-month period. A single-trade plan is a Plan designed to effect the purchase or sale of the total amount of the securities subject to the plan as a single transaction. Further, only one Plan may be in effect at any time, unless one of three exemptions is met, which are:</w:t>
      </w:r>
    </w:p>
    <w:p>
      <w:pPr>
        <w:spacing w:after="0" w:line="212" w:lineRule="exact"/>
        <w:rPr>
          <w:rFonts w:ascii="Times New Roman" w:cs="Times New Roman" w:eastAsia="Times New Roman" w:hAnsi="Times New Roman"/>
          <w:sz w:val="20"/>
          <w:szCs w:val="20"/>
          <w:color w:val="auto"/>
        </w:rPr>
      </w:pPr>
    </w:p>
    <w:p>
      <w:pPr>
        <w:ind w:left="968" w:right="140" w:hanging="320"/>
        <w:spacing w:after="0" w:line="269" w:lineRule="auto"/>
        <w:tabs>
          <w:tab w:leader="none" w:pos="957"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enter into more than one Plan with different broker-dealers or other agents and treat the Plans as a single Plan so long as, when taken as a whole, the “plan” complies with all of the rule’s requirements;</w:t>
      </w:r>
    </w:p>
    <w:p>
      <w:pPr>
        <w:spacing w:after="0" w:line="199" w:lineRule="exact"/>
        <w:rPr>
          <w:rFonts w:ascii="Times New Roman" w:cs="Times New Roman" w:eastAsia="Times New Roman" w:hAnsi="Times New Roman"/>
          <w:sz w:val="20"/>
          <w:szCs w:val="20"/>
          <w:color w:val="auto"/>
        </w:rPr>
      </w:pPr>
    </w:p>
    <w:p>
      <w:pPr>
        <w:ind w:left="968" w:right="220" w:hanging="320"/>
        <w:spacing w:after="0" w:line="258" w:lineRule="auto"/>
        <w:tabs>
          <w:tab w:leader="none" w:pos="968"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and</w:t>
      </w:r>
    </w:p>
    <w:p>
      <w:pPr>
        <w:spacing w:after="0" w:line="199" w:lineRule="exact"/>
        <w:rPr>
          <w:rFonts w:ascii="Times New Roman" w:cs="Times New Roman" w:eastAsia="Times New Roman" w:hAnsi="Times New Roman"/>
          <w:sz w:val="20"/>
          <w:szCs w:val="20"/>
          <w:color w:val="auto"/>
        </w:rPr>
      </w:pPr>
    </w:p>
    <w:p>
      <w:pPr>
        <w:ind w:left="968" w:right="520" w:hanging="320"/>
        <w:spacing w:after="0" w:line="310" w:lineRule="auto"/>
        <w:tabs>
          <w:tab w:leader="none" w:pos="957"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may have an additional Plan set up solely to sell securities as necessary to satisfy tax-withholding obligations arising exclusively from the vesting of a compensatory award, otherwise known as “sell-to-cover” transactions.</w:t>
      </w:r>
    </w:p>
    <w:p>
      <w:pPr>
        <w:spacing w:after="0" w:line="151" w:lineRule="exact"/>
        <w:rPr>
          <w:rFonts w:ascii="Times New Roman" w:cs="Times New Roman" w:eastAsia="Times New Roman" w:hAnsi="Times New Roman"/>
          <w:sz w:val="19"/>
          <w:szCs w:val="19"/>
          <w:color w:val="auto"/>
        </w:rPr>
      </w:pPr>
    </w:p>
    <w:p>
      <w:pPr>
        <w:ind w:left="328" w:right="60" w:hanging="328"/>
        <w:spacing w:after="0" w:line="268" w:lineRule="auto"/>
        <w:tabs>
          <w:tab w:leader="none" w:pos="32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Trades Outside of the Plan</w:t>
      </w:r>
      <w:r>
        <w:rPr>
          <w:rFonts w:ascii="Times New Roman" w:cs="Times New Roman" w:eastAsia="Times New Roman" w:hAnsi="Times New Roman"/>
          <w:sz w:val="20"/>
          <w:szCs w:val="20"/>
          <w:color w:val="auto"/>
        </w:rPr>
        <w:t>. Once a Plan is established, Insiders may transact in securities that are not subject to the currently existing Plan. Such transactions continue to require pre-clearance and be subject to the Company’s Policy. Under no circumstances will opposite-way open market transactions be permitted.</w:t>
      </w:r>
    </w:p>
    <w:p>
      <w:pPr>
        <w:spacing w:after="0" w:line="188" w:lineRule="exact"/>
        <w:rPr>
          <w:rFonts w:ascii="Times New Roman" w:cs="Times New Roman" w:eastAsia="Times New Roman" w:hAnsi="Times New Roman"/>
          <w:sz w:val="20"/>
          <w:szCs w:val="20"/>
          <w:color w:val="auto"/>
        </w:rPr>
      </w:pPr>
    </w:p>
    <w:p>
      <w:pPr>
        <w:ind w:left="328" w:right="60" w:hanging="328"/>
        <w:spacing w:after="0" w:line="254" w:lineRule="auto"/>
        <w:tabs>
          <w:tab w:leader="none" w:pos="32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Certification</w:t>
      </w:r>
      <w:r>
        <w:rPr>
          <w:rFonts w:ascii="Times New Roman" w:cs="Times New Roman" w:eastAsia="Times New Roman" w:hAnsi="Times New Roman"/>
          <w:sz w:val="20"/>
          <w:szCs w:val="20"/>
          <w:color w:val="auto"/>
        </w:rPr>
        <w:t>. When entering into a Plan, an Insider must certify that at the time of adoption of the Plan that the Insider: (1) is not aware of any material, non-public information; and (2) is adopting the Plan in good faith and not as part of a plan or scheme to evade the prohibitions of the Rule.</w:t>
      </w:r>
    </w:p>
    <w:p>
      <w:pPr>
        <w:ind w:left="328" w:hanging="328"/>
        <w:spacing w:after="0" w:line="250" w:lineRule="auto"/>
        <w:tabs>
          <w:tab w:leader="none" w:pos="32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Modifications</w:t>
      </w:r>
      <w:r>
        <w:rPr>
          <w:rFonts w:ascii="Times New Roman" w:cs="Times New Roman" w:eastAsia="Times New Roman" w:hAnsi="Times New Roman"/>
          <w:sz w:val="20"/>
          <w:szCs w:val="20"/>
          <w:color w:val="auto"/>
        </w:rPr>
        <w:t>. Unless otherwise approved in advance by the Company’s General Counsel or his/her designee, Plan modifications are prohibited. As provided in the Rule, any modification or change to the amount, price, or timing of the purchase or sale of the securities underlying a Plan is a termination of such Plan and the adoption of a new Plan. In addition, a Plan modification, such as the substitution or removal of a broker that is executing trades pursuant to a Rule 10b5-1 arrangement on behalf of the person, that changes the price or date on which purchases or sales are to be executed, is a termination of such Plan and the adoption of a new Plan.</w:t>
      </w:r>
    </w:p>
    <w:p>
      <w:pPr>
        <w:spacing w:after="0" w:line="207" w:lineRule="exact"/>
        <w:rPr>
          <w:rFonts w:ascii="Times New Roman" w:cs="Times New Roman" w:eastAsia="Times New Roman" w:hAnsi="Times New Roman"/>
          <w:sz w:val="20"/>
          <w:szCs w:val="20"/>
          <w:color w:val="auto"/>
        </w:rPr>
      </w:pPr>
    </w:p>
    <w:p>
      <w:pPr>
        <w:ind w:left="328" w:right="20" w:hanging="328"/>
        <w:spacing w:after="0" w:line="253" w:lineRule="auto"/>
        <w:tabs>
          <w:tab w:leader="none" w:pos="32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Early Terminations</w:t>
      </w:r>
      <w:r>
        <w:rPr>
          <w:rFonts w:ascii="Times New Roman" w:cs="Times New Roman" w:eastAsia="Times New Roman" w:hAnsi="Times New Roman"/>
          <w:sz w:val="20"/>
          <w:szCs w:val="20"/>
          <w:color w:val="auto"/>
        </w:rPr>
        <w:t>. The early termination of a Plan could affect the availability of the Rule’s affirmative defense for prior Plan transactions if it calls into question whether the Plan was entered into in good faith and not as part of a plan to avoid the insider trading rules. Because of this risk, early terminations are strongly discouraged. In the event an Insider determines to terminate a Plan early, every effort should be taken to terminate the Plan during an open window. Early termination of a Plan during a quiet (or blackout) period requires extenuating circumstances and is subject to pre-clearance. In the event an Insider early terminates his or her Plan, such Insider (i) will be subject to the cooling off period for the subsequent Plan, as noted above in</w:t>
      </w:r>
    </w:p>
    <w:p>
      <w:pPr>
        <w:sectPr>
          <w:pgSz w:w="11900" w:h="16838" w:orient="portrait"/>
          <w:cols w:equalWidth="0" w:num="1">
            <w:col w:w="10908"/>
          </w:cols>
          <w:pgMar w:left="652" w:top="1413" w:right="339" w:bottom="1440" w:gutter="0" w:footer="0" w:header="0"/>
        </w:sectPr>
      </w:pPr>
    </w:p>
    <w:bookmarkStart w:id="152" w:name="page153"/>
    <w:bookmarkEnd w:id="152"/>
    <w:p>
      <w:pPr>
        <w:ind w:left="328" w:right="160"/>
        <w:spacing w:after="0" w:line="283" w:lineRule="auto"/>
        <w:rPr>
          <w:sz w:val="20"/>
          <w:szCs w:val="20"/>
          <w:color w:val="auto"/>
        </w:rPr>
      </w:pPr>
      <w:r>
        <w:rPr>
          <w:rFonts w:ascii="Times New Roman" w:cs="Times New Roman" w:eastAsia="Times New Roman" w:hAnsi="Times New Roman"/>
          <w:sz w:val="20"/>
          <w:szCs w:val="20"/>
          <w:color w:val="auto"/>
        </w:rPr>
        <w:t>Section 4, or with respect to overlapping Plans, that starts when the first Plan is terminated as set forth in Section 5, and (ii) may be subject to other restrictions at the sole discretion of the Company’s General Counsel.</w:t>
      </w:r>
    </w:p>
    <w:p>
      <w:pPr>
        <w:spacing w:after="0" w:line="173" w:lineRule="exact"/>
        <w:rPr>
          <w:sz w:val="20"/>
          <w:szCs w:val="20"/>
          <w:color w:val="auto"/>
        </w:rPr>
      </w:pPr>
    </w:p>
    <w:p>
      <w:pPr>
        <w:ind w:left="328" w:right="60" w:hanging="328"/>
        <w:spacing w:after="0" w:line="261" w:lineRule="auto"/>
        <w:tabs>
          <w:tab w:leader="none" w:pos="31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 and Broker Reporting</w:t>
      </w:r>
      <w:r>
        <w:rPr>
          <w:rFonts w:ascii="Times New Roman" w:cs="Times New Roman" w:eastAsia="Times New Roman" w:hAnsi="Times New Roman"/>
          <w:sz w:val="20"/>
          <w:szCs w:val="20"/>
          <w:color w:val="auto"/>
        </w:rPr>
        <w:t>. Each Plan must require the broker counterparty to promptly report to the Company’s designated representative the details of every transaction executed under a Plan, but in any event, such detail shall be provided no later than one business day after the execution date.</w:t>
      </w:r>
    </w:p>
    <w:p>
      <w:pPr>
        <w:spacing w:after="0" w:line="208" w:lineRule="exact"/>
        <w:rPr>
          <w:rFonts w:ascii="Times New Roman" w:cs="Times New Roman" w:eastAsia="Times New Roman" w:hAnsi="Times New Roman"/>
          <w:sz w:val="20"/>
          <w:szCs w:val="20"/>
          <w:color w:val="auto"/>
        </w:rPr>
      </w:pPr>
    </w:p>
    <w:p>
      <w:pPr>
        <w:ind w:left="328" w:hanging="328"/>
        <w:spacing w:after="0" w:line="253" w:lineRule="auto"/>
        <w:tabs>
          <w:tab w:leader="none" w:pos="31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Disclosure of Plan Transactions</w:t>
      </w:r>
      <w:r>
        <w:rPr>
          <w:rFonts w:ascii="Times New Roman" w:cs="Times New Roman" w:eastAsia="Times New Roman" w:hAnsi="Times New Roman"/>
          <w:sz w:val="20"/>
          <w:szCs w:val="20"/>
          <w:color w:val="auto"/>
        </w:rPr>
        <w:t>. Transactions executed pursuant to a Plan will be indicated as such on the Insider’s Form 4. In addition, beginning with the first periodic filing that covers the Company’s first full fiscal period that begins on or after April 1, 2023 (i.e., the Form 10-Q for the fiscal quarter ended June 30, 2023), the Company will be required to disclose in its periodic reports (i.e., 10-Qs and 10-Ks) the adoption or termination of a Plan by any Section 16 Person during the last completed quarter, including a description of the material terms of such a Plan, other than terms with respect to price.</w:t>
      </w:r>
    </w:p>
    <w:p>
      <w:pPr>
        <w:spacing w:after="0" w:line="218" w:lineRule="exact"/>
        <w:rPr>
          <w:rFonts w:ascii="Times New Roman" w:cs="Times New Roman" w:eastAsia="Times New Roman" w:hAnsi="Times New Roman"/>
          <w:sz w:val="20"/>
          <w:szCs w:val="20"/>
          <w:color w:val="auto"/>
        </w:rPr>
      </w:pPr>
    </w:p>
    <w:p>
      <w:pPr>
        <w:ind w:left="328" w:right="20" w:hanging="328"/>
        <w:spacing w:after="0" w:line="261" w:lineRule="auto"/>
        <w:tabs>
          <w:tab w:leader="none" w:pos="31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A Plan does not relieve Insiders from their obligations to comply with the requirements of applicable securities laws. You will need to coordinate with your broker and the Company to ensure that all of these requirements are satisfied and that all required notices and reports are timely and accurately filed.</w:t>
      </w:r>
    </w:p>
    <w:p>
      <w:pPr>
        <w:sectPr>
          <w:pgSz w:w="11900" w:h="16838" w:orient="portrait"/>
          <w:cols w:equalWidth="0" w:num="1">
            <w:col w:w="10868"/>
          </w:cols>
          <w:pgMar w:left="652" w:top="1413" w:right="37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List of Subsidiaries of The Vita Coco Company,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As of December 31,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w w:val="98"/>
              </w:rPr>
              <w:t>Jurisdiction of Incorporation or Organization</w:t>
            </w:r>
          </w:p>
        </w:tc>
      </w:tr>
      <w:tr>
        <w:trPr>
          <w:trHeight w:val="20"/>
        </w:trPr>
        <w:tc>
          <w:tcPr>
            <w:tcW w:w="10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323"/>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Europe Limited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Consumer SL</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Spain</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France SAS</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France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Coco Cafe, Inc.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Delaware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Singapore Pte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Singapore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Coco Community Pte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Singapore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AMI Runa Ecuador LLC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Delaware LLC, domiciled in Ecuador</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Japan, LLC (GK)</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Japan</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Korea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South Korea</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APAC Limited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Hong Kong</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Mexico, S. DE R.L. DE C.V.</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Mexico</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Canada Inc.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Canada</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AMI Runa U.S. LLC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Delaware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Consumer Coconuts Products Germany GmbH</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Germany</w:t>
            </w:r>
          </w:p>
        </w:tc>
      </w:tr>
    </w:tbl>
    <w:p>
      <w:pPr>
        <w:sectPr>
          <w:pgSz w:w="11900" w:h="16838" w:orient="portrait"/>
          <w:cols w:equalWidth="0" w:num="1">
            <w:col w:w="11220"/>
          </w:cols>
          <w:pgMar w:left="340" w:top="1422" w:right="3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 333-260419 on Form S-8 and Registration Statement No. 333-271583 on Form S-3 of our reports dated February 26, 2025, relating to the financial statements of The Vita Coco Company, Inc. and the effectiveness of The Vita Coco Company, Inc.'s internal control over financial reporting appearing in this Annual Report on Form 10-K for the year ended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26, 2025</w:t>
      </w:r>
    </w:p>
    <w:p>
      <w:pPr>
        <w:sectPr>
          <w:pgSz w:w="11900" w:h="16838" w:orient="portrait"/>
          <w:cols w:equalWidth="0" w:num="1">
            <w:col w:w="11140"/>
          </w:cols>
          <w:pgMar w:left="320" w:top="1394"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Pursuant to Section 302 of Sarbanes-Oxley Act of 2002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Martin Roper, certify that:</w:t>
      </w:r>
    </w:p>
    <w:p>
      <w:pPr>
        <w:spacing w:after="0" w:line="162"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The Vita Coco Company, Inc. (the "registrant");</w:t>
      </w:r>
    </w:p>
    <w:p>
      <w:pPr>
        <w:spacing w:after="0" w:line="269" w:lineRule="exact"/>
        <w:rPr>
          <w:rFonts w:ascii="Times New Roman" w:cs="Times New Roman" w:eastAsia="Times New Roman" w:hAnsi="Times New Roman"/>
          <w:sz w:val="20"/>
          <w:szCs w:val="20"/>
          <w:color w:val="auto"/>
        </w:rPr>
      </w:pPr>
    </w:p>
    <w:p>
      <w:pPr>
        <w:ind w:left="660" w:right="20" w:hanging="328"/>
        <w:spacing w:after="0" w:line="268" w:lineRule="auto"/>
        <w:tabs>
          <w:tab w:leader="none" w:pos="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660" w:hanging="328"/>
        <w:spacing w:after="0" w:line="275" w:lineRule="auto"/>
        <w:tabs>
          <w:tab w:leader="none" w:pos="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ind w:left="660" w:right="120" w:hanging="328"/>
        <w:spacing w:after="0" w:line="275" w:lineRule="auto"/>
        <w:tabs>
          <w:tab w:leader="none" w:pos="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980" w:right="120" w:hanging="324"/>
        <w:spacing w:after="0" w:line="268" w:lineRule="auto"/>
        <w:tabs>
          <w:tab w:leader="none" w:pos="97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Times New Roman" w:cs="Times New Roman" w:eastAsia="Times New Roman" w:hAnsi="Times New Roman"/>
          <w:sz w:val="20"/>
          <w:szCs w:val="20"/>
          <w:color w:val="auto"/>
        </w:rPr>
      </w:pPr>
    </w:p>
    <w:p>
      <w:pPr>
        <w:ind w:left="980" w:right="280" w:hanging="324"/>
        <w:spacing w:after="0" w:line="268" w:lineRule="auto"/>
        <w:tabs>
          <w:tab w:leader="none" w:pos="968"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Times New Roman" w:cs="Times New Roman" w:eastAsia="Times New Roman" w:hAnsi="Times New Roman"/>
          <w:sz w:val="20"/>
          <w:szCs w:val="20"/>
          <w:color w:val="auto"/>
        </w:rPr>
      </w:pPr>
    </w:p>
    <w:p>
      <w:pPr>
        <w:ind w:left="980" w:right="20" w:hanging="324"/>
        <w:spacing w:after="0" w:line="268" w:lineRule="auto"/>
        <w:tabs>
          <w:tab w:leader="none" w:pos="97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20"/>
          <w:szCs w:val="20"/>
          <w:color w:val="auto"/>
        </w:rPr>
      </w:pPr>
    </w:p>
    <w:p>
      <w:pPr>
        <w:ind w:left="980" w:hanging="324"/>
        <w:spacing w:after="0" w:line="268" w:lineRule="auto"/>
        <w:tabs>
          <w:tab w:leader="none" w:pos="968"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75" w:lineRule="auto"/>
        <w:tabs>
          <w:tab w:leader="none" w:pos="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422" w:right="359" w:bottom="1440" w:gutter="0" w:footer="0" w:header="0"/>
        </w:sectPr>
      </w:pPr>
    </w:p>
    <w:bookmarkStart w:id="156" w:name="page157"/>
    <w:bookmarkEnd w:id="156"/>
    <w:p>
      <w:pPr>
        <w:ind w:left="960" w:hanging="324"/>
        <w:spacing w:after="0" w:line="275" w:lineRule="auto"/>
        <w:tabs>
          <w:tab w:leader="none" w:pos="95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20"/>
          <w:szCs w:val="20"/>
          <w:color w:val="auto"/>
        </w:rPr>
      </w:pPr>
    </w:p>
    <w:p>
      <w:pPr>
        <w:ind w:left="960" w:right="20" w:hanging="324"/>
        <w:spacing w:after="0" w:line="297" w:lineRule="auto"/>
        <w:tabs>
          <w:tab w:leader="none" w:pos="94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20"/>
          <w:szCs w:val="20"/>
          <w:color w:val="auto"/>
        </w:rPr>
        <w:t>Date: February 26, 2025</w:t>
      </w:r>
      <w:r>
        <w:rPr>
          <w:sz w:val="20"/>
          <w:szCs w:val="20"/>
          <w:color w:val="auto"/>
        </w:rPr>
        <w:tab/>
      </w:r>
      <w:r>
        <w:rPr>
          <w:rFonts w:ascii="Times New Roman" w:cs="Times New Roman" w:eastAsia="Times New Roman" w:hAnsi="Times New Roman"/>
          <w:sz w:val="19"/>
          <w:szCs w:val="19"/>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Chief Executive Officer</w:t>
      </w:r>
    </w:p>
    <w:p>
      <w:pPr>
        <w:ind w:left="674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080"/>
          </w:cols>
          <w:pgMar w:left="340" w:top="1426"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Pursuant to Section 302 of Sarbanes-Oxley Act of 2002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Corey Baker, certify that:</w:t>
      </w:r>
    </w:p>
    <w:p>
      <w:pPr>
        <w:spacing w:after="0" w:line="270"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The Vita Coco Company, Inc. (the "registrant");</w:t>
      </w:r>
    </w:p>
    <w:p>
      <w:pPr>
        <w:spacing w:after="0" w:line="256" w:lineRule="exact"/>
        <w:rPr>
          <w:rFonts w:ascii="Times New Roman" w:cs="Times New Roman" w:eastAsia="Times New Roman" w:hAnsi="Times New Roman"/>
          <w:sz w:val="20"/>
          <w:szCs w:val="20"/>
          <w:color w:val="auto"/>
        </w:rPr>
      </w:pPr>
    </w:p>
    <w:p>
      <w:pPr>
        <w:ind w:left="660" w:right="20" w:hanging="328"/>
        <w:spacing w:after="0" w:line="275"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Times New Roman" w:cs="Times New Roman" w:eastAsia="Times New Roman" w:hAnsi="Times New Roman"/>
          <w:sz w:val="20"/>
          <w:szCs w:val="20"/>
          <w:color w:val="auto"/>
        </w:rPr>
      </w:pPr>
    </w:p>
    <w:p>
      <w:pPr>
        <w:ind w:left="660" w:right="120" w:hanging="328"/>
        <w:spacing w:after="0" w:line="275"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Times New Roman" w:cs="Times New Roman" w:eastAsia="Times New Roman" w:hAnsi="Times New Roman"/>
          <w:sz w:val="20"/>
          <w:szCs w:val="20"/>
          <w:color w:val="auto"/>
        </w:rPr>
      </w:pPr>
    </w:p>
    <w:p>
      <w:pPr>
        <w:ind w:left="980" w:right="120" w:hanging="324"/>
        <w:spacing w:after="0" w:line="278" w:lineRule="auto"/>
        <w:tabs>
          <w:tab w:leader="none" w:pos="97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0"/>
          <w:szCs w:val="20"/>
          <w:color w:val="auto"/>
        </w:rPr>
      </w:pPr>
    </w:p>
    <w:p>
      <w:pPr>
        <w:ind w:left="980" w:right="280" w:hanging="324"/>
        <w:spacing w:after="0" w:line="275" w:lineRule="auto"/>
        <w:tabs>
          <w:tab w:leader="none" w:pos="96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Times New Roman" w:cs="Times New Roman" w:eastAsia="Times New Roman" w:hAnsi="Times New Roman"/>
          <w:sz w:val="20"/>
          <w:szCs w:val="20"/>
          <w:color w:val="auto"/>
        </w:rPr>
      </w:pPr>
    </w:p>
    <w:p>
      <w:pPr>
        <w:ind w:left="980" w:right="20" w:hanging="324"/>
        <w:spacing w:after="0" w:line="275" w:lineRule="auto"/>
        <w:tabs>
          <w:tab w:leader="none" w:pos="97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ind w:left="980" w:hanging="324"/>
        <w:spacing w:after="0" w:line="275" w:lineRule="auto"/>
        <w:tabs>
          <w:tab w:leader="none" w:pos="96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Times New Roman" w:cs="Times New Roman" w:eastAsia="Times New Roman" w:hAnsi="Times New Roman"/>
          <w:sz w:val="20"/>
          <w:szCs w:val="20"/>
          <w:color w:val="auto"/>
        </w:rPr>
      </w:pPr>
    </w:p>
    <w:p>
      <w:pPr>
        <w:ind w:left="660" w:right="240" w:hanging="328"/>
        <w:spacing w:after="0" w:line="275"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422" w:right="359" w:bottom="1440" w:gutter="0" w:footer="0" w:header="0"/>
        </w:sectPr>
      </w:pPr>
    </w:p>
    <w:bookmarkStart w:id="158" w:name="page159"/>
    <w:bookmarkEnd w:id="158"/>
    <w:p>
      <w:pPr>
        <w:ind w:left="960" w:hanging="324"/>
        <w:spacing w:after="0" w:line="275" w:lineRule="auto"/>
        <w:tabs>
          <w:tab w:leader="none" w:pos="95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20"/>
          <w:szCs w:val="20"/>
          <w:color w:val="auto"/>
        </w:rPr>
      </w:pPr>
    </w:p>
    <w:p>
      <w:pPr>
        <w:ind w:left="960" w:right="20" w:hanging="324"/>
        <w:spacing w:after="0" w:line="297" w:lineRule="auto"/>
        <w:tabs>
          <w:tab w:leader="none" w:pos="94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20"/>
          <w:szCs w:val="20"/>
          <w:color w:val="auto"/>
        </w:rPr>
        <w:t>Date: February 26, 2025</w:t>
      </w:r>
      <w:r>
        <w:rPr>
          <w:sz w:val="20"/>
          <w:szCs w:val="20"/>
          <w:color w:val="auto"/>
        </w:rPr>
        <w:tab/>
      </w:r>
      <w:r>
        <w:rPr>
          <w:rFonts w:ascii="Times New Roman" w:cs="Times New Roman" w:eastAsia="Times New Roman" w:hAnsi="Times New Roman"/>
          <w:sz w:val="19"/>
          <w:szCs w:val="19"/>
          <w:color w:val="auto"/>
        </w:rPr>
        <w:t>By: /s/ 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Corey Baker</w:t>
      </w:r>
    </w:p>
    <w:p>
      <w:pPr>
        <w:spacing w:after="0" w:line="4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1900" w:h="16838" w:orient="portrait"/>
          <w:cols w:equalWidth="0" w:num="1">
            <w:col w:w="11080"/>
          </w:cols>
          <w:pgMar w:left="340" w:top="1426" w:right="4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66" w:lineRule="exact"/>
        <w:rPr>
          <w:sz w:val="20"/>
          <w:szCs w:val="20"/>
          <w:color w:val="auto"/>
        </w:rPr>
      </w:pPr>
    </w:p>
    <w:p>
      <w:pPr>
        <w:jc w:val="both"/>
        <w:ind w:right="420" w:firstLine="648"/>
        <w:spacing w:after="0" w:line="296" w:lineRule="auto"/>
        <w:rPr>
          <w:sz w:val="20"/>
          <w:szCs w:val="20"/>
          <w:color w:val="auto"/>
        </w:rPr>
      </w:pPr>
      <w:r>
        <w:rPr>
          <w:rFonts w:ascii="Times New Roman" w:cs="Times New Roman" w:eastAsia="Times New Roman" w:hAnsi="Times New Roman"/>
          <w:sz w:val="19"/>
          <w:szCs w:val="19"/>
          <w:color w:val="auto"/>
        </w:rPr>
        <w:t>In connection with the Annual Report on Form 10-K of The Vita Coco Company, Inc. (the “Company”) for the period ended December 31, 2024 as filed with the Securities and Exchange Commission on the date hereof (the “Report”), I, Martin Roper, certify, pursuant to 18 U.S.C. § 1350, as adopted pursuant to § 906 of the Sarbanes-Oxley Act of 2002, that, to the best of my knowledge:</w:t>
      </w:r>
    </w:p>
    <w:p>
      <w:pPr>
        <w:spacing w:after="0" w:line="83" w:lineRule="exact"/>
        <w:rPr>
          <w:sz w:val="20"/>
          <w:szCs w:val="20"/>
          <w:color w:val="auto"/>
        </w:rPr>
      </w:pPr>
    </w:p>
    <w:p>
      <w:pPr>
        <w:ind w:left="360" w:hanging="312"/>
        <w:spacing w:after="0"/>
        <w:tabs>
          <w:tab w:leader="none" w:pos="3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56" w:lineRule="exact"/>
        <w:rPr>
          <w:rFonts w:ascii="Times New Roman" w:cs="Times New Roman" w:eastAsia="Times New Roman" w:hAnsi="Times New Roman"/>
          <w:sz w:val="20"/>
          <w:szCs w:val="20"/>
          <w:color w:val="auto"/>
        </w:rPr>
      </w:pPr>
    </w:p>
    <w:p>
      <w:pPr>
        <w:ind w:left="380" w:hanging="332"/>
        <w:spacing w:after="0" w:line="283" w:lineRule="auto"/>
        <w:tabs>
          <w:tab w:leader="none" w:pos="36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20"/>
          <w:szCs w:val="20"/>
          <w:color w:val="auto"/>
        </w:rPr>
        <w:t>Date: February 26, 2025</w:t>
      </w:r>
      <w:r>
        <w:rPr>
          <w:sz w:val="20"/>
          <w:szCs w:val="20"/>
          <w:color w:val="auto"/>
        </w:rPr>
        <w:tab/>
      </w:r>
      <w:r>
        <w:rPr>
          <w:rFonts w:ascii="Times New Roman" w:cs="Times New Roman" w:eastAsia="Times New Roman" w:hAnsi="Times New Roman"/>
          <w:sz w:val="19"/>
          <w:szCs w:val="19"/>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0980"/>
          </w:cols>
          <w:pgMar w:left="320" w:top="1422" w:right="5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66" w:lineRule="exact"/>
        <w:rPr>
          <w:sz w:val="20"/>
          <w:szCs w:val="20"/>
          <w:color w:val="auto"/>
        </w:rPr>
      </w:pPr>
    </w:p>
    <w:p>
      <w:pPr>
        <w:ind w:left="20"/>
        <w:spacing w:after="0" w:line="275" w:lineRule="auto"/>
        <w:rPr>
          <w:sz w:val="20"/>
          <w:szCs w:val="20"/>
          <w:color w:val="auto"/>
        </w:rPr>
      </w:pPr>
      <w:r>
        <w:rPr>
          <w:rFonts w:ascii="Times New Roman" w:cs="Times New Roman" w:eastAsia="Times New Roman" w:hAnsi="Times New Roman"/>
          <w:sz w:val="19"/>
          <w:szCs w:val="19"/>
          <w:color w:val="auto"/>
        </w:rPr>
        <w:t>In connection with the Annual Report on Form 10-K of The Vita Coco Company, Inc. (the “Company”) for the period ended December 31, 2024 as filed with the Securities and Exchange Commission on the date hereof (the “Report”), I, Corey Baker, certify, pursuant to 18 U.S.C.</w:t>
      </w:r>
    </w:p>
    <w:p>
      <w:pPr>
        <w:spacing w:after="0" w:line="1" w:lineRule="exact"/>
        <w:rPr>
          <w:sz w:val="20"/>
          <w:szCs w:val="20"/>
          <w:color w:val="auto"/>
        </w:rPr>
      </w:pPr>
    </w:p>
    <w:p>
      <w:pPr>
        <w:ind w:left="160" w:hanging="146"/>
        <w:spacing w:after="0"/>
        <w:tabs>
          <w:tab w:leader="none" w:pos="1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1350, as adopted pursuant to § 906 of the Sarbanes-Oxley Act of 2002, that, to the best of my knowledge;</w:t>
      </w:r>
    </w:p>
    <w:p>
      <w:pPr>
        <w:spacing w:after="0" w:line="254" w:lineRule="exact"/>
        <w:rPr>
          <w:rFonts w:ascii="Times New Roman" w:cs="Times New Roman" w:eastAsia="Times New Roman" w:hAnsi="Times New Roman"/>
          <w:sz w:val="20"/>
          <w:szCs w:val="20"/>
          <w:color w:val="auto"/>
        </w:rPr>
      </w:pPr>
    </w:p>
    <w:p>
      <w:pPr>
        <w:ind w:left="360" w:hanging="312"/>
        <w:spacing w:after="0"/>
        <w:tabs>
          <w:tab w:leader="none" w:pos="3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56" w:lineRule="exact"/>
        <w:rPr>
          <w:rFonts w:ascii="Times New Roman" w:cs="Times New Roman" w:eastAsia="Times New Roman" w:hAnsi="Times New Roman"/>
          <w:sz w:val="20"/>
          <w:szCs w:val="20"/>
          <w:color w:val="auto"/>
        </w:rPr>
      </w:pPr>
    </w:p>
    <w:p>
      <w:pPr>
        <w:ind w:left="380" w:right="120" w:hanging="332"/>
        <w:spacing w:after="0" w:line="297" w:lineRule="auto"/>
        <w:tabs>
          <w:tab w:leader="none" w:pos="368"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20"/>
          <w:szCs w:val="20"/>
          <w:color w:val="auto"/>
        </w:rPr>
        <w:t>Date: February 26, 2025</w:t>
      </w:r>
      <w:r>
        <w:rPr>
          <w:sz w:val="20"/>
          <w:szCs w:val="20"/>
          <w:color w:val="auto"/>
        </w:rPr>
        <w:tab/>
      </w:r>
      <w:r>
        <w:rPr>
          <w:rFonts w:ascii="Times New Roman" w:cs="Times New Roman" w:eastAsia="Times New Roman" w:hAnsi="Times New Roman"/>
          <w:sz w:val="19"/>
          <w:szCs w:val="19"/>
          <w:color w:val="auto"/>
        </w:rPr>
        <w:t>By: /s/ 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Corey Baker</w:t>
      </w:r>
    </w:p>
    <w:p>
      <w:pPr>
        <w:spacing w:after="0" w:line="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1900" w:h="16838" w:orient="portrait"/>
          <w:cols w:equalWidth="0" w:num="1">
            <w:col w:w="11100"/>
          </w:cols>
          <w:pgMar w:left="320" w:top="1422"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December 1, 2023)</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Vita Coco Company, Inc., a Delaware public benefit corporation (together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required to prepare an Accounting Restatement (as defined below), then the Company will recover reasonably promptly the amount of Erroneously Awarded Compensation (as defined below) Received (as defined below) by any current or former Executive Officer (as defined below) during the Recovery Period (as defined below).</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will not be required to enforce this policy if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determines that (i) recovery would be impracticable, as determined by the Committee, and (ii) one of the conditions of (A), (B), or (C) are satisfied:</w:t>
      </w:r>
    </w:p>
    <w:p>
      <w:pPr>
        <w:spacing w:after="0" w:line="207" w:lineRule="exact"/>
        <w:rPr>
          <w:sz w:val="20"/>
          <w:szCs w:val="20"/>
          <w:color w:val="auto"/>
        </w:rPr>
      </w:pPr>
    </w:p>
    <w:p>
      <w:pPr>
        <w:jc w:val="both"/>
        <w:ind w:left="660" w:hanging="328"/>
        <w:spacing w:after="0" w:line="250" w:lineRule="auto"/>
        <w:tabs>
          <w:tab w:leader="none" w:pos="6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this policy would exceed the amount to be recovered;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before concluding that it would be impracticable to recover any amount of Erroneously Awarded Compensation based expense of enforcement, document such reasonable attempt(s) to recover, and provide that documentation to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Recovery would violate home country law where that law was adopted prior to November 28,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w:t>
      </w:r>
    </w:p>
    <w:p>
      <w:pPr>
        <w:spacing w:after="0" w:line="207" w:lineRule="exact"/>
        <w:rPr>
          <w:rFonts w:ascii="Times New Roman" w:cs="Times New Roman" w:eastAsia="Times New Roman" w:hAnsi="Times New Roman"/>
          <w:sz w:val="18"/>
          <w:szCs w:val="18"/>
          <w:color w:val="auto"/>
        </w:rPr>
      </w:pPr>
    </w:p>
    <w:p>
      <w:pPr>
        <w:ind w:left="660" w:hanging="328"/>
        <w:spacing w:after="0" w:line="266" w:lineRule="auto"/>
        <w:tabs>
          <w:tab w:leader="none" w:pos="6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the Company’s employees, to fail to meet the requirements of the Internal Revenue Code of 1986, as amended.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prohibited from indemnifying any current or former Executive Officer against the loss of any Erroneously Awarded Compensation or paying or reimbursing such Executive Officers for insurance premiums to recover losses incurred under this policy.</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policy is intended to comply with Rule 5608 of the Nasdaq Listing Rules (the “</w:t>
      </w:r>
      <w:r>
        <w:rPr>
          <w:rFonts w:ascii="Times New Roman" w:cs="Times New Roman" w:eastAsia="Times New Roman" w:hAnsi="Times New Roman"/>
          <w:sz w:val="18"/>
          <w:szCs w:val="18"/>
          <w:b w:val="1"/>
          <w:bCs w:val="1"/>
          <w:i w:val="1"/>
          <w:iCs w:val="1"/>
          <w:color w:val="auto"/>
        </w:rPr>
        <w:t>Nasdaq Rules</w:t>
      </w:r>
      <w:r>
        <w:rPr>
          <w:rFonts w:ascii="Times New Roman" w:cs="Times New Roman" w:eastAsia="Times New Roman" w:hAnsi="Times New Roman"/>
          <w:sz w:val="18"/>
          <w:szCs w:val="18"/>
          <w:color w:val="auto"/>
        </w:rPr>
        <w:t>”), as required by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promulgated thereunder. The Committee shall have express discretionary authority to interpret and administer this policy and to make all determinations with respect to this policy in its sole discretion which shall be final and binding on all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policy:</w:t>
      </w:r>
    </w:p>
    <w:p>
      <w:pPr>
        <w:spacing w:after="0" w:line="235" w:lineRule="exact"/>
        <w:rPr>
          <w:sz w:val="20"/>
          <w:szCs w:val="20"/>
          <w:color w:val="auto"/>
        </w:rPr>
      </w:pPr>
    </w:p>
    <w:p>
      <w:pPr>
        <w:jc w:val="both"/>
        <w:ind w:left="660" w:hanging="328"/>
        <w:spacing w:after="0" w:line="24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triggered by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4"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has the meaning of the term “officer” as set forth in Exchange Act Rule 16a-1(f), i.e.,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issuers. Executive officers of the Company parent(s) or subsidiaries are deemed executive officers of the Company if they perform such policy making functions. Identification of an Executive Officer for purposes of this policy and Nasdaq Rule 5608(d) would include at a minimum executive officers identified pursuant to 17 CFR 229.401(b).</w:t>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25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by an Executive Officer that exceeds the amount of Incentive-Based Compensation that otherwise would have been Received had it been determined based on the restated amounts, which amount must be computed without regard to any taxes paid.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spacing w:after="0" w:line="190"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any Financial Reporting Measure.</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with respect to Incentive-Based Compensation means the fiscal period during which the Financial Reporting Measure specified in the Incentive-Based Compensation award is attained, even if the payment or grant of the Incentive-Based Compensation occurs after the end of that period.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means the three (3) completed fiscal years immediately preceding the date that the Company is required to prepare an Accounting Restatement, which date 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these last three (3) completed fiscal years, the Recovery Period also applies to any transition period (that results from a change in the Company’s fiscal year) within or immediately following those three (3) completed fiscal years. However, a transition period between the last day of the Company’s previous fiscal year end and the first day of its new fiscal year that comprises a period of nine (9) to twelve (12) months would be deemed a completed fiscal year.</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Approved by the Board of Directors on June 15,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1)"/>
      <w:numFmt w:val="lowerLetter"/>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2"/>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1)"/>
      <w:numFmt w:val="lowerRoman"/>
      <w:start w:val="2"/>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1."/>
      <w:numFmt w:val="decimal"/>
      <w:start w:val="6"/>
    </w:lvl>
  </w:abstractNum>
  <w:abstractNum w:abstractNumId="26">
    <w:nsid w:val="2F305DEF"/>
    <w:multiLevelType w:val="hybridMultilevel"/>
    <w:lvl w:ilvl="0">
      <w:lvlJc w:val="left"/>
      <w:lvlText w:val="%1."/>
      <w:numFmt w:val="decimal"/>
      <w:start w:val="8"/>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1."/>
      <w:numFmt w:val="upperLetter"/>
      <w:start w:val="9"/>
    </w:lvl>
    <w:lvl w:ilvl="1">
      <w:lvlJc w:val="left"/>
      <w:lvlText w:val="%2."/>
      <w:numFmt w:val="upperLetter"/>
      <w:start w:val="1"/>
    </w:lvl>
  </w:abstractNum>
  <w:abstractNum w:abstractNumId="35">
    <w:nsid w:val="15014ACB"/>
    <w:multiLevelType w:val="hybridMultilevel"/>
    <w:lvl w:ilvl="0">
      <w:lvlJc w:val="left"/>
      <w:lvlText w:val="%1."/>
      <w:numFmt w:val="upperLetter"/>
      <w:start w:val="35"/>
    </w:lvl>
    <w:lvl w:ilvl="1">
      <w:lvlJc w:val="left"/>
      <w:lvlText w:val="%2."/>
      <w:numFmt w:val="upperLetter"/>
      <w:start w:val="1"/>
    </w:lvl>
  </w:abstractNum>
  <w:abstractNum w:abstractNumId="36">
    <w:nsid w:val="5F5E7FD0"/>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37">
    <w:nsid w:val="98A3148"/>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38">
    <w:nsid w:val="799D0247"/>
    <w:multiLevelType w:val="hybridMultilevel"/>
    <w:lvl w:ilvl="0">
      <w:lvlJc w:val="left"/>
      <w:lvlText w:val="%1"/>
      <w:numFmt w:val="upperLetter"/>
      <w:start w:val="1"/>
    </w:lvl>
    <w:lvl w:ilvl="1">
      <w:lvlJc w:val="left"/>
      <w:lvlText w:val="%2."/>
      <w:numFmt w:val="decimal"/>
      <w:start w:val="5"/>
    </w:lvl>
  </w:abstractNum>
  <w:abstractNum w:abstractNumId="39">
    <w:nsid w:val="6B94764"/>
    <w:multiLevelType w:val="hybridMultilevel"/>
    <w:lvl w:ilvl="0">
      <w:lvlJc w:val="left"/>
      <w:lvlText w:val="%1."/>
      <w:numFmt w:val="upperLetter"/>
      <w:start w:val="5"/>
    </w:lvl>
    <w:lvl w:ilvl="1">
      <w:lvlJc w:val="left"/>
      <w:lvlText w:val="%2"/>
      <w:numFmt w:val="decimal"/>
      <w:start w:val="1"/>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1."/>
      <w:numFmt w:val="lowerLetter"/>
      <w:start w:val="1"/>
    </w:lvl>
  </w:abstractNum>
  <w:abstractNum w:abstractNumId="43">
    <w:nsid w:val="661E3F1E"/>
    <w:multiLevelType w:val="hybridMultilevel"/>
    <w:lvl w:ilvl="0">
      <w:lvlJc w:val="left"/>
      <w:lvlText w:val="(%1)"/>
      <w:numFmt w:val="lowerLetter"/>
      <w:start w:val="1"/>
    </w:lvl>
  </w:abstractNum>
  <w:abstractNum w:abstractNumId="44">
    <w:nsid w:val="5DC79EA8"/>
    <w:multiLevelType w:val="hybridMultilevel"/>
    <w:lvl w:ilvl="0">
      <w:lvlJc w:val="left"/>
      <w:lvlText w:val="(%1)"/>
      <w:numFmt w:val="decimal"/>
      <w:start w:val="2"/>
    </w:lvl>
  </w:abstractNum>
  <w:abstractNum w:abstractNumId="45">
    <w:nsid w:val="540A471C"/>
    <w:multiLevelType w:val="hybridMultilevel"/>
    <w:lvl w:ilvl="0">
      <w:lvlJc w:val="left"/>
      <w:lvlText w:val="(%1)"/>
      <w:numFmt w:val="lowerLetter"/>
      <w:start w:val="1"/>
    </w:lvl>
  </w:abstractNum>
  <w:abstractNum w:abstractNumId="46">
    <w:nsid w:val="7BD3EE7B"/>
    <w:multiLevelType w:val="hybridMultilevel"/>
    <w:lvl w:ilvl="0">
      <w:lvlJc w:val="left"/>
      <w:lvlText w:val="(%1)"/>
      <w:numFmt w:val="lowerLetter"/>
      <w:start w:val="2"/>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1)"/>
      <w:numFmt w:val="lowerLetter"/>
      <w:start w:val="1"/>
    </w:lvl>
    <w:lvl w:ilvl="1">
      <w:lvlJc w:val="left"/>
      <w:lvlText w:val="%2."/>
      <w:numFmt w:val="lowerRoman"/>
      <w:start w:val="1"/>
    </w:lvl>
  </w:abstractNum>
  <w:abstractNum w:abstractNumId="49">
    <w:nsid w:val="BF72B14"/>
    <w:multiLevelType w:val="hybridMultilevel"/>
    <w:lvl w:ilvl="0">
      <w:lvlJc w:val="left"/>
      <w:lvlText w:val="%1"/>
      <w:numFmt w:val="lowerLetter"/>
      <w:start w:val="1"/>
    </w:lvl>
    <w:lvl w:ilvl="1">
      <w:lvlJc w:val="left"/>
      <w:lvlText w:val="%2."/>
      <w:numFmt w:val="lowerRoman"/>
      <w:start w:val="5"/>
    </w:lvl>
  </w:abstractNum>
  <w:abstractNum w:abstractNumId="50">
    <w:nsid w:val="11447B73"/>
    <w:multiLevelType w:val="hybridMultilevel"/>
    <w:lvl w:ilvl="0">
      <w:lvlJc w:val="left"/>
      <w:lvlText w:val="(%1)"/>
      <w:numFmt w:val="lowerLetter"/>
      <w:start w:val="3"/>
    </w:lvl>
    <w:lvl w:ilvl="1">
      <w:lvlJc w:val="left"/>
      <w:lvlText w:val="%2"/>
      <w:numFmt w:val="lowerRoman"/>
      <w:start w:val="1"/>
    </w:lvl>
  </w:abstractNum>
  <w:abstractNum w:abstractNumId="51">
    <w:nsid w:val="42963E5A"/>
    <w:multiLevelType w:val="hybridMultilevel"/>
    <w:lvl w:ilvl="0">
      <w:lvlJc w:val="left"/>
      <w:lvlText w:val="(%1)"/>
      <w:numFmt w:val="lowerLetter"/>
      <w:start w:val="1"/>
    </w:lvl>
  </w:abstractNum>
  <w:abstractNum w:abstractNumId="52">
    <w:nsid w:val="A0382C5"/>
    <w:multiLevelType w:val="hybridMultilevel"/>
    <w:lvl w:ilvl="0">
      <w:lvlJc w:val="left"/>
      <w:lvlText w:val="(%1)"/>
      <w:numFmt w:val="lowerLetter"/>
      <w:start w:val="1"/>
    </w:lvl>
  </w:abstractNum>
  <w:abstractNum w:abstractNumId="53">
    <w:nsid w:val="8F2B15E"/>
    <w:multiLevelType w:val="hybridMultilevel"/>
    <w:lvl w:ilvl="0">
      <w:lvlJc w:val="left"/>
      <w:lvlText w:val="(%1)"/>
      <w:numFmt w:val="lowerLetter"/>
      <w:start w:val="3"/>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lowerLetter"/>
      <w:start w:val="1"/>
    </w:lvl>
    <w:lvl w:ilvl="1">
      <w:lvlJc w:val="left"/>
      <w:lvlText w:val="(%2)"/>
      <w:numFmt w:val="lowerLetter"/>
      <w:start w:val="3"/>
    </w:lvl>
  </w:abstractNum>
  <w:abstractNum w:abstractNumId="57">
    <w:nsid w:val="4962813B"/>
    <w:multiLevelType w:val="hybridMultilevel"/>
    <w:lvl w:ilvl="0">
      <w:lvlJc w:val="left"/>
      <w:lvlText w:val="(%1)"/>
      <w:numFmt w:val="lowerLetter"/>
      <w:start w:val="2"/>
    </w:lvl>
    <w:lvl w:ilvl="1">
      <w:lvlJc w:val="left"/>
      <w:lvlText w:val="%2"/>
      <w:numFmt w:val="lowerLetter"/>
      <w:start w:val="1"/>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Roman"/>
      <w:start w:val="2"/>
    </w:lvl>
  </w:abstractNum>
  <w:abstractNum w:abstractNumId="60">
    <w:nsid w:val="14330624"/>
    <w:multiLevelType w:val="hybridMultilevel"/>
    <w:lvl w:ilvl="0">
      <w:lvlJc w:val="left"/>
      <w:lvlText w:val="(%1)"/>
      <w:numFmt w:val="lowerRoman"/>
      <w:start w:val="4"/>
    </w:lvl>
  </w:abstractNum>
  <w:abstractNum w:abstractNumId="61">
    <w:nsid w:val="7FFFCA11"/>
    <w:multiLevelType w:val="hybridMultilevel"/>
    <w:lvl w:ilvl="0">
      <w:lvlJc w:val="left"/>
      <w:lvlText w:val="(%1)"/>
      <w:numFmt w:val="lowerRoman"/>
      <w:start w:val="2"/>
    </w:lvl>
  </w:abstractNum>
  <w:abstractNum w:abstractNumId="62">
    <w:nsid w:val="1A27709E"/>
    <w:multiLevelType w:val="hybridMultilevel"/>
    <w:lvl w:ilvl="0">
      <w:lvlJc w:val="left"/>
      <w:lvlText w:val="(%1)"/>
      <w:numFmt w:val="lowerLetter"/>
      <w:start w:val="7"/>
    </w:lvl>
  </w:abstractNum>
  <w:abstractNum w:abstractNumId="63">
    <w:nsid w:val="71EA1109"/>
    <w:multiLevelType w:val="hybridMultilevel"/>
    <w:lvl w:ilvl="0">
      <w:lvlJc w:val="left"/>
      <w:lvlText w:val="(%1)"/>
      <w:numFmt w:val="lowerLetter"/>
      <w:start w:val="3"/>
    </w:lvl>
  </w:abstractNum>
  <w:abstractNum w:abstractNumId="64">
    <w:nsid w:val="100F59DC"/>
    <w:multiLevelType w:val="hybridMultilevel"/>
    <w:lvl w:ilvl="0">
      <w:lvlJc w:val="left"/>
      <w:lvlText w:val="(%1)"/>
      <w:numFmt w:val="lowerRoman"/>
      <w:start w:val="2"/>
    </w:lvl>
  </w:abstractNum>
  <w:abstractNum w:abstractNumId="65">
    <w:nsid w:val="7FB7E0AA"/>
    <w:multiLevelType w:val="hybridMultilevel"/>
    <w:lvl w:ilvl="0">
      <w:lvlJc w:val="left"/>
      <w:lvlText w:val="(%1)"/>
      <w:numFmt w:val="lowerLetter"/>
      <w:start w:val="1"/>
    </w:lvl>
  </w:abstractNum>
  <w:abstractNum w:abstractNumId="66">
    <w:nsid w:val="6EB5BD4"/>
    <w:multiLevelType w:val="hybridMultilevel"/>
    <w:lvl w:ilvl="0">
      <w:lvlJc w:val="left"/>
      <w:lvlText w:val="%1"/>
      <w:numFmt w:val="decimal"/>
      <w:start w:val="1"/>
    </w:lvl>
    <w:lvl w:ilvl="1">
      <w:lvlJc w:val="left"/>
      <w:lvlText w:val="(%2)"/>
      <w:numFmt w:val="lowerLetter"/>
      <w:start w:val="5"/>
    </w:lvl>
  </w:abstractNum>
  <w:abstractNum w:abstractNumId="67">
    <w:nsid w:val="6F6DD9AC"/>
    <w:multiLevelType w:val="hybridMultilevel"/>
    <w:lvl w:ilvl="0">
      <w:lvlJc w:val="left"/>
      <w:lvlText w:val="(%1)"/>
      <w:numFmt w:val="decimal"/>
      <w:start w:val="30"/>
    </w:lvl>
    <w:lvl w:ilvl="1">
      <w:lvlJc w:val="left"/>
      <w:lvlText w:val="(%2)"/>
      <w:numFmt w:val="lowerLetter"/>
      <w:start w:val="8"/>
    </w:lvl>
  </w:abstractNum>
  <w:abstractNum w:abstractNumId="68">
    <w:nsid w:val="94211F2"/>
    <w:multiLevelType w:val="hybridMultilevel"/>
    <w:lvl w:ilvl="0">
      <w:lvlJc w:val="left"/>
      <w:lvlText w:val="(%1)"/>
      <w:numFmt w:val="lowerLetter"/>
      <w:start w:val="10"/>
    </w:lvl>
  </w:abstractNum>
  <w:abstractNum w:abstractNumId="69">
    <w:nsid w:val="885E1B"/>
    <w:multiLevelType w:val="hybridMultilevel"/>
    <w:lvl w:ilvl="0">
      <w:lvlJc w:val="left"/>
      <w:lvlText w:val="(%1)"/>
      <w:numFmt w:val="lowerLetter"/>
      <w:start w:val="11"/>
    </w:lvl>
  </w:abstractNum>
  <w:abstractNum w:abstractNumId="70">
    <w:nsid w:val="76272110"/>
    <w:multiLevelType w:val="hybridMultilevel"/>
    <w:lvl w:ilvl="0">
      <w:lvlJc w:val="left"/>
      <w:lvlText w:val="%1"/>
      <w:numFmt w:val="decimal"/>
      <w:start w:val="411"/>
    </w:lvl>
  </w:abstractNum>
  <w:abstractNum w:abstractNumId="71">
    <w:nsid w:val="4C04A8AF"/>
    <w:multiLevelType w:val="hybridMultilevel"/>
    <w:lvl w:ilvl="0">
      <w:lvlJc w:val="left"/>
      <w:lvlText w:val="(%1)"/>
      <w:numFmt w:val="lowerLetter"/>
      <w:start w:val="2"/>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lowerLetter"/>
      <w:start w:val="3"/>
    </w:lvl>
  </w:abstractNum>
  <w:abstractNum w:abstractNumId="74">
    <w:nsid w:val="3222E7CD"/>
    <w:multiLevelType w:val="hybridMultilevel"/>
    <w:lvl w:ilvl="0">
      <w:lvlJc w:val="left"/>
      <w:lvlText w:val="(%1)"/>
      <w:numFmt w:val="lowerLetter"/>
      <w:start w:val="7"/>
    </w:lvl>
  </w:abstractNum>
  <w:abstractNum w:abstractNumId="75">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68EBC550"/>
    <w:multiLevelType w:val="hybridMultilevel"/>
    <w:lvl w:ilvl="0">
      <w:lvlJc w:val="left"/>
      <w:lvlText w:val="%1."/>
      <w:numFmt w:val="decimal"/>
      <w:start w:val="2"/>
    </w:lvl>
    <w:lvl w:ilvl="1">
      <w:lvlJc w:val="left"/>
      <w:lvlText w:val="%2."/>
      <w:numFmt w:val="lowerLetter"/>
      <w:start w:val="1"/>
    </w:lvl>
  </w:abstractNum>
  <w:abstractNum w:abstractNumId="77">
    <w:nsid w:val="2DF6D648"/>
    <w:multiLevelType w:val="hybridMultilevel"/>
    <w:lvl w:ilvl="0">
      <w:lvlJc w:val="left"/>
      <w:lvlText w:val="%1."/>
      <w:numFmt w:val="lowerLetter"/>
      <w:start w:val="3"/>
    </w:lvl>
  </w:abstractNum>
  <w:abstractNum w:abstractNumId="78">
    <w:nsid w:val="46B7D447"/>
    <w:multiLevelType w:val="hybridMultilevel"/>
    <w:lvl w:ilvl="0">
      <w:lvlJc w:val="left"/>
      <w:lvlText w:val="%1"/>
      <w:numFmt w:val="upperLetter"/>
      <w:start w:val="1"/>
    </w:lvl>
    <w:lvl w:ilvl="1">
      <w:lvlJc w:val="left"/>
      <w:lvlText w:val="•"/>
      <w:numFmt w:val="bullet"/>
      <w:start w:val="1"/>
    </w:lvl>
  </w:abstractNum>
  <w:abstractNum w:abstractNumId="79">
    <w:nsid w:val="4A2AC315"/>
    <w:multiLevelType w:val="hybridMultilevel"/>
    <w:lvl w:ilvl="0">
      <w:lvlJc w:val="left"/>
      <w:lvlText w:val="%1."/>
      <w:numFmt w:val="upperLetter"/>
      <w:start w:val="35"/>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1."/>
      <w:numFmt w:val="upperLetter"/>
      <w:start w:val="6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1."/>
      <w:numFmt w:val="upperLetter"/>
      <w:start w:val="7"/>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1."/>
      <w:numFmt w:val="upperLetter"/>
      <w:start w:val="5"/>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1."/>
      <w:numFmt w:val="decimal"/>
      <w:start w:val="1"/>
    </w:lvl>
    <w:lvl w:ilvl="1">
      <w:lvlJc w:val="left"/>
      <w:lvlText w:val="%2"/>
      <w:numFmt w:val="lowerLetter"/>
      <w:start w:val="1"/>
    </w:lvl>
  </w:abstractNum>
  <w:abstractNum w:abstractNumId="91">
    <w:nsid w:val="488AC1A"/>
    <w:multiLevelType w:val="hybridMultilevel"/>
    <w:lvl w:ilvl="0">
      <w:lvlJc w:val="left"/>
      <w:lvlText w:val="%1"/>
      <w:numFmt w:val="decimal"/>
      <w:start w:val="1"/>
    </w:lvl>
    <w:lvl w:ilvl="1">
      <w:lvlJc w:val="left"/>
      <w:lvlText w:val="%2."/>
      <w:numFmt w:val="lowerLetter"/>
      <w:start w:val="2"/>
    </w:lvl>
  </w:abstractNum>
  <w:abstractNum w:abstractNumId="92">
    <w:nsid w:val="5FB8011C"/>
    <w:multiLevelType w:val="hybridMultilevel"/>
    <w:lvl w:ilvl="0">
      <w:lvlJc w:val="left"/>
      <w:lvlText w:val="%1."/>
      <w:numFmt w:val="decimal"/>
      <w:start w:val="5"/>
    </w:lvl>
    <w:lvl w:ilvl="1">
      <w:lvlJc w:val="left"/>
      <w:lvlText w:val="%2."/>
      <w:numFmt w:val="lowerLetter"/>
      <w:start w:val="1"/>
    </w:lvl>
  </w:abstractNum>
  <w:abstractNum w:abstractNumId="93">
    <w:nsid w:val="6AA78F7F"/>
    <w:multiLevelType w:val="hybridMultilevel"/>
    <w:lvl w:ilvl="0">
      <w:lvlJc w:val="left"/>
      <w:lvlText w:val="%1."/>
      <w:numFmt w:val="decimal"/>
      <w:start w:val="10"/>
    </w:lvl>
  </w:abstractNum>
  <w:abstractNum w:abstractNumId="94">
    <w:nsid w:val="7672BD23"/>
    <w:multiLevelType w:val="hybridMultilevel"/>
    <w:lvl w:ilvl="0">
      <w:lvlJc w:val="left"/>
      <w:lvlText w:val="%1."/>
      <w:numFmt w:val="decimal"/>
      <w:start w:val="1"/>
    </w:lvl>
    <w:lvl w:ilvl="1">
      <w:lvlJc w:val="left"/>
      <w:lvlText w:val="(%2)"/>
      <w:numFmt w:val="lowerLetter"/>
      <w:start w:val="1"/>
    </w:lvl>
  </w:abstractNum>
  <w:abstractNum w:abstractNumId="95">
    <w:nsid w:val="6FC75AF8"/>
    <w:multiLevelType w:val="hybridMultilevel"/>
    <w:lvl w:ilvl="0">
      <w:lvlJc w:val="left"/>
      <w:lvlText w:val="(%1)"/>
      <w:numFmt w:val="lowerLetter"/>
      <w:start w:val="1"/>
    </w:lvl>
  </w:abstractNum>
  <w:abstractNum w:abstractNumId="96">
    <w:nsid w:val="6A5F7029"/>
    <w:multiLevelType w:val="hybridMultilevel"/>
    <w:lvl w:ilvl="0">
      <w:lvlJc w:val="left"/>
      <w:lvlText w:val="%1."/>
      <w:numFmt w:val="decimal"/>
      <w:start w:val="1"/>
    </w:lvl>
    <w:lvl w:ilvl="1">
      <w:lvlJc w:val="left"/>
      <w:lvlText w:val="(%2)"/>
      <w:numFmt w:val="lowerLetter"/>
      <w:start w:val="1"/>
    </w:lvl>
  </w:abstractNum>
  <w:abstractNum w:abstractNumId="97">
    <w:nsid w:val="7D5E18F8"/>
    <w:multiLevelType w:val="hybridMultilevel"/>
    <w:lvl w:ilvl="0">
      <w:lvlJc w:val="left"/>
      <w:lvlText w:val="(%1)"/>
      <w:numFmt w:val="lowerLetter"/>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
      <w:numFmt w:val="bullet"/>
      <w:start w:val="1"/>
    </w:lvl>
    <w:lvl w:ilvl="1">
      <w:lvlJc w:val="left"/>
      <w:lvlText w:val="(%2)"/>
      <w:numFmt w:val="decimal"/>
      <w:start w:val="1"/>
    </w:lvl>
  </w:abstractNum>
  <w:abstractNum w:abstractNumId="100">
    <w:nsid w:val="7DE67713"/>
    <w:multiLevelType w:val="hybridMultilevel"/>
    <w:lvl w:ilvl="0">
      <w:lvlJc w:val="left"/>
      <w:lvlText w:val="%1."/>
      <w:numFmt w:val="upperLetter"/>
      <w:start w:val="1"/>
    </w:lvl>
  </w:abstractNum>
  <w:abstractNum w:abstractNumId="101">
    <w:nsid w:val="555C55B5"/>
    <w:multiLevelType w:val="hybridMultilevel"/>
    <w:lvl w:ilvl="0">
      <w:lvlJc w:val="left"/>
      <w:lvlText w:val="•"/>
      <w:numFmt w:val="bullet"/>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3"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jpe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jpe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157" Type="http://schemas.openxmlformats.org/officeDocument/2006/relationships/hyperlink" Target="https://www.sec.gov/Archives/edgar/data/0001482981/000119312521306737/d222890dex31.htm" TargetMode="External"/><Relationship Id="rId158" Type="http://schemas.openxmlformats.org/officeDocument/2006/relationships/hyperlink" Target="https://www.sec.gov/Archives/edgar/data/0001482981/000119312521306737/d222890dex32.htm" TargetMode="External"/><Relationship Id="rId159" Type="http://schemas.openxmlformats.org/officeDocument/2006/relationships/hyperlink" Target="https://www.sec.gov/Archives/edgar/data/0001482981/000119312521284306/d197386dex41.htm" TargetMode="External"/><Relationship Id="rId160" Type="http://schemas.openxmlformats.org/officeDocument/2006/relationships/hyperlink" Target="https://www.sec.gov/Archives/edgar/data/1482981/000148298123000017/exhibit42-descriptionofcap.htm" TargetMode="External"/><Relationship Id="rId161" Type="http://schemas.openxmlformats.org/officeDocument/2006/relationships/hyperlink" Target="https://www.sec.gov/Archives/edgar/data/0001482981/000119312521306737/d222890dex101.htm" TargetMode="External"/><Relationship Id="rId162" Type="http://schemas.openxmlformats.org/officeDocument/2006/relationships/hyperlink" Target="https://www.sec.gov/Archives/edgar/data/0001482981/000119312521306737/d222890dex102.htm" TargetMode="External"/><Relationship Id="rId163" Type="http://schemas.openxmlformats.org/officeDocument/2006/relationships/hyperlink" Target="https://www.sec.gov/Archives/edgar/data/1482981/000119312523132638/d497597dex44.htm" TargetMode="External"/><Relationship Id="rId164" Type="http://schemas.openxmlformats.org/officeDocument/2006/relationships/hyperlink" Target="https://www.sec.gov/Archives/edgar/data/0001482981/000119312521284306/d197386dex101.htm" TargetMode="External"/><Relationship Id="rId165" Type="http://schemas.openxmlformats.org/officeDocument/2006/relationships/hyperlink" Target="https://www.sec.gov/Archives/edgar/data/0001482981/000119312521284306/d197386dex102.htm" TargetMode="External"/><Relationship Id="rId166" Type="http://schemas.openxmlformats.org/officeDocument/2006/relationships/hyperlink" Target="https://www.sec.gov/Archives/edgar/data/1482981/000148298122000014/ex103-thirdamdtocreditag.htm" TargetMode="External"/><Relationship Id="rId167" Type="http://schemas.openxmlformats.org/officeDocument/2006/relationships/hyperlink" Target="https://www.sec.gov/Archives/edgar/data/1482981/000148298123000017/ex104-fourthamd.htm" TargetMode="External"/><Relationship Id="rId168" Type="http://schemas.openxmlformats.org/officeDocument/2006/relationships/hyperlink" Target="https://www.sec.gov/Archives/edgar/data/0001482981/000119312521296568/d197386dex103.htm" TargetMode="External"/><Relationship Id="rId169" Type="http://schemas.openxmlformats.org/officeDocument/2006/relationships/hyperlink" Target="https://www.sec.gov/Archives/edgar/data/1482981/000148298122000014/exhibit-105x2021equityin.htm" TargetMode="External"/><Relationship Id="rId170" Type="http://schemas.openxmlformats.org/officeDocument/2006/relationships/hyperlink" Target="https://www.sec.gov/Archives/edgar/data/0001482981/000119312521296568/d197386dex105.htm" TargetMode="External"/><Relationship Id="rId171" Type="http://schemas.openxmlformats.org/officeDocument/2006/relationships/hyperlink" Target="https://www.sec.gov/Archives/edgar/data/1482981/000148298122000014/exhibit107-vitacocoxformop.htm" TargetMode="External"/><Relationship Id="rId172" Type="http://schemas.openxmlformats.org/officeDocument/2006/relationships/hyperlink" Target="https://www.sec.gov/Archives/edgar/data/1482981/000148298122000014/exhibit108-vitacocoxformrs.htm" TargetMode="External"/><Relationship Id="rId174" Type="http://schemas.openxmlformats.org/officeDocument/2006/relationships/hyperlink" Target="https://www.sec.gov/Archives/edgar/data/0001482981/000119312521332611/d260163dex105.htm" TargetMode="External"/><Relationship Id="rId175" Type="http://schemas.openxmlformats.org/officeDocument/2006/relationships/hyperlink" Target="https://www.sec.gov/Archives/edgar/data/1482981/000148298122000074/coco20220930-10qexx101.htm" TargetMode="External"/><Relationship Id="rId176" Type="http://schemas.openxmlformats.org/officeDocument/2006/relationships/hyperlink" Target="https://www.sec.gov/Archives/edgar/data/1482981/000148298124000014/exhibit-secondamendmenttoe.htm" TargetMode="External"/><Relationship Id="rId177" Type="http://schemas.openxmlformats.org/officeDocument/2006/relationships/hyperlink" Target="https://www.sec.gov/Archives/edgar/data/0001482981/000119312521332611/d260163dex106.htm" TargetMode="External"/><Relationship Id="rId178" Type="http://schemas.openxmlformats.org/officeDocument/2006/relationships/hyperlink" Target="https://www.sec.gov/Archives/edgar/data/0001482981/000119312521296568/d197386dex107.htm" TargetMode="External"/><Relationship Id="rId179" Type="http://schemas.openxmlformats.org/officeDocument/2006/relationships/hyperlink" Target="https://www.sec.gov/Archives/edgar/data/0001482981/000119312521284306/d197386dex1010.htm" TargetMode="External"/><Relationship Id="rId180" Type="http://schemas.openxmlformats.org/officeDocument/2006/relationships/hyperlink" Target="https://www.sec.gov/Archives/edgar/data/0001482981/000119312521284306/d197386dex1012.htm" TargetMode="External"/><Relationship Id="rId181" Type="http://schemas.openxmlformats.org/officeDocument/2006/relationships/hyperlink" Target="https://www.sec.gov/Archives/edgar/data/0001482981/000119312521284306/d197386dex1013.htm" TargetMode="External"/><Relationship Id="rId182" Type="http://schemas.openxmlformats.org/officeDocument/2006/relationships/hyperlink" Target="https://www.sec.gov/Archives/edgar/data/1482981/000148298123000049/exhibits101-bakeremploymen.htm" TargetMode="External"/><Relationship Id="rId183" Type="http://schemas.openxmlformats.org/officeDocument/2006/relationships/hyperlink" Target="https://www.sec.gov/Archives/edgar/data/0001482981/000119312521284306/d197386dex1014.htm" TargetMode="External"/><Relationship Id="rId184" Type="http://schemas.openxmlformats.org/officeDocument/2006/relationships/hyperlink" Target="https://www.sec.gov/Archives/edgar/data/0001482981/000119312521284306/d197386dex1015.htm" TargetMode="External"/><Relationship Id="rId185" Type="http://schemas.openxmlformats.org/officeDocument/2006/relationships/hyperlink" Target="https://www.sec.gov/Archives/edgar/data/0001482981/000148298124000064/coco20240331-ex102xcentury.htm" TargetMode="External"/><Relationship Id="rId186" Type="http://schemas.openxmlformats.org/officeDocument/2006/relationships/hyperlink" Target="https://www.sec.gov/Archives/edgar/data/0001482981/000148298124000102/coco20240630-ex102axelum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2025-02-26T08:14:50Z</dcterms:created>
  <dcterms:modified xsi:type="dcterms:W3CDTF">2025-02-26T08:14:50Z</dcterms:modified>
</cp:coreProperties>
</file>