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4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8"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380" w:right="360" w:hanging="354"/>
        <w:spacing w:after="0" w:line="269"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420" w:right="300" w:hanging="394"/>
        <w:spacing w:after="0" w:line="256" w:lineRule="auto"/>
        <w:tabs>
          <w:tab w:leader="none" w:pos="4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93"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001-40950</w:t>
      </w:r>
    </w:p>
    <w:p>
      <w:pPr>
        <w:spacing w:after="0" w:line="169"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Vita Coco Company,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48" w:lineRule="exact"/>
        <w:rPr>
          <w:sz w:val="24"/>
          <w:szCs w:val="24"/>
          <w:color w:val="auto"/>
        </w:rPr>
      </w:pPr>
    </w:p>
    <w:tbl>
      <w:tblPr>
        <w:tblLayout w:type="fixed"/>
        <w:tblInd w:w="1600" w:type="dxa"/>
        <w:tblCellMar>
          <w:top w:w="0" w:type="dxa"/>
          <w:left w:w="0" w:type="dxa"/>
          <w:bottom w:w="0" w:type="dxa"/>
          <w:right w:w="0" w:type="dxa"/>
        </w:tblCellMar>
      </w:tblPr>
      <w:tr>
        <w:trPr>
          <w:trHeight w:val="234"/>
        </w:trPr>
        <w:tc>
          <w:tcPr>
            <w:tcW w:w="6180" w:type="dxa"/>
            <w:vAlign w:val="bottom"/>
          </w:tcPr>
          <w:p>
            <w:pPr>
              <w:jc w:val="center"/>
              <w:ind w:right="3715"/>
              <w:spacing w:after="0"/>
              <w:rPr>
                <w:sz w:val="20"/>
                <w:szCs w:val="20"/>
                <w:color w:val="auto"/>
              </w:rPr>
            </w:pPr>
            <w:r>
              <w:rPr>
                <w:rFonts w:ascii="Arial" w:cs="Arial" w:eastAsia="Arial" w:hAnsi="Arial"/>
                <w:sz w:val="18"/>
                <w:szCs w:val="18"/>
                <w:b w:val="1"/>
                <w:bCs w:val="1"/>
                <w:color w:val="auto"/>
                <w:w w:val="93"/>
              </w:rPr>
              <w:t>Delaware</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11-3713156</w:t>
            </w:r>
          </w:p>
        </w:tc>
      </w:tr>
      <w:tr>
        <w:trPr>
          <w:trHeight w:val="180"/>
        </w:trPr>
        <w:tc>
          <w:tcPr>
            <w:tcW w:w="6180" w:type="dxa"/>
            <w:vAlign w:val="bottom"/>
          </w:tcPr>
          <w:p>
            <w:pPr>
              <w:jc w:val="center"/>
              <w:ind w:right="3715"/>
              <w:spacing w:after="0"/>
              <w:rPr>
                <w:sz w:val="20"/>
                <w:szCs w:val="20"/>
                <w:color w:val="auto"/>
              </w:rPr>
            </w:pPr>
            <w:r>
              <w:rPr>
                <w:rFonts w:ascii="Arial" w:cs="Arial" w:eastAsia="Arial" w:hAnsi="Arial"/>
                <w:sz w:val="14"/>
                <w:szCs w:val="14"/>
                <w:b w:val="1"/>
                <w:bCs w:val="1"/>
                <w:color w:val="auto"/>
                <w:w w:val="92"/>
              </w:rPr>
              <w:t>(State or other jurisdiction of</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tcPr>
          <w:p>
            <w:pPr>
              <w:jc w:val="center"/>
              <w:ind w:right="3715"/>
              <w:spacing w:after="0"/>
              <w:rPr>
                <w:sz w:val="20"/>
                <w:szCs w:val="20"/>
                <w:color w:val="auto"/>
              </w:rPr>
            </w:pPr>
            <w:r>
              <w:rPr>
                <w:rFonts w:ascii="Arial" w:cs="Arial" w:eastAsia="Arial" w:hAnsi="Arial"/>
                <w:sz w:val="14"/>
                <w:szCs w:val="14"/>
                <w:b w:val="1"/>
                <w:bCs w:val="1"/>
                <w:color w:val="auto"/>
                <w:w w:val="93"/>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6180" w:type="dxa"/>
            <w:vAlign w:val="bottom"/>
          </w:tcPr>
          <w:p>
            <w:pPr>
              <w:jc w:val="center"/>
              <w:ind w:right="3735"/>
              <w:spacing w:after="0"/>
              <w:rPr>
                <w:sz w:val="20"/>
                <w:szCs w:val="20"/>
                <w:color w:val="auto"/>
              </w:rPr>
            </w:pPr>
            <w:r>
              <w:rPr>
                <w:rFonts w:ascii="Arial" w:cs="Arial" w:eastAsia="Arial" w:hAnsi="Arial"/>
                <w:sz w:val="18"/>
                <w:szCs w:val="18"/>
                <w:b w:val="1"/>
                <w:bCs w:val="1"/>
                <w:color w:val="auto"/>
                <w:w w:val="89"/>
              </w:rPr>
              <w:t>250 Park Avenue South</w:t>
            </w:r>
          </w:p>
        </w:tc>
        <w:tc>
          <w:tcPr>
            <w:tcW w:w="1240" w:type="dxa"/>
            <w:vAlign w:val="bottom"/>
          </w:tcPr>
          <w:p>
            <w:pPr>
              <w:spacing w:after="0"/>
              <w:rPr>
                <w:sz w:val="24"/>
                <w:szCs w:val="24"/>
                <w:color w:val="auto"/>
              </w:rPr>
            </w:pPr>
          </w:p>
        </w:tc>
      </w:tr>
      <w:tr>
        <w:trPr>
          <w:trHeight w:val="203"/>
        </w:trPr>
        <w:tc>
          <w:tcPr>
            <w:tcW w:w="6180" w:type="dxa"/>
            <w:vAlign w:val="bottom"/>
          </w:tcPr>
          <w:p>
            <w:pPr>
              <w:jc w:val="center"/>
              <w:ind w:right="3715"/>
              <w:spacing w:after="0" w:line="202" w:lineRule="exact"/>
              <w:rPr>
                <w:sz w:val="20"/>
                <w:szCs w:val="20"/>
                <w:color w:val="auto"/>
              </w:rPr>
            </w:pPr>
            <w:r>
              <w:rPr>
                <w:rFonts w:ascii="Arial" w:cs="Arial" w:eastAsia="Arial" w:hAnsi="Arial"/>
                <w:sz w:val="18"/>
                <w:szCs w:val="18"/>
                <w:b w:val="1"/>
                <w:bCs w:val="1"/>
                <w:color w:val="auto"/>
                <w:w w:val="88"/>
              </w:rPr>
              <w:t>Seventh Floor</w:t>
            </w:r>
          </w:p>
        </w:tc>
        <w:tc>
          <w:tcPr>
            <w:tcW w:w="1240" w:type="dxa"/>
            <w:vAlign w:val="bottom"/>
          </w:tcPr>
          <w:p>
            <w:pPr>
              <w:spacing w:after="0"/>
              <w:rPr>
                <w:sz w:val="17"/>
                <w:szCs w:val="17"/>
                <w:color w:val="auto"/>
              </w:rPr>
            </w:pPr>
          </w:p>
        </w:tc>
      </w:tr>
      <w:tr>
        <w:trPr>
          <w:trHeight w:val="261"/>
        </w:trPr>
        <w:tc>
          <w:tcPr>
            <w:tcW w:w="6180" w:type="dxa"/>
            <w:vAlign w:val="bottom"/>
          </w:tcPr>
          <w:p>
            <w:pPr>
              <w:jc w:val="center"/>
              <w:ind w:right="3715"/>
              <w:spacing w:after="0"/>
              <w:rPr>
                <w:sz w:val="20"/>
                <w:szCs w:val="20"/>
                <w:color w:val="auto"/>
              </w:rPr>
            </w:pPr>
            <w:r>
              <w:rPr>
                <w:rFonts w:ascii="Arial" w:cs="Arial" w:eastAsia="Arial" w:hAnsi="Arial"/>
                <w:sz w:val="18"/>
                <w:szCs w:val="18"/>
                <w:b w:val="1"/>
                <w:bCs w:val="1"/>
                <w:color w:val="auto"/>
                <w:w w:val="93"/>
              </w:rPr>
              <w:t>New York, NY</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10003</w:t>
            </w:r>
          </w:p>
        </w:tc>
      </w:tr>
      <w:tr>
        <w:trPr>
          <w:trHeight w:val="204"/>
        </w:trPr>
        <w:tc>
          <w:tcPr>
            <w:tcW w:w="6180" w:type="dxa"/>
            <w:vAlign w:val="bottom"/>
          </w:tcPr>
          <w:p>
            <w:pPr>
              <w:jc w:val="center"/>
              <w:ind w:right="371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520"/>
        </w:trPr>
        <w:tc>
          <w:tcPr>
            <w:tcW w:w="6180" w:type="dxa"/>
            <w:vAlign w:val="bottom"/>
          </w:tcPr>
          <w:p>
            <w:pPr>
              <w:jc w:val="center"/>
              <w:ind w:left="1775"/>
              <w:spacing w:after="0"/>
              <w:rPr>
                <w:sz w:val="20"/>
                <w:szCs w:val="20"/>
                <w:color w:val="auto"/>
              </w:rPr>
            </w:pPr>
            <w:r>
              <w:rPr>
                <w:rFonts w:ascii="Arial" w:cs="Arial" w:eastAsia="Arial" w:hAnsi="Arial"/>
                <w:sz w:val="18"/>
                <w:szCs w:val="18"/>
                <w:b w:val="1"/>
                <w:bCs w:val="1"/>
                <w:color w:val="auto"/>
                <w:w w:val="90"/>
              </w:rPr>
              <w:t>(212) 206-0763</w:t>
            </w:r>
          </w:p>
        </w:tc>
        <w:tc>
          <w:tcPr>
            <w:tcW w:w="1240" w:type="dxa"/>
            <w:vAlign w:val="bottom"/>
          </w:tcPr>
          <w:p>
            <w:pPr>
              <w:spacing w:after="0"/>
              <w:rPr>
                <w:sz w:val="24"/>
                <w:szCs w:val="24"/>
                <w:color w:val="auto"/>
              </w:rPr>
            </w:pPr>
          </w:p>
        </w:tc>
      </w:tr>
      <w:tr>
        <w:trPr>
          <w:trHeight w:val="234"/>
        </w:trPr>
        <w:tc>
          <w:tcPr>
            <w:tcW w:w="6180" w:type="dxa"/>
            <w:vAlign w:val="bottom"/>
          </w:tcPr>
          <w:p>
            <w:pPr>
              <w:jc w:val="center"/>
              <w:ind w:left="1795"/>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40" w:type="dxa"/>
            <w:vAlign w:val="bottom"/>
          </w:tcPr>
          <w:p>
            <w:pPr>
              <w:spacing w:after="0"/>
              <w:rPr>
                <w:sz w:val="20"/>
                <w:szCs w:val="20"/>
                <w:color w:val="auto"/>
              </w:rPr>
            </w:pPr>
          </w:p>
        </w:tc>
      </w:tr>
      <w:tr>
        <w:trPr>
          <w:trHeight w:val="425"/>
        </w:trPr>
        <w:tc>
          <w:tcPr>
            <w:tcW w:w="6180" w:type="dxa"/>
            <w:vAlign w:val="bottom"/>
          </w:tcPr>
          <w:p>
            <w:pPr>
              <w:jc w:val="center"/>
              <w:ind w:left="1775"/>
              <w:spacing w:after="0"/>
              <w:rPr>
                <w:sz w:val="20"/>
                <w:szCs w:val="20"/>
                <w:color w:val="auto"/>
              </w:rPr>
            </w:pPr>
            <w:r>
              <w:rPr>
                <w:rFonts w:ascii="Arial" w:cs="Arial" w:eastAsia="Arial" w:hAnsi="Arial"/>
                <w:sz w:val="18"/>
                <w:szCs w:val="18"/>
                <w:b w:val="1"/>
                <w:bCs w:val="1"/>
                <w:color w:val="auto"/>
              </w:rPr>
              <w:t>N/A</w:t>
            </w:r>
          </w:p>
        </w:tc>
        <w:tc>
          <w:tcPr>
            <w:tcW w:w="124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8"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Trading</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00"/>
        </w:trPr>
        <w:tc>
          <w:tcPr>
            <w:tcW w:w="4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Symbol(s)</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COCO</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310"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4"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8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40"/>
              <w:spacing w:after="0"/>
              <w:rPr>
                <w:sz w:val="20"/>
                <w:szCs w:val="20"/>
                <w:color w:val="auto"/>
              </w:rPr>
            </w:pPr>
            <w:r>
              <w:rPr>
                <w:rFonts w:ascii="Arial" w:cs="Arial" w:eastAsia="Arial" w:hAnsi="Arial"/>
                <w:sz w:val="18"/>
                <w:szCs w:val="18"/>
                <w:color w:val="auto"/>
              </w:rPr>
              <w:t>o</w:t>
            </w:r>
          </w:p>
        </w:tc>
        <w:tc>
          <w:tcPr>
            <w:tcW w:w="5060" w:type="dxa"/>
            <w:vAlign w:val="bottom"/>
          </w:tcPr>
          <w:p>
            <w:pPr>
              <w:ind w:left="244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60"/>
              <w:spacing w:after="0"/>
              <w:rPr>
                <w:sz w:val="20"/>
                <w:szCs w:val="20"/>
                <w:color w:val="auto"/>
              </w:rPr>
            </w:pPr>
            <w:r>
              <w:rPr>
                <w:rFonts w:ascii="Arial" w:cs="Arial" w:eastAsia="Arial" w:hAnsi="Arial"/>
                <w:sz w:val="18"/>
                <w:szCs w:val="18"/>
                <w:color w:val="auto"/>
                <w:w w:val="79"/>
              </w:rPr>
              <w:t>o</w:t>
            </w:r>
          </w:p>
        </w:tc>
      </w:tr>
      <w:tr>
        <w:trPr>
          <w:trHeight w:val="256"/>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40"/>
              <w:spacing w:after="0"/>
              <w:rPr>
                <w:sz w:val="20"/>
                <w:szCs w:val="20"/>
                <w:color w:val="auto"/>
              </w:rPr>
            </w:pPr>
            <w:r>
              <w:rPr>
                <w:rFonts w:ascii="Arial" w:cs="Arial" w:eastAsia="Arial" w:hAnsi="Arial"/>
                <w:sz w:val="18"/>
                <w:szCs w:val="18"/>
                <w:color w:val="auto"/>
              </w:rPr>
              <w:t>x</w:t>
            </w:r>
          </w:p>
        </w:tc>
        <w:tc>
          <w:tcPr>
            <w:tcW w:w="5060" w:type="dxa"/>
            <w:vAlign w:val="bottom"/>
          </w:tcPr>
          <w:p>
            <w:pPr>
              <w:ind w:left="244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60"/>
              <w:spacing w:after="0"/>
              <w:rPr>
                <w:sz w:val="20"/>
                <w:szCs w:val="20"/>
                <w:color w:val="auto"/>
              </w:rPr>
            </w:pPr>
            <w:r>
              <w:rPr>
                <w:rFonts w:ascii="Arial" w:cs="Arial" w:eastAsia="Arial" w:hAnsi="Arial"/>
                <w:sz w:val="18"/>
                <w:szCs w:val="18"/>
                <w:color w:val="auto"/>
                <w:w w:val="79"/>
              </w:rPr>
              <w:t>o</w:t>
            </w:r>
          </w:p>
        </w:tc>
      </w:tr>
      <w:tr>
        <w:trPr>
          <w:trHeight w:val="257"/>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440"/>
              <w:spacing w:after="0"/>
              <w:rPr>
                <w:sz w:val="20"/>
                <w:szCs w:val="20"/>
                <w:color w:val="auto"/>
              </w:rPr>
            </w:pPr>
            <w:r>
              <w:rPr>
                <w:rFonts w:ascii="Arial" w:cs="Arial" w:eastAsia="Arial" w:hAnsi="Arial"/>
                <w:sz w:val="18"/>
                <w:szCs w:val="18"/>
                <w:color w:val="auto"/>
              </w:rPr>
              <w:t>x</w:t>
            </w:r>
          </w:p>
        </w:tc>
        <w:tc>
          <w:tcPr>
            <w:tcW w:w="50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0"/>
          <w:szCs w:val="20"/>
          <w:color w:val="auto"/>
        </w:rPr>
      </w:pPr>
    </w:p>
    <w:p>
      <w:pPr>
        <w:jc w:val="both"/>
        <w:ind w:right="2180"/>
        <w:spacing w:after="0" w:line="62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August 1, 2022, there were 55,654,048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260" w:type="dxa"/>
            <w:vAlign w:val="bottom"/>
            <w:gridSpan w:val="12"/>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140" w:type="dxa"/>
            <w:vAlign w:val="bottom"/>
            <w:tcBorders>
              <w:bottom w:val="single" w:sz="8" w:color="0000FF"/>
            </w:tcBorders>
            <w:gridSpan w:val="10"/>
            <w:vMerge w:val="continue"/>
          </w:tcPr>
          <w:p>
            <w:pPr>
              <w:spacing w:after="0"/>
              <w:rPr>
                <w:sz w:val="20"/>
                <w:szCs w:val="20"/>
                <w:color w:val="auto"/>
              </w:rPr>
            </w:pPr>
          </w:p>
        </w:tc>
        <w:tc>
          <w:tcPr>
            <w:tcW w:w="7260" w:type="dxa"/>
            <w:vAlign w:val="bottom"/>
            <w:gridSpan w:val="12"/>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Condensed Consolidated Financial Statements (unaudited)</w:t>
            </w:r>
          </w:p>
        </w:tc>
        <w:tc>
          <w:tcPr>
            <w:tcW w:w="5240" w:type="dxa"/>
            <w:vAlign w:val="bottom"/>
            <w:gridSpan w:val="9"/>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8"/>
              </w:rPr>
              <w:t>Condensed Consolidated Balance Sheets as of June 30, 2022 and December 31, 2021</w:t>
            </w:r>
          </w:p>
        </w:tc>
        <w:tc>
          <w:tcPr>
            <w:tcW w:w="3320" w:type="dxa"/>
            <w:vAlign w:val="bottom"/>
            <w:gridSpan w:val="6"/>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Operations for the three and six months ended June 30, 2022 and 2021</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88"/>
              </w:rPr>
              <w:t>Condensed Consolidated Statements of Comprehensive Income for the three and six months ended June 30, 2022 and 2021</w:t>
            </w:r>
          </w:p>
        </w:tc>
        <w:tc>
          <w:tcPr>
            <w:tcW w:w="58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Arial" w:cs="Arial" w:eastAsia="Arial" w:hAnsi="Arial"/>
                <w:sz w:val="18"/>
                <w:szCs w:val="18"/>
                <w:color w:val="0000FF"/>
                <w:w w:val="92"/>
              </w:rPr>
              <w:t>Condensed Consolidated Statements of Non-controlling Interest &amp; Stockholders’ Equity for the six months ended June 30, 2022</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4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and 2021</w:t>
            </w:r>
          </w:p>
        </w:tc>
        <w:tc>
          <w:tcPr>
            <w:tcW w:w="2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8"/>
              </w:rPr>
              <w:t>Condensed Consolidated Statements of Cash Flows for the six months ended June 30, 2022 and 2021</w:t>
            </w:r>
          </w:p>
        </w:tc>
        <w:tc>
          <w:tcPr>
            <w:tcW w:w="216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460" w:type="dxa"/>
            <w:vAlign w:val="bottom"/>
            <w:gridSpan w:val="10"/>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0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10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76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 OTHER INFORMATION</w:t>
            </w:r>
          </w:p>
        </w:tc>
        <w:tc>
          <w:tcPr>
            <w:tcW w:w="756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81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6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Defaults Upon Senior Securities</w:t>
            </w:r>
          </w:p>
        </w:tc>
        <w:tc>
          <w:tcPr>
            <w:tcW w:w="512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Mine Safety Disclosures</w:t>
            </w:r>
          </w:p>
        </w:tc>
        <w:tc>
          <w:tcPr>
            <w:tcW w:w="714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2"/>
          </w:tcPr>
          <w:p>
            <w:pPr>
              <w:spacing w:after="0"/>
              <w:rPr>
                <w:sz w:val="20"/>
                <w:szCs w:val="20"/>
                <w:color w:val="auto"/>
              </w:rPr>
            </w:pPr>
          </w:p>
        </w:tc>
        <w:tc>
          <w:tcPr>
            <w:tcW w:w="77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6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6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14"/>
          </w:tcPr>
          <w:p>
            <w:pPr>
              <w:ind w:left="462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80" w:firstLine="486"/>
        <w:spacing w:after="0" w:line="265"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plans, market growth and our objectives for future operations.</w:t>
      </w:r>
    </w:p>
    <w:p>
      <w:pPr>
        <w:spacing w:after="0" w:line="4" w:lineRule="exact"/>
        <w:rPr>
          <w:sz w:val="20"/>
          <w:szCs w:val="20"/>
          <w:color w:val="auto"/>
        </w:rPr>
      </w:pPr>
    </w:p>
    <w:p>
      <w:pPr>
        <w:ind w:firstLine="486"/>
        <w:spacing w:after="0" w:line="264"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supply chain and the impact of continued inflation; our dependence on third party manufacturing and co-packing partners, and any changes to their respective labor regulations and business practices; our dependence on existing suppliers for materials used to package our products; our dependence on distributor and retail customers for most of our sales; our cash flows and results of operations may be negatively affected if we are not successful in forecasting and managing our inventory at appropriate levels for our demand; our brands and reputation may be diminished due to quality or food safety issues with our products; competition in the food and beverage retail industry; a reduction in demand for and sales of our coconut water products or a decrease in consumer demand for coconut water generally; risks related to brand and company image, consumer awareness and brand loyalty; failure to introduce new products or successfully improve existing products; consume preferences for our products are difficult to predict and may change; the impact of pandemics, epidemics or disease outbreaks, such as the COVID-19 pandemic, on our business; our ability to manage our future growth effectively; our reliance on independent certification for a number of our products; our ability to make acquisitions and successfully integrate newly acquired products or businesses; risks related to expanding our operations into countries in which we have no prior operating history; disruptions in the worldwide economy; risks related to climate change; our ability to retain our senior management and key personnel; risks related to sustainability and corporate social responsibility; food safety and food-borne illness incidents or other safety concerns, such as lawsuits, product recalls or regulatory enforcement actions; our products and operations are subject to government regulation and oversight both in the United States and abroad; risks related to the regulation of advertising and marketing and data privacy and data protection; our reliance on our information technology systems and those of our third-party vendors and business partners; our ability to protect our intellectual property; risks related to our Credit Agreement and any agreements governing any future indebtedness; and risks related to ownership of our common stock; as well as, the important factors discussed in Part I, Item 1A. “Risk Factors” in our Annual Report on Form 10-K for the year ended December 31, 2021.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9"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6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VITA COCO COMPANY,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6"/>
                <w:szCs w:val="16"/>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28,690</w:t>
            </w:r>
          </w:p>
        </w:tc>
        <w:tc>
          <w:tcPr>
            <w:tcW w:w="0" w:type="dxa"/>
            <w:vAlign w:val="bottom"/>
          </w:tcPr>
          <w:p>
            <w:pPr>
              <w:spacing w:after="0"/>
              <w:rPr>
                <w:sz w:val="1"/>
                <w:szCs w:val="1"/>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Accounts receivable, net of allowance of $1,349 at June 30, 2022, and $1,301 at December 31, 2021</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73,295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47,195</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75,360</w:t>
            </w:r>
          </w:p>
        </w:tc>
        <w:tc>
          <w:tcPr>
            <w:tcW w:w="0" w:type="dxa"/>
            <w:vAlign w:val="bottom"/>
          </w:tcPr>
          <w:p>
            <w:pPr>
              <w:spacing w:after="0"/>
              <w:rPr>
                <w:sz w:val="1"/>
                <w:szCs w:val="1"/>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Supplier advances, current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1,170</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assets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23,571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20,718</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173,259</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2,473</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7,791</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7,934</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advances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5,148</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3"/>
        </w:trPr>
        <w:tc>
          <w:tcPr>
            <w:tcW w:w="796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217,808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197,484</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28,338</w:t>
            </w:r>
          </w:p>
        </w:tc>
        <w:tc>
          <w:tcPr>
            <w:tcW w:w="0" w:type="dxa"/>
            <w:vAlign w:val="bottom"/>
          </w:tcPr>
          <w:p>
            <w:pPr>
              <w:spacing w:after="0"/>
              <w:rPr>
                <w:sz w:val="1"/>
                <w:szCs w:val="1"/>
                <w:color w:val="auto"/>
              </w:rPr>
            </w:pPr>
          </w:p>
        </w:tc>
      </w:tr>
      <w:tr>
        <w:trPr>
          <w:trHeight w:val="213"/>
        </w:trPr>
        <w:tc>
          <w:tcPr>
            <w:tcW w:w="7960" w:type="dxa"/>
            <w:vAlign w:val="bottom"/>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47,303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42,399</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Notes payable, current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Derivative liabilities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73,962</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13"/>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87,278</w:t>
            </w: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74,311</w:t>
            </w:r>
          </w:p>
        </w:tc>
        <w:tc>
          <w:tcPr>
            <w:tcW w:w="0" w:type="dxa"/>
            <w:vAlign w:val="bottom"/>
          </w:tcPr>
          <w:p>
            <w:pPr>
              <w:spacing w:after="0"/>
              <w:rPr>
                <w:sz w:val="1"/>
                <w:szCs w:val="1"/>
                <w:color w:val="auto"/>
              </w:rPr>
            </w:pPr>
          </w:p>
        </w:tc>
      </w:tr>
      <w:tr>
        <w:trPr>
          <w:trHeight w:val="193"/>
        </w:trPr>
        <w:tc>
          <w:tcPr>
            <w:tcW w:w="796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960" w:type="dxa"/>
            <w:vAlign w:val="bottom"/>
          </w:tcPr>
          <w:p>
            <w:pPr>
              <w:ind w:left="20"/>
              <w:spacing w:after="0" w:line="166" w:lineRule="exact"/>
              <w:rPr>
                <w:sz w:val="20"/>
                <w:szCs w:val="20"/>
                <w:color w:val="auto"/>
              </w:rPr>
            </w:pPr>
            <w:r>
              <w:rPr>
                <w:rFonts w:ascii="Arial" w:cs="Arial" w:eastAsia="Arial" w:hAnsi="Arial"/>
                <w:sz w:val="16"/>
                <w:szCs w:val="16"/>
                <w:color w:val="auto"/>
                <w:w w:val="93"/>
              </w:rPr>
              <w:t>Common stock, $0.01 par value; 500,000,000 shares authorized; 61,857,699 and 61,764,582 shares issued at June 30,</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60" w:type="dxa"/>
            <w:vAlign w:val="bottom"/>
          </w:tcPr>
          <w:p>
            <w:pPr>
              <w:ind w:left="180"/>
              <w:spacing w:after="0" w:line="162" w:lineRule="exact"/>
              <w:rPr>
                <w:sz w:val="20"/>
                <w:szCs w:val="20"/>
                <w:color w:val="auto"/>
              </w:rPr>
            </w:pPr>
            <w:r>
              <w:rPr>
                <w:rFonts w:ascii="Arial" w:cs="Arial" w:eastAsia="Arial" w:hAnsi="Arial"/>
                <w:sz w:val="16"/>
                <w:szCs w:val="16"/>
                <w:color w:val="auto"/>
                <w:w w:val="97"/>
              </w:rPr>
              <w:t>2022 and December 31, 2021, respectively 55,651,499 and 55,558,382 shares outstanding at June 30, 2022 and</w:t>
            </w:r>
          </w:p>
        </w:tc>
        <w:tc>
          <w:tcPr>
            <w:tcW w:w="3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209"/>
        </w:trPr>
        <w:tc>
          <w:tcPr>
            <w:tcW w:w="7960" w:type="dxa"/>
            <w:vAlign w:val="bottom"/>
          </w:tcPr>
          <w:p>
            <w:pPr>
              <w:ind w:left="180"/>
              <w:spacing w:after="0"/>
              <w:rPr>
                <w:sz w:val="20"/>
                <w:szCs w:val="20"/>
                <w:color w:val="auto"/>
              </w:rPr>
            </w:pPr>
            <w:r>
              <w:rPr>
                <w:rFonts w:ascii="Arial" w:cs="Arial" w:eastAsia="Arial" w:hAnsi="Arial"/>
                <w:sz w:val="16"/>
                <w:szCs w:val="16"/>
                <w:color w:val="auto"/>
              </w:rPr>
              <w:t>December 31, 2021, respectively</w:t>
            </w:r>
          </w:p>
        </w:tc>
        <w:tc>
          <w:tcPr>
            <w:tcW w:w="3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134,730</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50,735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47,369</w:t>
            </w:r>
          </w:p>
        </w:tc>
        <w:tc>
          <w:tcPr>
            <w:tcW w:w="0" w:type="dxa"/>
            <w:vAlign w:val="bottom"/>
          </w:tcPr>
          <w:p>
            <w:pPr>
              <w:spacing w:after="0"/>
              <w:rPr>
                <w:sz w:val="1"/>
                <w:szCs w:val="1"/>
                <w:color w:val="auto"/>
              </w:rPr>
            </w:pPr>
          </w:p>
        </w:tc>
      </w:tr>
      <w:tr>
        <w:trPr>
          <w:trHeight w:val="219"/>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3"/>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Treasury stock, 6,206,200 shares at cost as of June 30, 2022, and 6,206,200 shares at cost as of December 31, 2021</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(58,928)</w:t>
            </w:r>
          </w:p>
        </w:tc>
        <w:tc>
          <w:tcPr>
            <w:tcW w:w="0" w:type="dxa"/>
            <w:vAlign w:val="bottom"/>
          </w:tcPr>
          <w:p>
            <w:pPr>
              <w:spacing w:after="0"/>
              <w:rPr>
                <w:sz w:val="1"/>
                <w:szCs w:val="1"/>
                <w:color w:val="auto"/>
              </w:rPr>
            </w:pPr>
          </w:p>
        </w:tc>
      </w:tr>
      <w:tr>
        <w:trPr>
          <w:trHeight w:val="210"/>
        </w:trPr>
        <w:tc>
          <w:tcPr>
            <w:tcW w:w="79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 attributable to The Vita Coco Company, Inc.</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130,530</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123,173</w:t>
            </w:r>
          </w:p>
        </w:tc>
        <w:tc>
          <w:tcPr>
            <w:tcW w:w="0" w:type="dxa"/>
            <w:vAlign w:val="bottom"/>
          </w:tcPr>
          <w:p>
            <w:pPr>
              <w:spacing w:after="0"/>
              <w:rPr>
                <w:sz w:val="1"/>
                <w:szCs w:val="1"/>
                <w:color w:val="auto"/>
              </w:rPr>
            </w:pPr>
          </w:p>
        </w:tc>
      </w:tr>
      <w:tr>
        <w:trPr>
          <w:trHeight w:val="213"/>
        </w:trPr>
        <w:tc>
          <w:tcPr>
            <w:tcW w:w="796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217,808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197,484</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VITA COCO COMPANY, INC. AND SUBSIDIARIES CONDENSED CONSOLIDATED STATEMENTS OF OPERATIONS (UNAUDITED) (Amounts in thousands, except for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42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177,260</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124,200</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41,222</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Unrealized gain/(loss) on derivative instruments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gain/(loss)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Vita Coco Company, Inc.</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5"/>
              </w:rPr>
              <w:t>Net income attributable to The Vita Coco Company, Inc.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number of common shares outstanding</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55,626,861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52,995,871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55,594,558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53,398,800</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55,804,448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53,322,972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55,752,597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53,842,426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VITA COCO COMPANY, INC. AND SUBSIDIARIES CONDENSED CONSOLIDATED STATEMENTS OF COMPREHENSIVE INCOME (UNAUDITED) (Amounts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27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3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8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8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comprehensive income including noncontrolling interest</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9,734</w:t>
            </w:r>
          </w:p>
        </w:tc>
      </w:tr>
      <w:tr>
        <w:trPr>
          <w:trHeight w:val="230"/>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7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175"/>
        </w:trPr>
        <w:tc>
          <w:tcPr>
            <w:tcW w:w="5840" w:type="dxa"/>
            <w:vAlign w:val="bottom"/>
          </w:tcPr>
          <w:p>
            <w:pPr>
              <w:ind w:left="360"/>
              <w:spacing w:after="0" w:line="176" w:lineRule="exact"/>
              <w:rPr>
                <w:sz w:val="20"/>
                <w:szCs w:val="20"/>
                <w:color w:val="auto"/>
              </w:rPr>
            </w:pPr>
            <w:r>
              <w:rPr>
                <w:rFonts w:ascii="Arial" w:cs="Arial" w:eastAsia="Arial" w:hAnsi="Arial"/>
                <w:sz w:val="18"/>
                <w:szCs w:val="18"/>
                <w:color w:val="auto"/>
                <w:w w:val="99"/>
              </w:rPr>
              <w:t>Foreign currency translation adjustment attributable to noncontrolling</w:t>
            </w: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3"/>
        </w:trPr>
        <w:tc>
          <w:tcPr>
            <w:tcW w:w="5840" w:type="dxa"/>
            <w:vAlign w:val="bottom"/>
          </w:tcPr>
          <w:p>
            <w:pPr>
              <w:ind w:left="520"/>
              <w:spacing w:after="0"/>
              <w:rPr>
                <w:sz w:val="20"/>
                <w:szCs w:val="20"/>
                <w:color w:val="auto"/>
              </w:rPr>
            </w:pPr>
            <w:r>
              <w:rPr>
                <w:rFonts w:ascii="Arial" w:cs="Arial" w:eastAsia="Arial" w:hAnsi="Arial"/>
                <w:sz w:val="18"/>
                <w:szCs w:val="18"/>
                <w:color w:val="auto"/>
              </w:rPr>
              <w:t>interest</w:t>
            </w:r>
          </w:p>
        </w:tc>
        <w:tc>
          <w:tcPr>
            <w:tcW w:w="7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 attributable to noncontrolling interest</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w w:val="92"/>
              </w:rPr>
              <w:t>Total comprehensive income attributable to The Vita Coco Company, Inc.</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r>
      <w:tr>
        <w:trPr>
          <w:trHeight w:val="21"/>
        </w:trPr>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VITA COCO COMPANY,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NON-CONTROLLING INTERESTS AND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for shares)</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87"/>
              </w:rPr>
              <w:t>Shareholders’</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5"/>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Common Stock</w:t>
            </w:r>
          </w:p>
        </w:tc>
        <w:tc>
          <w:tcPr>
            <w:tcW w:w="1240" w:type="dxa"/>
            <w:vAlign w:val="bottom"/>
            <w:gridSpan w:val="5"/>
            <w:vMerge w:val="restart"/>
          </w:tcPr>
          <w:p>
            <w:pPr>
              <w:ind w:left="220"/>
              <w:spacing w:after="0"/>
              <w:rPr>
                <w:sz w:val="20"/>
                <w:szCs w:val="20"/>
                <w:color w:val="auto"/>
              </w:rPr>
            </w:pPr>
            <w:r>
              <w:rPr>
                <w:rFonts w:ascii="Arial" w:cs="Arial" w:eastAsia="Arial" w:hAnsi="Arial"/>
                <w:sz w:val="11"/>
                <w:szCs w:val="11"/>
                <w:b w:val="1"/>
                <w:bCs w:val="1"/>
                <w:color w:val="auto"/>
              </w:rPr>
              <w:t>Total Common</w:t>
            </w:r>
          </w:p>
        </w:tc>
        <w:tc>
          <w:tcPr>
            <w:tcW w:w="6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Additional</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9"/>
              </w:rPr>
              <w:t>Accumulated</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0"/>
                <w:szCs w:val="10"/>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220" w:type="dxa"/>
            <w:vAlign w:val="bottom"/>
            <w:gridSpan w:val="5"/>
            <w:vMerge w:val="restart"/>
          </w:tcPr>
          <w:p>
            <w:pPr>
              <w:ind w:left="220"/>
              <w:spacing w:after="0"/>
              <w:rPr>
                <w:sz w:val="20"/>
                <w:szCs w:val="20"/>
                <w:color w:val="auto"/>
              </w:rPr>
            </w:pPr>
            <w:r>
              <w:rPr>
                <w:rFonts w:ascii="Arial" w:cs="Arial" w:eastAsia="Arial" w:hAnsi="Arial"/>
                <w:sz w:val="11"/>
                <w:szCs w:val="11"/>
                <w:b w:val="1"/>
                <w:bCs w:val="1"/>
                <w:color w:val="auto"/>
              </w:rPr>
              <w:t>Common Stock</w:t>
            </w:r>
          </w:p>
        </w:tc>
        <w:tc>
          <w:tcPr>
            <w:tcW w:w="1240" w:type="dxa"/>
            <w:vAlign w:val="bottom"/>
            <w:gridSpan w:val="5"/>
          </w:tcPr>
          <w:p>
            <w:pPr>
              <w:jc w:val="center"/>
              <w:ind w:right="100"/>
              <w:spacing w:after="0" w:line="108" w:lineRule="exact"/>
              <w:rPr>
                <w:sz w:val="20"/>
                <w:szCs w:val="20"/>
                <w:color w:val="auto"/>
              </w:rPr>
            </w:pPr>
            <w:r>
              <w:rPr>
                <w:rFonts w:ascii="Arial" w:cs="Arial" w:eastAsia="Arial" w:hAnsi="Arial"/>
                <w:sz w:val="11"/>
                <w:szCs w:val="11"/>
                <w:b w:val="1"/>
                <w:bCs w:val="1"/>
                <w:color w:val="auto"/>
                <w:w w:val="92"/>
              </w:rPr>
              <w:t>with Exit</w:t>
            </w:r>
          </w:p>
        </w:tc>
        <w:tc>
          <w:tcPr>
            <w:tcW w:w="1240" w:type="dxa"/>
            <w:vAlign w:val="bottom"/>
            <w:gridSpan w:val="5"/>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80" w:type="dxa"/>
            <w:vAlign w:val="bottom"/>
            <w:gridSpan w:val="5"/>
            <w:vMerge w:val="restart"/>
          </w:tcPr>
          <w:p>
            <w:pPr>
              <w:ind w:left="24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9"/>
                <w:szCs w:val="9"/>
                <w:color w:val="auto"/>
              </w:rPr>
            </w:pPr>
          </w:p>
        </w:tc>
        <w:tc>
          <w:tcPr>
            <w:tcW w:w="74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3"/>
              </w:rPr>
              <w:t>Attributable</w:t>
            </w:r>
          </w:p>
        </w:tc>
        <w:tc>
          <w:tcPr>
            <w:tcW w:w="12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ind w:right="1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40" w:type="dxa"/>
            <w:vAlign w:val="bottom"/>
            <w:gridSpan w:val="5"/>
          </w:tcPr>
          <w:p>
            <w:pPr>
              <w:jc w:val="center"/>
              <w:ind w:right="80"/>
              <w:spacing w:after="0" w:line="108" w:lineRule="exact"/>
              <w:rPr>
                <w:sz w:val="20"/>
                <w:szCs w:val="20"/>
                <w:color w:val="auto"/>
              </w:rPr>
            </w:pPr>
            <w:r>
              <w:rPr>
                <w:rFonts w:ascii="Arial" w:cs="Arial" w:eastAsia="Arial" w:hAnsi="Arial"/>
                <w:sz w:val="11"/>
                <w:szCs w:val="11"/>
                <w:b w:val="1"/>
                <w:bCs w:val="1"/>
                <w:color w:val="auto"/>
                <w:w w:val="92"/>
              </w:rPr>
              <w:t>Warrants</w:t>
            </w:r>
          </w:p>
        </w:tc>
        <w:tc>
          <w:tcPr>
            <w:tcW w:w="720" w:type="dxa"/>
            <w:vAlign w:val="bottom"/>
            <w:gridSpan w:val="3"/>
          </w:tcPr>
          <w:p>
            <w:pPr>
              <w:jc w:val="right"/>
              <w:spacing w:after="0" w:line="108" w:lineRule="exact"/>
              <w:rPr>
                <w:sz w:val="20"/>
                <w:szCs w:val="20"/>
                <w:color w:val="auto"/>
              </w:rPr>
            </w:pPr>
            <w:r>
              <w:rPr>
                <w:rFonts w:ascii="Arial" w:cs="Arial" w:eastAsia="Arial" w:hAnsi="Arial"/>
                <w:sz w:val="11"/>
                <w:szCs w:val="11"/>
                <w:b w:val="1"/>
                <w:bCs w:val="1"/>
                <w:color w:val="auto"/>
              </w:rPr>
              <w:t>Stock</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Paid-In</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8"/>
              </w:rPr>
              <w:t>Other</w:t>
            </w:r>
          </w:p>
        </w:tc>
        <w:tc>
          <w:tcPr>
            <w:tcW w:w="12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to The Vita</w:t>
            </w:r>
          </w:p>
        </w:tc>
        <w:tc>
          <w:tcPr>
            <w:tcW w:w="64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controlling</w:t>
            </w: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Loan to</w:t>
            </w:r>
          </w:p>
        </w:tc>
        <w:tc>
          <w:tcPr>
            <w:tcW w:w="100" w:type="dxa"/>
            <w:vAlign w:val="bottom"/>
          </w:tcPr>
          <w:p>
            <w:pPr>
              <w:spacing w:after="0"/>
              <w:rPr>
                <w:sz w:val="4"/>
                <w:szCs w:val="4"/>
                <w:color w:val="auto"/>
              </w:rPr>
            </w:pPr>
          </w:p>
        </w:tc>
        <w:tc>
          <w:tcPr>
            <w:tcW w:w="62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Retained</w:t>
            </w:r>
          </w:p>
        </w:tc>
        <w:tc>
          <w:tcPr>
            <w:tcW w:w="900" w:type="dxa"/>
            <w:vAlign w:val="bottom"/>
            <w:gridSpan w:val="3"/>
            <w:vMerge w:val="restart"/>
          </w:tcPr>
          <w:p>
            <w:pPr>
              <w:ind w:left="40"/>
              <w:spacing w:after="0" w:line="95" w:lineRule="exact"/>
              <w:rPr>
                <w:sz w:val="20"/>
                <w:szCs w:val="20"/>
                <w:color w:val="auto"/>
              </w:rPr>
            </w:pPr>
            <w:r>
              <w:rPr>
                <w:rFonts w:ascii="Arial" w:cs="Arial" w:eastAsia="Arial" w:hAnsi="Arial"/>
                <w:sz w:val="10"/>
                <w:szCs w:val="10"/>
                <w:b w:val="1"/>
                <w:bCs w:val="1"/>
                <w:color w:val="auto"/>
              </w:rPr>
              <w:t>Comprehensive</w:t>
            </w: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w w:val="87"/>
              </w:rPr>
              <w:t>Coco</w:t>
            </w:r>
          </w:p>
        </w:tc>
        <w:tc>
          <w:tcPr>
            <w:tcW w:w="640" w:type="dxa"/>
            <w:vAlign w:val="bottom"/>
            <w:gridSpan w:val="3"/>
            <w:vMerge w:val="restart"/>
          </w:tcPr>
          <w:p>
            <w:pPr>
              <w:ind w:left="40"/>
              <w:spacing w:after="0" w:line="95" w:lineRule="exact"/>
              <w:rPr>
                <w:sz w:val="20"/>
                <w:szCs w:val="20"/>
                <w:color w:val="auto"/>
              </w:rPr>
            </w:pPr>
            <w:r>
              <w:rPr>
                <w:rFonts w:ascii="Arial" w:cs="Arial" w:eastAsia="Arial" w:hAnsi="Arial"/>
                <w:sz w:val="10"/>
                <w:szCs w:val="10"/>
                <w:b w:val="1"/>
                <w:bCs w:val="1"/>
                <w:color w:val="auto"/>
              </w:rPr>
              <w:t>Interest in</w:t>
            </w:r>
          </w:p>
        </w:tc>
        <w:tc>
          <w:tcPr>
            <w:tcW w:w="72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Shareholders’</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line="20" w:lineRule="exact"/>
              <w:rPr>
                <w:sz w:val="1"/>
                <w:szCs w:val="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640" w:type="dxa"/>
            <w:vAlign w:val="bottom"/>
            <w:gridSpan w:val="3"/>
            <w:vMerge w:val="continue"/>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0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Shareholder</w:t>
            </w:r>
          </w:p>
        </w:tc>
        <w:tc>
          <w:tcPr>
            <w:tcW w:w="10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Earnings</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Income / (Loss)</w:t>
            </w: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1"/>
                <w:szCs w:val="11"/>
                <w:b w:val="1"/>
                <w:bCs w:val="1"/>
                <w:color w:val="auto"/>
              </w:rPr>
              <w:t>Company, Inc.</w:t>
            </w:r>
          </w:p>
        </w:tc>
        <w:tc>
          <w:tcPr>
            <w:tcW w:w="640" w:type="dxa"/>
            <w:vAlign w:val="bottom"/>
            <w:gridSpan w:val="3"/>
          </w:tcPr>
          <w:p>
            <w:pPr>
              <w:ind w:left="40"/>
              <w:spacing w:after="0"/>
              <w:rPr>
                <w:sz w:val="20"/>
                <w:szCs w:val="20"/>
                <w:color w:val="auto"/>
              </w:rPr>
            </w:pPr>
            <w:r>
              <w:rPr>
                <w:rFonts w:ascii="Arial" w:cs="Arial" w:eastAsia="Arial" w:hAnsi="Arial"/>
                <w:sz w:val="11"/>
                <w:szCs w:val="11"/>
                <w:b w:val="1"/>
                <w:bCs w:val="1"/>
                <w:color w:val="auto"/>
              </w:rPr>
              <w:t>Subsidiary</w:t>
            </w:r>
          </w:p>
        </w:tc>
        <w:tc>
          <w:tcPr>
            <w:tcW w:w="140" w:type="dxa"/>
            <w:vAlign w:val="bottom"/>
          </w:tcPr>
          <w:p>
            <w:pPr>
              <w:spacing w:after="0"/>
              <w:rPr>
                <w:sz w:val="12"/>
                <w:szCs w:val="12"/>
                <w:color w:val="auto"/>
              </w:rPr>
            </w:pPr>
          </w:p>
        </w:tc>
        <w:tc>
          <w:tcPr>
            <w:tcW w:w="580" w:type="dxa"/>
            <w:vAlign w:val="bottom"/>
          </w:tcPr>
          <w:p>
            <w:pPr>
              <w:jc w:val="right"/>
              <w:ind w:right="1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080" w:type="dxa"/>
            <w:vAlign w:val="bottom"/>
            <w:shd w:val="clear" w:color="auto" w:fill="CCEEFF"/>
          </w:tcPr>
          <w:p>
            <w:pPr>
              <w:ind w:left="20"/>
              <w:spacing w:after="0" w:line="88" w:lineRule="exact"/>
              <w:rPr>
                <w:sz w:val="20"/>
                <w:szCs w:val="20"/>
                <w:color w:val="auto"/>
              </w:rPr>
            </w:pPr>
            <w:r>
              <w:rPr>
                <w:rFonts w:ascii="Arial" w:cs="Arial" w:eastAsia="Arial" w:hAnsi="Arial"/>
                <w:sz w:val="10"/>
                <w:szCs w:val="10"/>
                <w:b w:val="1"/>
                <w:bCs w:val="1"/>
                <w:color w:val="auto"/>
              </w:rPr>
              <w:t>Balance at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51,086,945</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511</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7"/>
              </w:rPr>
              <w:t>59,200,050</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592</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100,849</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(17,700)</w:t>
            </w:r>
          </w:p>
        </w:tc>
        <w:tc>
          <w:tcPr>
            <w:tcW w:w="8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28,354</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(949)</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1,014,195</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(8,925)</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102,221</w:t>
            </w:r>
          </w:p>
        </w:tc>
        <w:tc>
          <w:tcPr>
            <w:tcW w:w="8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4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78</w:t>
            </w:r>
          </w:p>
        </w:tc>
        <w:tc>
          <w:tcPr>
            <w:tcW w:w="8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102,299</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December 31, 2020</w:t>
            </w: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4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0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1,645</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1,645</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1,640</w:t>
            </w: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Purchase of treasury</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5,192,005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(50,003)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(50,003)</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(50,003)</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w:t>
            </w: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Arial" w:cs="Arial" w:eastAsia="Arial" w:hAnsi="Arial"/>
                <w:sz w:val="11"/>
                <w:szCs w:val="11"/>
                <w:color w:val="auto"/>
              </w:rPr>
              <w:t>Loan to Shareholder</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Stock-based</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487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487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487</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compensation</w:t>
            </w: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ind w:left="20"/>
              <w:spacing w:after="0" w:line="112" w:lineRule="exact"/>
              <w:rPr>
                <w:sz w:val="20"/>
                <w:szCs w:val="20"/>
                <w:color w:val="auto"/>
              </w:rPr>
            </w:pPr>
            <w:r>
              <w:rPr>
                <w:rFonts w:ascii="Arial" w:cs="Arial" w:eastAsia="Arial" w:hAnsi="Arial"/>
                <w:sz w:val="11"/>
                <w:szCs w:val="11"/>
                <w:color w:val="auto"/>
              </w:rPr>
              <w:t>Exercise of stock</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1,365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1,365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36"/>
        </w:trPr>
        <w:tc>
          <w:tcPr>
            <w:tcW w:w="1080" w:type="dxa"/>
            <w:vAlign w:val="bottom"/>
          </w:tcPr>
          <w:p>
            <w:pPr>
              <w:ind w:left="20"/>
              <w:spacing w:after="0"/>
              <w:rPr>
                <w:sz w:val="20"/>
                <w:szCs w:val="20"/>
                <w:color w:val="auto"/>
              </w:rPr>
            </w:pPr>
            <w:r>
              <w:rPr>
                <w:rFonts w:ascii="Arial" w:cs="Arial" w:eastAsia="Arial" w:hAnsi="Arial"/>
                <w:sz w:val="11"/>
                <w:szCs w:val="11"/>
                <w:color w:val="auto"/>
              </w:rPr>
              <w:t>options</w:t>
            </w: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Foreign currency</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w w:val="89"/>
              </w:rPr>
              <w:t>translation adjustment</w:t>
            </w: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Arial" w:cs="Arial" w:eastAsia="Arial" w:hAnsi="Arial"/>
                <w:sz w:val="11"/>
                <w:szCs w:val="11"/>
                <w:b w:val="1"/>
                <w:bCs w:val="1"/>
                <w:color w:val="auto"/>
                <w:w w:val="95"/>
              </w:rPr>
              <w:t>Balance at March 31,</w:t>
            </w: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51,088,310</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511</w:t>
            </w: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59,201,415</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592</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101,345</w:t>
            </w:r>
          </w:p>
        </w:tc>
        <w:tc>
          <w:tcPr>
            <w:tcW w:w="80" w:type="dxa"/>
            <w:vAlign w:val="bottom"/>
          </w:tcPr>
          <w:p>
            <w:pPr>
              <w:spacing w:after="0"/>
              <w:rPr>
                <w:sz w:val="9"/>
                <w:szCs w:val="9"/>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(17,726)</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29,999</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(932)</w:t>
            </w:r>
          </w:p>
        </w:tc>
        <w:tc>
          <w:tcPr>
            <w:tcW w:w="8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6,206,200</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(58,928)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54,350</w:t>
            </w:r>
          </w:p>
        </w:tc>
        <w:tc>
          <w:tcPr>
            <w:tcW w:w="8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73</w:t>
            </w:r>
          </w:p>
        </w:tc>
        <w:tc>
          <w:tcPr>
            <w:tcW w:w="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54,423</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2021</w:t>
            </w: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7,797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7,797</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7,782</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Arial" w:cs="Arial" w:eastAsia="Arial" w:hAnsi="Arial"/>
                <w:sz w:val="11"/>
                <w:szCs w:val="11"/>
                <w:color w:val="auto"/>
              </w:rPr>
              <w:t>Loan to Shareholder</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rPr>
              <w:t>(25)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auto"/>
              </w:rPr>
              <w:t>(25)</w:t>
            </w: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Stock-based</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525</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525</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1"/>
              </w:rPr>
              <w:t>compensation expense</w:t>
            </w: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ind w:left="20"/>
              <w:spacing w:after="0" w:line="112" w:lineRule="exact"/>
              <w:rPr>
                <w:sz w:val="20"/>
                <w:szCs w:val="20"/>
                <w:color w:val="auto"/>
              </w:rPr>
            </w:pPr>
            <w:r>
              <w:rPr>
                <w:rFonts w:ascii="Arial" w:cs="Arial" w:eastAsia="Arial" w:hAnsi="Arial"/>
                <w:sz w:val="11"/>
                <w:szCs w:val="11"/>
                <w:color w:val="auto"/>
              </w:rPr>
              <w:t>Exercise of stock</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910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910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10</w:t>
            </w:r>
          </w:p>
        </w:tc>
        <w:tc>
          <w:tcPr>
            <w:tcW w:w="0" w:type="dxa"/>
            <w:vAlign w:val="bottom"/>
          </w:tcPr>
          <w:p>
            <w:pPr>
              <w:spacing w:after="0"/>
              <w:rPr>
                <w:sz w:val="1"/>
                <w:szCs w:val="1"/>
                <w:color w:val="auto"/>
              </w:rPr>
            </w:pPr>
          </w:p>
        </w:tc>
      </w:tr>
      <w:tr>
        <w:trPr>
          <w:trHeight w:val="136"/>
        </w:trPr>
        <w:tc>
          <w:tcPr>
            <w:tcW w:w="1080" w:type="dxa"/>
            <w:vAlign w:val="bottom"/>
          </w:tcPr>
          <w:p>
            <w:pPr>
              <w:ind w:left="20"/>
              <w:spacing w:after="0"/>
              <w:rPr>
                <w:sz w:val="20"/>
                <w:szCs w:val="20"/>
                <w:color w:val="auto"/>
              </w:rPr>
            </w:pPr>
            <w:r>
              <w:rPr>
                <w:rFonts w:ascii="Arial" w:cs="Arial" w:eastAsia="Arial" w:hAnsi="Arial"/>
                <w:sz w:val="11"/>
                <w:szCs w:val="11"/>
                <w:color w:val="auto"/>
              </w:rPr>
              <w:t>options</w:t>
            </w: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Foreign currency</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295</w:t>
            </w:r>
          </w:p>
        </w:tc>
        <w:tc>
          <w:tcPr>
            <w:tcW w:w="8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295</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299</w:t>
            </w:r>
          </w:p>
        </w:tc>
        <w:tc>
          <w:tcPr>
            <w:tcW w:w="0" w:type="dxa"/>
            <w:vAlign w:val="bottom"/>
          </w:tcPr>
          <w:p>
            <w:pPr>
              <w:spacing w:after="0"/>
              <w:rPr>
                <w:sz w:val="1"/>
                <w:szCs w:val="1"/>
                <w:color w:val="auto"/>
              </w:rPr>
            </w:pPr>
          </w:p>
        </w:tc>
      </w:tr>
      <w:tr>
        <w:trPr>
          <w:trHeight w:val="158"/>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6"/>
              </w:rPr>
              <w:t>translation adjustment</w:t>
            </w: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vMerge w:val="continue"/>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vMerge w:val="continue"/>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08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Balance at Balance at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w w:val="90"/>
              </w:rPr>
              <w:t>51,089,220</w:t>
            </w: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511</w:t>
            </w: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w w:val="87"/>
              </w:rPr>
              <w:t>59,202,325</w:t>
            </w: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592</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101,880</w:t>
            </w: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(17,751)</w:t>
            </w: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37,796</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(637)</w:t>
            </w: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w w:val="97"/>
              </w:rPr>
              <w:t>6,206,200</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(58,928)</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62,952</w:t>
            </w:r>
          </w:p>
        </w:tc>
        <w:tc>
          <w:tcPr>
            <w:tcW w:w="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62</w:t>
            </w:r>
          </w:p>
        </w:tc>
        <w:tc>
          <w:tcPr>
            <w:tcW w:w="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8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63,014</w:t>
            </w:r>
          </w:p>
        </w:tc>
        <w:tc>
          <w:tcPr>
            <w:tcW w:w="0" w:type="dxa"/>
            <w:vAlign w:val="bottom"/>
          </w:tcPr>
          <w:p>
            <w:pPr>
              <w:spacing w:after="0"/>
              <w:rPr>
                <w:sz w:val="1"/>
                <w:szCs w:val="1"/>
                <w:color w:val="auto"/>
              </w:rPr>
            </w:pPr>
          </w:p>
        </w:tc>
      </w:tr>
      <w:tr>
        <w:trPr>
          <w:trHeight w:val="135"/>
        </w:trPr>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June 30, 2021</w:t>
            </w: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080" w:type="dxa"/>
            <w:vAlign w:val="bottom"/>
          </w:tcPr>
          <w:p>
            <w:pPr>
              <w:ind w:left="20"/>
              <w:spacing w:after="0" w:line="108" w:lineRule="exact"/>
              <w:rPr>
                <w:sz w:val="20"/>
                <w:szCs w:val="20"/>
                <w:color w:val="auto"/>
              </w:rPr>
            </w:pPr>
            <w:r>
              <w:rPr>
                <w:rFonts w:ascii="Arial" w:cs="Arial" w:eastAsia="Arial" w:hAnsi="Arial"/>
                <w:sz w:val="11"/>
                <w:szCs w:val="11"/>
                <w:b w:val="1"/>
                <w:bCs w:val="1"/>
                <w:color w:val="auto"/>
                <w:w w:val="93"/>
              </w:rPr>
              <w:t>Balance at December</w:t>
            </w: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53,651,477</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537</w:t>
            </w: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61,764,582</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618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134,730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47,369</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(616)</w:t>
            </w:r>
          </w:p>
        </w:tc>
        <w:tc>
          <w:tcPr>
            <w:tcW w:w="8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6,206,200</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(58,928)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123,173</w:t>
            </w:r>
          </w:p>
        </w:tc>
        <w:tc>
          <w:tcPr>
            <w:tcW w:w="8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123,173</w:t>
            </w:r>
          </w:p>
        </w:tc>
        <w:tc>
          <w:tcPr>
            <w:tcW w:w="0" w:type="dxa"/>
            <w:vAlign w:val="bottom"/>
          </w:tcPr>
          <w:p>
            <w:pPr>
              <w:spacing w:after="0"/>
              <w:rPr>
                <w:sz w:val="1"/>
                <w:szCs w:val="1"/>
                <w:color w:val="auto"/>
              </w:rPr>
            </w:pPr>
          </w:p>
        </w:tc>
      </w:tr>
      <w:tr>
        <w:trPr>
          <w:trHeight w:val="140"/>
        </w:trPr>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31, 2021</w:t>
            </w: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2,227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2,227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2,227</w:t>
            </w:r>
          </w:p>
        </w:tc>
        <w:tc>
          <w:tcPr>
            <w:tcW w:w="0" w:type="dxa"/>
            <w:vAlign w:val="bottom"/>
          </w:tcPr>
          <w:p>
            <w:pPr>
              <w:spacing w:after="0"/>
              <w:rPr>
                <w:sz w:val="1"/>
                <w:szCs w:val="1"/>
                <w:color w:val="auto"/>
              </w:rPr>
            </w:pPr>
          </w:p>
        </w:tc>
      </w:tr>
      <w:tr>
        <w:trPr>
          <w:trHeight w:val="112"/>
        </w:trPr>
        <w:tc>
          <w:tcPr>
            <w:tcW w:w="1080" w:type="dxa"/>
            <w:vAlign w:val="bottom"/>
          </w:tcPr>
          <w:p>
            <w:pPr>
              <w:ind w:left="20"/>
              <w:spacing w:after="0" w:line="112" w:lineRule="exact"/>
              <w:rPr>
                <w:sz w:val="20"/>
                <w:szCs w:val="20"/>
                <w:color w:val="auto"/>
              </w:rPr>
            </w:pPr>
            <w:r>
              <w:rPr>
                <w:rFonts w:ascii="Arial" w:cs="Arial" w:eastAsia="Arial" w:hAnsi="Arial"/>
                <w:sz w:val="11"/>
                <w:szCs w:val="11"/>
                <w:color w:val="auto"/>
              </w:rPr>
              <w:t>Stock-based</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2,386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2,386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2,386</w:t>
            </w:r>
          </w:p>
        </w:tc>
        <w:tc>
          <w:tcPr>
            <w:tcW w:w="0" w:type="dxa"/>
            <w:vAlign w:val="bottom"/>
          </w:tcPr>
          <w:p>
            <w:pPr>
              <w:spacing w:after="0"/>
              <w:rPr>
                <w:sz w:val="1"/>
                <w:szCs w:val="1"/>
                <w:color w:val="auto"/>
              </w:rPr>
            </w:pPr>
          </w:p>
        </w:tc>
      </w:tr>
      <w:tr>
        <w:trPr>
          <w:trHeight w:val="136"/>
        </w:trPr>
        <w:tc>
          <w:tcPr>
            <w:tcW w:w="1080" w:type="dxa"/>
            <w:vAlign w:val="bottom"/>
          </w:tcPr>
          <w:p>
            <w:pPr>
              <w:ind w:left="100"/>
              <w:spacing w:after="0"/>
              <w:rPr>
                <w:sz w:val="20"/>
                <w:szCs w:val="20"/>
                <w:color w:val="auto"/>
              </w:rPr>
            </w:pPr>
            <w:r>
              <w:rPr>
                <w:rFonts w:ascii="Arial" w:cs="Arial" w:eastAsia="Arial" w:hAnsi="Arial"/>
                <w:sz w:val="11"/>
                <w:szCs w:val="11"/>
                <w:color w:val="auto"/>
              </w:rPr>
              <w:t>compensation</w:t>
            </w: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Exercise of stock</w:t>
            </w: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26,845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26,845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options</w:t>
            </w: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5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ind w:left="20"/>
              <w:spacing w:after="0" w:line="112" w:lineRule="exact"/>
              <w:rPr>
                <w:sz w:val="20"/>
                <w:szCs w:val="20"/>
                <w:color w:val="auto"/>
              </w:rPr>
            </w:pPr>
            <w:r>
              <w:rPr>
                <w:rFonts w:ascii="Arial" w:cs="Arial" w:eastAsia="Arial" w:hAnsi="Arial"/>
                <w:sz w:val="11"/>
                <w:szCs w:val="11"/>
                <w:color w:val="auto"/>
              </w:rPr>
              <w:t>Foreign currency</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(254)</w:t>
            </w:r>
          </w:p>
        </w:tc>
        <w:tc>
          <w:tcPr>
            <w:tcW w:w="80" w:type="dxa"/>
            <w:vAlign w:val="bottom"/>
          </w:tcPr>
          <w:p>
            <w:pPr>
              <w:spacing w:after="0"/>
              <w:rPr>
                <w:sz w:val="9"/>
                <w:szCs w:val="9"/>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(254)</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(254)</w:t>
            </w:r>
          </w:p>
        </w:tc>
        <w:tc>
          <w:tcPr>
            <w:tcW w:w="0" w:type="dxa"/>
            <w:vAlign w:val="bottom"/>
          </w:tcPr>
          <w:p>
            <w:pPr>
              <w:spacing w:after="0"/>
              <w:rPr>
                <w:sz w:val="1"/>
                <w:szCs w:val="1"/>
                <w:color w:val="auto"/>
              </w:rPr>
            </w:pPr>
          </w:p>
        </w:tc>
      </w:tr>
      <w:tr>
        <w:trPr>
          <w:trHeight w:val="136"/>
        </w:trPr>
        <w:tc>
          <w:tcPr>
            <w:tcW w:w="1080" w:type="dxa"/>
            <w:vAlign w:val="bottom"/>
          </w:tcPr>
          <w:p>
            <w:pPr>
              <w:ind w:left="100"/>
              <w:spacing w:after="0"/>
              <w:rPr>
                <w:sz w:val="20"/>
                <w:szCs w:val="20"/>
                <w:color w:val="auto"/>
              </w:rPr>
            </w:pPr>
            <w:r>
              <w:rPr>
                <w:rFonts w:ascii="Arial" w:cs="Arial" w:eastAsia="Arial" w:hAnsi="Arial"/>
                <w:sz w:val="11"/>
                <w:szCs w:val="11"/>
                <w:color w:val="auto"/>
                <w:w w:val="89"/>
              </w:rPr>
              <w:t>translation adjustment</w:t>
            </w: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8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b w:val="1"/>
                <w:bCs w:val="1"/>
                <w:color w:val="auto"/>
                <w:w w:val="95"/>
              </w:rPr>
              <w:t>Balance at March 31,</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0"/>
              </w:rPr>
              <w:t>53,678,322</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537</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87"/>
              </w:rPr>
              <w:t>61,791,427</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618</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137,267</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w w:val="97"/>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49,596</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(870)</w:t>
            </w: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7"/>
              </w:rPr>
              <w:t>6,206,200</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(58,928)</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127,683</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127,683</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4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50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7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5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5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08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1,139</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1,139</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1,139</w:t>
            </w:r>
          </w:p>
        </w:tc>
        <w:tc>
          <w:tcPr>
            <w:tcW w:w="0" w:type="dxa"/>
            <w:vAlign w:val="bottom"/>
          </w:tcPr>
          <w:p>
            <w:pPr>
              <w:spacing w:after="0"/>
              <w:rPr>
                <w:sz w:val="1"/>
                <w:szCs w:val="1"/>
                <w:color w:val="auto"/>
              </w:rPr>
            </w:pPr>
          </w:p>
        </w:tc>
      </w:tr>
      <w:tr>
        <w:trPr>
          <w:trHeight w:val="22"/>
        </w:trPr>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08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Stock-based</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1,814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1,814</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1,814</w:t>
            </w:r>
          </w:p>
        </w:tc>
        <w:tc>
          <w:tcPr>
            <w:tcW w:w="0" w:type="dxa"/>
            <w:vAlign w:val="bottom"/>
          </w:tcPr>
          <w:p>
            <w:pPr>
              <w:spacing w:after="0"/>
              <w:rPr>
                <w:sz w:val="1"/>
                <w:szCs w:val="1"/>
                <w:color w:val="auto"/>
              </w:rPr>
            </w:pPr>
          </w:p>
        </w:tc>
      </w:tr>
      <w:tr>
        <w:trPr>
          <w:trHeight w:val="138"/>
        </w:trPr>
        <w:tc>
          <w:tcPr>
            <w:tcW w:w="1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compensation</w:t>
            </w: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080" w:type="dxa"/>
            <w:vAlign w:val="bottom"/>
          </w:tcPr>
          <w:p>
            <w:pPr>
              <w:ind w:left="20"/>
              <w:spacing w:after="0" w:line="112" w:lineRule="exact"/>
              <w:rPr>
                <w:sz w:val="20"/>
                <w:szCs w:val="20"/>
                <w:color w:val="auto"/>
              </w:rPr>
            </w:pPr>
            <w:r>
              <w:rPr>
                <w:rFonts w:ascii="Arial" w:cs="Arial" w:eastAsia="Arial" w:hAnsi="Arial"/>
                <w:sz w:val="11"/>
                <w:szCs w:val="11"/>
                <w:color w:val="auto"/>
              </w:rPr>
              <w:t>Exercise of stock</w:t>
            </w: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color w:val="auto"/>
              </w:rPr>
              <w:t>66,272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66,272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color w:val="auto"/>
              </w:rPr>
              <w:t>89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90</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6"/>
        </w:trPr>
        <w:tc>
          <w:tcPr>
            <w:tcW w:w="1080" w:type="dxa"/>
            <w:vAlign w:val="bottom"/>
          </w:tcPr>
          <w:p>
            <w:pPr>
              <w:ind w:left="100"/>
              <w:spacing w:after="0"/>
              <w:rPr>
                <w:sz w:val="20"/>
                <w:szCs w:val="20"/>
                <w:color w:val="auto"/>
              </w:rPr>
            </w:pPr>
            <w:r>
              <w:rPr>
                <w:rFonts w:ascii="Arial" w:cs="Arial" w:eastAsia="Arial" w:hAnsi="Arial"/>
                <w:sz w:val="11"/>
                <w:szCs w:val="11"/>
                <w:color w:val="auto"/>
              </w:rPr>
              <w:t>options</w:t>
            </w: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80" w:type="dxa"/>
            <w:vAlign w:val="bottom"/>
          </w:tcPr>
          <w:p>
            <w:pPr>
              <w:ind w:left="20"/>
              <w:spacing w:after="0"/>
              <w:rPr>
                <w:sz w:val="20"/>
                <w:szCs w:val="20"/>
                <w:color w:val="auto"/>
              </w:rPr>
            </w:pPr>
            <w:r>
              <w:rPr>
                <w:rFonts w:ascii="Arial" w:cs="Arial" w:eastAsia="Arial" w:hAnsi="Arial"/>
                <w:sz w:val="11"/>
                <w:szCs w:val="11"/>
                <w:color w:val="auto"/>
              </w:rPr>
              <w:t>Foreign currency</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(196)</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(196)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36"/>
        </w:trPr>
        <w:tc>
          <w:tcPr>
            <w:tcW w:w="1080" w:type="dxa"/>
            <w:vAlign w:val="bottom"/>
          </w:tcPr>
          <w:p>
            <w:pPr>
              <w:ind w:left="100"/>
              <w:spacing w:after="0"/>
              <w:rPr>
                <w:sz w:val="20"/>
                <w:szCs w:val="20"/>
                <w:color w:val="auto"/>
              </w:rPr>
            </w:pPr>
            <w:r>
              <w:rPr>
                <w:rFonts w:ascii="Arial" w:cs="Arial" w:eastAsia="Arial" w:hAnsi="Arial"/>
                <w:sz w:val="11"/>
                <w:szCs w:val="11"/>
                <w:color w:val="auto"/>
                <w:w w:val="89"/>
              </w:rPr>
              <w:t>translation adjustment</w:t>
            </w: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0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Balance at June 30,</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080" w:type="dxa"/>
            <w:vAlign w:val="bottom"/>
            <w:vMerge w:val="continue"/>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0"/>
              </w:rPr>
              <w:t>53,744,594</w:t>
            </w:r>
          </w:p>
        </w:tc>
        <w:tc>
          <w:tcPr>
            <w:tcW w:w="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538</w:t>
            </w:r>
          </w:p>
        </w:tc>
        <w:tc>
          <w:tcPr>
            <w:tcW w:w="80" w:type="dxa"/>
            <w:vAlign w:val="bottom"/>
          </w:tcPr>
          <w:p>
            <w:pPr>
              <w:spacing w:after="0"/>
              <w:rPr>
                <w:sz w:val="7"/>
                <w:szCs w:val="7"/>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87"/>
              </w:rPr>
              <w:t>61,857,699</w:t>
            </w:r>
          </w:p>
        </w:tc>
        <w:tc>
          <w:tcPr>
            <w:tcW w:w="80" w:type="dxa"/>
            <w:vAlign w:val="bottom"/>
          </w:tcPr>
          <w:p>
            <w:pPr>
              <w:spacing w:after="0"/>
              <w:rPr>
                <w:sz w:val="7"/>
                <w:szCs w:val="7"/>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619</w:t>
            </w:r>
          </w:p>
        </w:tc>
        <w:tc>
          <w:tcPr>
            <w:tcW w:w="80" w:type="dxa"/>
            <w:vAlign w:val="bottom"/>
          </w:tcPr>
          <w:p>
            <w:pPr>
              <w:spacing w:after="0"/>
              <w:rPr>
                <w:sz w:val="7"/>
                <w:szCs w:val="7"/>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50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139,170</w:t>
            </w:r>
          </w:p>
        </w:tc>
        <w:tc>
          <w:tcPr>
            <w:tcW w:w="80" w:type="dxa"/>
            <w:vAlign w:val="bottom"/>
          </w:tcPr>
          <w:p>
            <w:pPr>
              <w:spacing w:after="0"/>
              <w:rPr>
                <w:sz w:val="7"/>
                <w:szCs w:val="7"/>
                <w:color w:val="auto"/>
              </w:rPr>
            </w:pPr>
          </w:p>
        </w:tc>
        <w:tc>
          <w:tcPr>
            <w:tcW w:w="100" w:type="dxa"/>
            <w:vAlign w:val="bottom"/>
            <w:vMerge w:val="restart"/>
          </w:tcPr>
          <w:p>
            <w:pPr>
              <w:ind w:left="20"/>
              <w:spacing w:after="0"/>
              <w:rPr>
                <w:sz w:val="20"/>
                <w:szCs w:val="20"/>
                <w:color w:val="auto"/>
              </w:rPr>
            </w:pPr>
            <w:r>
              <w:rPr>
                <w:rFonts w:ascii="Arial" w:cs="Arial" w:eastAsia="Arial" w:hAnsi="Arial"/>
                <w:sz w:val="11"/>
                <w:szCs w:val="11"/>
                <w:b w:val="1"/>
                <w:bCs w:val="1"/>
                <w:color w:val="auto"/>
                <w:w w:val="97"/>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50,735</w:t>
            </w:r>
          </w:p>
        </w:tc>
        <w:tc>
          <w:tcPr>
            <w:tcW w:w="80" w:type="dxa"/>
            <w:vAlign w:val="bottom"/>
          </w:tcPr>
          <w:p>
            <w:pPr>
              <w:spacing w:after="0"/>
              <w:rPr>
                <w:sz w:val="7"/>
                <w:szCs w:val="7"/>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(1,066)</w:t>
            </w:r>
          </w:p>
        </w:tc>
        <w:tc>
          <w:tcPr>
            <w:tcW w:w="80" w:type="dxa"/>
            <w:vAlign w:val="bottom"/>
          </w:tcPr>
          <w:p>
            <w:pPr>
              <w:spacing w:after="0"/>
              <w:rPr>
                <w:sz w:val="7"/>
                <w:szCs w:val="7"/>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7"/>
              </w:rPr>
              <w:t>6,206,200</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(58,928)</w:t>
            </w:r>
          </w:p>
        </w:tc>
        <w:tc>
          <w:tcPr>
            <w:tcW w:w="80" w:type="dxa"/>
            <w:vAlign w:val="bottom"/>
          </w:tcPr>
          <w:p>
            <w:pPr>
              <w:spacing w:after="0"/>
              <w:rPr>
                <w:sz w:val="7"/>
                <w:szCs w:val="7"/>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130,530</w:t>
            </w:r>
          </w:p>
        </w:tc>
        <w:tc>
          <w:tcPr>
            <w:tcW w:w="80" w:type="dxa"/>
            <w:vAlign w:val="bottom"/>
          </w:tcPr>
          <w:p>
            <w:pPr>
              <w:spacing w:after="0"/>
              <w:rPr>
                <w:sz w:val="7"/>
                <w:szCs w:val="7"/>
                <w:color w:val="auto"/>
              </w:rPr>
            </w:pPr>
          </w:p>
        </w:tc>
        <w:tc>
          <w:tcPr>
            <w:tcW w:w="1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w:t>
            </w:r>
          </w:p>
        </w:tc>
        <w:tc>
          <w:tcPr>
            <w:tcW w:w="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130,530</w:t>
            </w:r>
          </w:p>
        </w:tc>
        <w:tc>
          <w:tcPr>
            <w:tcW w:w="0" w:type="dxa"/>
            <w:vAlign w:val="bottom"/>
          </w:tcPr>
          <w:p>
            <w:pPr>
              <w:spacing w:after="0"/>
              <w:rPr>
                <w:sz w:val="1"/>
                <w:szCs w:val="1"/>
                <w:color w:val="auto"/>
              </w:rPr>
            </w:pPr>
          </w:p>
        </w:tc>
      </w:tr>
      <w:tr>
        <w:trPr>
          <w:trHeight w:val="135"/>
        </w:trPr>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280"/>
        <w:spacing w:after="0" w:line="266" w:lineRule="auto"/>
        <w:rPr>
          <w:sz w:val="20"/>
          <w:szCs w:val="20"/>
          <w:color w:val="auto"/>
        </w:rPr>
      </w:pPr>
      <w:r>
        <w:rPr>
          <w:rFonts w:ascii="Arial" w:cs="Arial" w:eastAsia="Arial" w:hAnsi="Arial"/>
          <w:sz w:val="18"/>
          <w:szCs w:val="18"/>
          <w:b w:val="1"/>
          <w:bCs w:val="1"/>
          <w:color w:val="auto"/>
        </w:rPr>
        <w:t>THE VITA COCO COMPANY, INC. AND SUBSIDIARIES CONDENSED CONSOLIDATED STATEMENTS OF CASH FLOWS (UNAUDITED)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64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Pr>
          <w:p>
            <w:pPr>
              <w:spacing w:after="0"/>
              <w:rPr>
                <w:sz w:val="16"/>
                <w:szCs w:val="16"/>
                <w:color w:val="auto"/>
              </w:rPr>
            </w:pPr>
          </w:p>
        </w:tc>
      </w:tr>
      <w:tr>
        <w:trPr>
          <w:trHeight w:val="26"/>
        </w:trPr>
        <w:tc>
          <w:tcPr>
            <w:tcW w:w="7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3,366</w:t>
            </w:r>
          </w:p>
        </w:tc>
        <w:tc>
          <w:tcPr>
            <w:tcW w:w="80" w:type="dxa"/>
            <w:vAlign w:val="bottom"/>
          </w:tcPr>
          <w:p>
            <w:pPr>
              <w:spacing w:after="0"/>
              <w:rPr>
                <w:sz w:val="19"/>
                <w:szCs w:val="19"/>
                <w:color w:val="auto"/>
              </w:rPr>
            </w:pP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9,422</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required to reconcile net income to cash flows from operating activities: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96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29"/>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(Gain)/loss on disposal of equipment</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960" w:type="dxa"/>
            <w:vAlign w:val="bottom"/>
          </w:tcPr>
          <w:p>
            <w:pPr>
              <w:ind w:left="680"/>
              <w:spacing w:after="0"/>
              <w:rPr>
                <w:sz w:val="20"/>
                <w:szCs w:val="20"/>
                <w:color w:val="auto"/>
              </w:rPr>
            </w:pPr>
            <w:r>
              <w:rPr>
                <w:rFonts w:ascii="Arial" w:cs="Arial" w:eastAsia="Arial" w:hAnsi="Arial"/>
                <w:sz w:val="18"/>
                <w:szCs w:val="18"/>
                <w:color w:val="auto"/>
              </w:rPr>
              <w:t>Bad debt expense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Unrealized (gain)/loss on derivative instruments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r>
      <w:tr>
        <w:trPr>
          <w:trHeight w:val="230"/>
        </w:trPr>
        <w:tc>
          <w:tcPr>
            <w:tcW w:w="7960" w:type="dxa"/>
            <w:vAlign w:val="bottom"/>
          </w:tcPr>
          <w:p>
            <w:pPr>
              <w:ind w:left="68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1,012</w:t>
            </w:r>
          </w:p>
        </w:tc>
      </w:tr>
      <w:tr>
        <w:trPr>
          <w:trHeight w:val="229"/>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lease expense</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tcPr>
          <w:p>
            <w:pPr>
              <w:ind w:left="680"/>
              <w:spacing w:after="0"/>
              <w:rPr>
                <w:sz w:val="20"/>
                <w:szCs w:val="20"/>
                <w:color w:val="auto"/>
              </w:rPr>
            </w:pPr>
            <w:r>
              <w:rPr>
                <w:rFonts w:ascii="Arial" w:cs="Arial" w:eastAsia="Arial" w:hAnsi="Arial"/>
                <w:sz w:val="18"/>
                <w:szCs w:val="18"/>
                <w:color w:val="auto"/>
              </w:rPr>
              <w:t>Deferred tax expense</w:t>
            </w:r>
          </w:p>
        </w:tc>
        <w:tc>
          <w:tcPr>
            <w:tcW w:w="9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960" w:type="dxa"/>
            <w:vAlign w:val="bottom"/>
          </w:tcPr>
          <w:p>
            <w:pPr>
              <w:ind w:left="110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(27,167)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(31,930)</w:t>
            </w:r>
          </w:p>
        </w:tc>
      </w:tr>
      <w:tr>
        <w:trPr>
          <w:trHeight w:val="229"/>
        </w:trPr>
        <w:tc>
          <w:tcPr>
            <w:tcW w:w="79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Inventory</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(14,639)</w:t>
            </w:r>
          </w:p>
        </w:tc>
      </w:tr>
      <w:tr>
        <w:trPr>
          <w:trHeight w:val="230"/>
        </w:trPr>
        <w:tc>
          <w:tcPr>
            <w:tcW w:w="7960" w:type="dxa"/>
            <w:vAlign w:val="bottom"/>
          </w:tcPr>
          <w:p>
            <w:pPr>
              <w:ind w:left="1100"/>
              <w:spacing w:after="0"/>
              <w:rPr>
                <w:sz w:val="20"/>
                <w:szCs w:val="20"/>
                <w:color w:val="auto"/>
              </w:rPr>
            </w:pPr>
            <w:r>
              <w:rPr>
                <w:rFonts w:ascii="Arial" w:cs="Arial" w:eastAsia="Arial" w:hAnsi="Arial"/>
                <w:sz w:val="18"/>
                <w:szCs w:val="18"/>
                <w:color w:val="auto"/>
              </w:rPr>
              <w:t>Prepaid expenses, net supplier advances, and other assets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(5,713)</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1,452</w:t>
            </w:r>
          </w:p>
        </w:tc>
      </w:tr>
      <w:tr>
        <w:trPr>
          <w:trHeight w:val="229"/>
        </w:trPr>
        <w:tc>
          <w:tcPr>
            <w:tcW w:w="79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Accounts payable, accrued expenses, and other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20,968</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(33,372)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(15,772)</w:t>
            </w: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0"/>
        </w:trPr>
        <w:tc>
          <w:tcPr>
            <w:tcW w:w="7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Cash paid for property and equipment</w:t>
            </w: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79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0"/>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options/warrants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Borrowings on credit facility</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13,000</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borrowings on credit facility</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(30,000)</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Cash received (paid) on notes payable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30,029</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to acquire treasury stock</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(50,003)</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22,226</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(36,955)</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Effects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(12,279)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(52,693)</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the period</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28,690</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72,181</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Cash and cash equivalents at end of the period</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16,411</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19,488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97"/>
        </w:trPr>
        <w:tc>
          <w:tcPr>
            <w:tcW w:w="7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9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807</w:t>
            </w:r>
          </w:p>
        </w:tc>
        <w:tc>
          <w:tcPr>
            <w:tcW w:w="80" w:type="dxa"/>
            <w:vAlign w:val="bottom"/>
          </w:tcPr>
          <w:p>
            <w:pPr>
              <w:spacing w:after="0"/>
              <w:rPr>
                <w:sz w:val="19"/>
                <w:szCs w:val="19"/>
                <w:color w:val="auto"/>
              </w:rPr>
            </w:pP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040"/>
        <w:spacing w:after="0" w:line="266" w:lineRule="auto"/>
        <w:rPr>
          <w:sz w:val="20"/>
          <w:szCs w:val="20"/>
          <w:color w:val="auto"/>
        </w:rPr>
      </w:pPr>
      <w:r>
        <w:rPr>
          <w:rFonts w:ascii="Arial" w:cs="Arial" w:eastAsia="Arial" w:hAnsi="Arial"/>
          <w:sz w:val="18"/>
          <w:szCs w:val="18"/>
          <w:b w:val="1"/>
          <w:bCs w:val="1"/>
          <w:color w:val="auto"/>
        </w:rPr>
        <w:t>THE VITA COCO COMPANY, INC. AND SUBSIDIARIES NOTES TO CONDENSED CONSOLIDATED FINANCIAL STATEMENTS (UNAUDITED) (Amounts in thousands, except share and per share amounts)</w:t>
      </w:r>
    </w:p>
    <w:p>
      <w:pPr>
        <w:spacing w:after="0" w:line="28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NATURE OF BUSINESS AND BASIS OF PRESENTATION</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 xml:space="preserve">The Vita Coco Company, Inc. and subsidiaries (formerly known as All Market Inc.) (the “Company”) develops, markets, and distributes various coconut water products under the brand name </w:t>
      </w:r>
      <w:r>
        <w:rPr>
          <w:rFonts w:ascii="Arial" w:cs="Arial" w:eastAsia="Arial" w:hAnsi="Arial"/>
          <w:sz w:val="18"/>
          <w:szCs w:val="18"/>
          <w:i w:val="1"/>
          <w:iCs w:val="1"/>
          <w:color w:val="auto"/>
        </w:rPr>
        <w:t>Vita Coco</w:t>
      </w:r>
      <w:r>
        <w:rPr>
          <w:rFonts w:ascii="Arial" w:cs="Arial" w:eastAsia="Arial" w:hAnsi="Arial"/>
          <w:sz w:val="18"/>
          <w:szCs w:val="18"/>
          <w:color w:val="auto"/>
        </w:rPr>
        <w:t xml:space="preserve"> and for retailers' own brands, predominantly in the United States. Other products include coconut oil, coconut milk, coconut as a commodity, natural energy drinks (under the brand name </w:t>
      </w:r>
      <w:r>
        <w:rPr>
          <w:rFonts w:ascii="Arial" w:cs="Arial" w:eastAsia="Arial" w:hAnsi="Arial"/>
          <w:sz w:val="18"/>
          <w:szCs w:val="18"/>
          <w:i w:val="1"/>
          <w:iCs w:val="1"/>
          <w:color w:val="auto"/>
        </w:rPr>
        <w:t>Runa</w:t>
      </w:r>
      <w:r>
        <w:rPr>
          <w:rFonts w:ascii="Arial" w:cs="Arial" w:eastAsia="Arial" w:hAnsi="Arial"/>
          <w:sz w:val="18"/>
          <w:szCs w:val="18"/>
          <w:color w:val="auto"/>
        </w:rPr>
        <w:t xml:space="preserve">), water (under the brand name </w:t>
      </w:r>
      <w:r>
        <w:rPr>
          <w:rFonts w:ascii="Arial" w:cs="Arial" w:eastAsia="Arial" w:hAnsi="Arial"/>
          <w:sz w:val="18"/>
          <w:szCs w:val="18"/>
          <w:i w:val="1"/>
          <w:iCs w:val="1"/>
          <w:color w:val="auto"/>
        </w:rPr>
        <w:t>Ever &amp; Ever</w:t>
      </w:r>
      <w:r>
        <w:rPr>
          <w:rFonts w:ascii="Arial" w:cs="Arial" w:eastAsia="Arial" w:hAnsi="Arial"/>
          <w:sz w:val="18"/>
          <w:szCs w:val="18"/>
          <w:color w:val="auto"/>
        </w:rPr>
        <w:t xml:space="preserve">) and protein infused fitness drinks (under the brand name </w:t>
      </w:r>
      <w:r>
        <w:rPr>
          <w:rFonts w:ascii="Arial" w:cs="Arial" w:eastAsia="Arial" w:hAnsi="Arial"/>
          <w:sz w:val="18"/>
          <w:szCs w:val="18"/>
          <w:i w:val="1"/>
          <w:iCs w:val="1"/>
          <w:color w:val="auto"/>
        </w:rPr>
        <w:t>PWR LIFT)</w:t>
      </w:r>
      <w:r>
        <w:rPr>
          <w:rFonts w:ascii="Arial" w:cs="Arial" w:eastAsia="Arial" w:hAnsi="Arial"/>
          <w:sz w:val="18"/>
          <w:szCs w:val="18"/>
          <w:color w:val="auto"/>
        </w:rPr>
        <w:t>.</w:t>
      </w:r>
    </w:p>
    <w:p>
      <w:pPr>
        <w:spacing w:after="0" w:line="187"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 xml:space="preserve">The Company was incorporated in Delaware on January 17, 2007. In 2018, the Company purchased certain assets and liabilities of </w:t>
      </w:r>
      <w:r>
        <w:rPr>
          <w:rFonts w:ascii="Arial" w:cs="Arial" w:eastAsia="Arial" w:hAnsi="Arial"/>
          <w:sz w:val="18"/>
          <w:szCs w:val="18"/>
          <w:i w:val="1"/>
          <w:iCs w:val="1"/>
          <w:color w:val="auto"/>
        </w:rPr>
        <w:t>Runa</w:t>
      </w:r>
      <w:r>
        <w:rPr>
          <w:rFonts w:ascii="Arial" w:cs="Arial" w:eastAsia="Arial" w:hAnsi="Arial"/>
          <w:sz w:val="18"/>
          <w:szCs w:val="18"/>
          <w:color w:val="auto"/>
        </w:rPr>
        <w:t>, which is marketed and distributed primarily in the United States. Effective as of September 9, 2021, the name of the Company was changed from All Market Inc. to The Vita Coco Company, Inc.</w:t>
      </w:r>
    </w:p>
    <w:p>
      <w:pPr>
        <w:spacing w:after="0" w:line="184"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The Company has nine wholly-owned subsidiaries including four wholly-owned Asian subsidiaries established between fiscal year 2012 and 2015, one North American subsidiary established in 2015, as well as All Market Europe, Ltd. (AME) in the United Kingdom. AME was established in fiscal year 2009 and has 100% ownership in two European subsidiaries established in 2015. The non-controlling interest in AME represented minority stockholders’ proportionate share of the equity in AME during the fiscal year 2021, which was fully acquired by the Company as of December 31, 2021. One of the wholly-owned Asian subsidiaries, All Market Singapore Pte Ltd (AMS), has 100% ownership in one subsidiary established in fiscal year 2018 in Ecuador.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Company’s registration statement on Form S-1, as amended, was declared effective by the Securities and Exchange Commission ("SEC") on October 20, 2021 and related to the initial public offering ("IPO") of its common stock in the prospectus dated October 20, 2021, filed with the SEC in accordance with Rule 424(b)(4) of the Securities Act on October 22, 2021 (the “Prospectus”). On October 21, 2021, the Company’s shares began trading on the NASDAQ under the ticker symbol “COCO”. On October 25, 2021, we completed our IPO by issuing 2,500,000 shares of our common stock, $0.01 par value per share, at a price to the public of $15 per share, resulting in net proceeds to us of approximately $30,000, after deducting the underwriting discount and commissions of approximately $2,000 and offering expenses of approximately $5,000. Additionally, certain selling stockholders sold an aggregate of 9,000,000 shares. On October, 27, 2021, the Company used the net proceeds from the IPO to repay the outstanding balance on the 2021 Term Loan.</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Concurrent with the IPO, various agreements were amended or newly effective, which are further described in our Prospectus, which include:</w:t>
      </w:r>
    </w:p>
    <w:p>
      <w:pPr>
        <w:spacing w:after="0" w:line="129" w:lineRule="exact"/>
        <w:rPr>
          <w:sz w:val="20"/>
          <w:szCs w:val="20"/>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Rights agreement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Investor Rights agreement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Amendments to the employment agreements for the then co-CEOs, Mike Kirban and Martin Roper;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Adoption of the 2021 Stock Incentive Award Plan and grants of awards to employees and directors,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Adoption of the 2021 Employee Stock Purchase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 and Current Geopolitical Instability</w:t>
      </w:r>
    </w:p>
    <w:p>
      <w:pPr>
        <w:spacing w:after="0" w:line="117"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Disruptions in the worldwide economy may affect our business, and the macroeconomic environment continues to be affected by the COVID-19 pandemic and the current geopolitical instability (including the effects of the conflict between Ukraine and Russia). As a result, the Company has seen significant cost inflation to domestic and international shipping costs and some inflationary pressures on other cost elements, only some of which have been covered by pricing actions to date. The Company is continuing to monitor the situation carefully to understand any future potential impact 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its people and business. As a result, it is not currently possible to ascertain the overall impact of COVID-19 or the ongoing geopolitical instability on the Company’s business, results of operations, financial condition or liquidity. Future events and effects related to COVID-19 or the ongoing geopolitical instability cannot be determined with precision and actual results could significantly differ from estimates or forecasts.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11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2022 or for any other interim period or for any other future year. The condensed consolidated balance sheet as of June 30, 2022 is unaudited and should be read in conjunction with the audited consolidated financial statements and the related notes thereto for the fiscal year ended December 31, 2021.</w:t>
      </w:r>
    </w:p>
    <w:p>
      <w:pPr>
        <w:spacing w:after="0" w:line="192"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During the six months ended June 30, 2022, there were no significant changes to the Company’s significant accounting policies as described in the Company’s audited consolidated financial statement as of and for the year ended December 31, 2021, except for the adoption of the new lease standard described in "Recently Adopted Accounting Pronouncements" in the Summary of Significant Accounting Policies (Note 2).</w:t>
      </w:r>
    </w:p>
    <w:p>
      <w:pPr>
        <w:spacing w:after="0" w:line="273"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condensed consolidated financial statements are presented in accordance with U.S. GAAP.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The condensed consolidated financial statements include all the accounts of the wholly-owned subsidiaries. All intercompany accounts and transactions have been eliminated in consolidation. The non-controlling interest in consolidated subsidiaries presented in the accompanying condensed consolidated financial statements for periods prior to December 31, 2021 represents the portion of AME stockholders’ equity, which was not directly owned by the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the determination of allowance for uncollectible accounts, assessing goodwill for impairment, the determination of the value of trade promotions, and assessing the realizability of deferred income taxes. Actual results could differ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financial institutions and any excess cash above a certain minimum balance may be invested in overnight money market treasury deposits in widely diversified accounts.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54% of total net sales for both the six months ended June 30, 2022 and 2021. In addition, the two customers in aggregate also accounted for 42% and 37% of total accounts receivable as of June 30, 2022 and December 31, 2021, respectively. The Company has not experienced credit issues with these customers.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60" w:firstLine="486"/>
        <w:spacing w:after="0" w:line="270" w:lineRule="auto"/>
        <w:rPr>
          <w:sz w:val="20"/>
          <w:szCs w:val="20"/>
          <w:color w:val="auto"/>
        </w:rPr>
      </w:pPr>
      <w:r>
        <w:rPr>
          <w:rFonts w:ascii="Arial" w:cs="Arial" w:eastAsia="Arial" w:hAnsi="Arial"/>
          <w:sz w:val="17"/>
          <w:szCs w:val="17"/>
          <w:color w:val="auto"/>
        </w:rPr>
        <w:t xml:space="preserve">In February 2016, the Financial Accounting Standards Board ("FASB") issued </w:t>
      </w:r>
      <w:r>
        <w:rPr>
          <w:rFonts w:ascii="Arial" w:cs="Arial" w:eastAsia="Arial" w:hAnsi="Arial"/>
          <w:sz w:val="17"/>
          <w:szCs w:val="17"/>
          <w:i w:val="1"/>
          <w:iCs w:val="1"/>
          <w:color w:val="auto"/>
        </w:rPr>
        <w:t>ASC 842</w:t>
      </w:r>
      <w:r>
        <w:rPr>
          <w:rFonts w:ascii="Arial" w:cs="Arial" w:eastAsia="Arial" w:hAnsi="Arial"/>
          <w:sz w:val="17"/>
          <w:szCs w:val="17"/>
          <w:color w:val="auto"/>
        </w:rPr>
        <w:t xml:space="preserve">, which was amended by subsequent ASUs, to enhance the comparability and usefulness of financial reporting around leasing activity. The new standard supersedes the existing authoritative literature for lease accounting under </w:t>
      </w:r>
      <w:r>
        <w:rPr>
          <w:rFonts w:ascii="Arial" w:cs="Arial" w:eastAsia="Arial" w:hAnsi="Arial"/>
          <w:sz w:val="17"/>
          <w:szCs w:val="17"/>
          <w:i w:val="1"/>
          <w:iCs w:val="1"/>
          <w:color w:val="auto"/>
        </w:rPr>
        <w:t>ASC 840</w:t>
      </w:r>
      <w:r>
        <w:rPr>
          <w:rFonts w:ascii="Arial" w:cs="Arial" w:eastAsia="Arial" w:hAnsi="Arial"/>
          <w:sz w:val="17"/>
          <w:szCs w:val="17"/>
          <w:color w:val="auto"/>
        </w:rPr>
        <w:t xml:space="preserve">, with a focus on applying a “right-of-use model.” The guidance for leases under </w:t>
      </w:r>
      <w:r>
        <w:rPr>
          <w:rFonts w:ascii="Arial" w:cs="Arial" w:eastAsia="Arial" w:hAnsi="Arial"/>
          <w:sz w:val="17"/>
          <w:szCs w:val="17"/>
          <w:i w:val="1"/>
          <w:iCs w:val="1"/>
          <w:color w:val="auto"/>
        </w:rPr>
        <w:t>ASC 842</w:t>
      </w:r>
      <w:r>
        <w:rPr>
          <w:rFonts w:ascii="Arial" w:cs="Arial" w:eastAsia="Arial" w:hAnsi="Arial"/>
          <w:sz w:val="17"/>
          <w:szCs w:val="17"/>
          <w:color w:val="auto"/>
        </w:rPr>
        <w:t xml:space="preserve"> results in a right-of-use asset (“ROU asset”) and lease liability being reported on the balance sheet for leases with a lease term greater than twelve months. In June 2020, the FASB issued </w:t>
      </w:r>
      <w:r>
        <w:rPr>
          <w:rFonts w:ascii="Arial" w:cs="Arial" w:eastAsia="Arial" w:hAnsi="Arial"/>
          <w:sz w:val="17"/>
          <w:szCs w:val="17"/>
          <w:i w:val="1"/>
          <w:iCs w:val="1"/>
          <w:color w:val="auto"/>
        </w:rPr>
        <w:t>ASU</w:t>
      </w:r>
      <w:r>
        <w:rPr>
          <w:rFonts w:ascii="Arial" w:cs="Arial" w:eastAsia="Arial" w:hAnsi="Arial"/>
          <w:sz w:val="17"/>
          <w:szCs w:val="17"/>
          <w:color w:val="auto"/>
        </w:rPr>
        <w:t xml:space="preserve"> </w:t>
      </w:r>
      <w:r>
        <w:rPr>
          <w:rFonts w:ascii="Arial" w:cs="Arial" w:eastAsia="Arial" w:hAnsi="Arial"/>
          <w:sz w:val="17"/>
          <w:szCs w:val="17"/>
          <w:i w:val="1"/>
          <w:iCs w:val="1"/>
          <w:color w:val="auto"/>
        </w:rPr>
        <w:t>2020-05</w:t>
      </w:r>
      <w:r>
        <w:rPr>
          <w:rFonts w:ascii="Arial" w:cs="Arial" w:eastAsia="Arial" w:hAnsi="Arial"/>
          <w:sz w:val="17"/>
          <w:szCs w:val="17"/>
          <w:color w:val="auto"/>
        </w:rPr>
        <w:t>,</w:t>
      </w:r>
      <w:r>
        <w:rPr>
          <w:rFonts w:ascii="Arial" w:cs="Arial" w:eastAsia="Arial" w:hAnsi="Arial"/>
          <w:sz w:val="17"/>
          <w:szCs w:val="17"/>
          <w:i w:val="1"/>
          <w:iCs w:val="1"/>
          <w:color w:val="auto"/>
        </w:rPr>
        <w:t xml:space="preserve"> Revenue from Contracts with Customers </w:t>
      </w:r>
      <w:r>
        <w:rPr>
          <w:rFonts w:ascii="Arial" w:cs="Arial" w:eastAsia="Arial" w:hAnsi="Arial"/>
          <w:sz w:val="17"/>
          <w:szCs w:val="17"/>
          <w:color w:val="auto"/>
        </w:rPr>
        <w:t>(Topic 606) and</w:t>
      </w:r>
      <w:r>
        <w:rPr>
          <w:rFonts w:ascii="Arial" w:cs="Arial" w:eastAsia="Arial" w:hAnsi="Arial"/>
          <w:sz w:val="17"/>
          <w:szCs w:val="17"/>
          <w:i w:val="1"/>
          <w:iCs w:val="1"/>
          <w:color w:val="auto"/>
        </w:rPr>
        <w:t xml:space="preserve"> Leases </w:t>
      </w:r>
      <w:r>
        <w:rPr>
          <w:rFonts w:ascii="Arial" w:cs="Arial" w:eastAsia="Arial" w:hAnsi="Arial"/>
          <w:sz w:val="17"/>
          <w:szCs w:val="17"/>
          <w:color w:val="auto"/>
        </w:rPr>
        <w:t>(Topic 842): Effective Dates for certain Entities, which deferred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date of </w:t>
      </w:r>
      <w:r>
        <w:rPr>
          <w:rFonts w:ascii="Arial" w:cs="Arial" w:eastAsia="Arial" w:hAnsi="Arial"/>
          <w:sz w:val="17"/>
          <w:szCs w:val="17"/>
          <w:i w:val="1"/>
          <w:iCs w:val="1"/>
          <w:color w:val="auto"/>
        </w:rPr>
        <w:t>ASU 2016-02</w:t>
      </w:r>
      <w:r>
        <w:rPr>
          <w:rFonts w:ascii="Arial" w:cs="Arial" w:eastAsia="Arial" w:hAnsi="Arial"/>
          <w:sz w:val="17"/>
          <w:szCs w:val="17"/>
          <w:color w:val="auto"/>
        </w:rPr>
        <w:t xml:space="preserve"> for certain entities. </w:t>
      </w:r>
      <w:r>
        <w:rPr>
          <w:rFonts w:ascii="Arial" w:cs="Arial" w:eastAsia="Arial" w:hAnsi="Arial"/>
          <w:sz w:val="17"/>
          <w:szCs w:val="17"/>
          <w:i w:val="1"/>
          <w:iCs w:val="1"/>
          <w:color w:val="auto"/>
        </w:rPr>
        <w:t>ASC 842</w:t>
      </w:r>
      <w:r>
        <w:rPr>
          <w:rFonts w:ascii="Arial" w:cs="Arial" w:eastAsia="Arial" w:hAnsi="Arial"/>
          <w:sz w:val="17"/>
          <w:szCs w:val="17"/>
          <w:color w:val="auto"/>
        </w:rPr>
        <w:t xml:space="preserve"> is effective for the Company, as an Emerging Growth Company (“EGC”), for annual reporting periods beginning after December 15, 2021 and for interim periods beginning after December 15, 2022. The Company adopted the standard on January 1, 2022 using the alternative modified retrospective transition approach in accordance with </w:t>
      </w:r>
      <w:r>
        <w:rPr>
          <w:rFonts w:ascii="Arial" w:cs="Arial" w:eastAsia="Arial" w:hAnsi="Arial"/>
          <w:sz w:val="17"/>
          <w:szCs w:val="17"/>
          <w:i w:val="1"/>
          <w:iCs w:val="1"/>
          <w:color w:val="auto"/>
        </w:rPr>
        <w:t>ASU 2018-11</w:t>
      </w:r>
      <w:r>
        <w:rPr>
          <w:rFonts w:ascii="Arial" w:cs="Arial" w:eastAsia="Arial" w:hAnsi="Arial"/>
          <w:sz w:val="17"/>
          <w:szCs w:val="17"/>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Targeted Improvements, where the adoption date represents the initial date of application.</w:t>
      </w:r>
    </w:p>
    <w:p>
      <w:pPr>
        <w:spacing w:after="0" w:line="194" w:lineRule="exact"/>
        <w:rPr>
          <w:sz w:val="20"/>
          <w:szCs w:val="20"/>
          <w:color w:val="auto"/>
        </w:rPr>
      </w:pPr>
    </w:p>
    <w:p>
      <w:pPr>
        <w:ind w:right="160" w:firstLine="648"/>
        <w:spacing w:after="0" w:line="294" w:lineRule="auto"/>
        <w:rPr>
          <w:sz w:val="20"/>
          <w:szCs w:val="20"/>
          <w:color w:val="auto"/>
        </w:rPr>
      </w:pPr>
      <w:r>
        <w:rPr>
          <w:rFonts w:ascii="Arial" w:cs="Arial" w:eastAsia="Arial" w:hAnsi="Arial"/>
          <w:sz w:val="16"/>
          <w:szCs w:val="16"/>
          <w:color w:val="auto"/>
        </w:rPr>
        <w:t>As part of its adoption, the Company elected to apply the package of practical expedients requiring no reassessment of whether any expired or existing contracts are or contain leases, the lease classification of any expired or existing leases, or the capitalization of initial direct costs for any existing leases. Additionally, the Company elected the practical expedient that permits the exclusion of leases considered to be short-term.</w:t>
      </w:r>
    </w:p>
    <w:p>
      <w:pPr>
        <w:spacing w:after="0" w:line="174" w:lineRule="exact"/>
        <w:rPr>
          <w:sz w:val="20"/>
          <w:szCs w:val="20"/>
          <w:color w:val="auto"/>
        </w:rPr>
      </w:pPr>
    </w:p>
    <w:p>
      <w:pPr>
        <w:ind w:right="100" w:firstLine="648"/>
        <w:spacing w:after="0" w:line="272" w:lineRule="auto"/>
        <w:rPr>
          <w:sz w:val="20"/>
          <w:szCs w:val="20"/>
          <w:color w:val="auto"/>
        </w:rPr>
      </w:pPr>
      <w:r>
        <w:rPr>
          <w:rFonts w:ascii="Arial" w:cs="Arial" w:eastAsia="Arial" w:hAnsi="Arial"/>
          <w:sz w:val="16"/>
          <w:szCs w:val="16"/>
          <w:color w:val="auto"/>
        </w:rPr>
        <w:t xml:space="preserve">Under the alternative modified retrospective transition approach, the reported results for 2022 reflect the application of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guidance, whereas comparative periods and the respective disclosures prior to the adoption of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are presented using the legacy guidance of </w:t>
      </w:r>
      <w:r>
        <w:rPr>
          <w:rFonts w:ascii="Arial" w:cs="Arial" w:eastAsia="Arial" w:hAnsi="Arial"/>
          <w:sz w:val="16"/>
          <w:szCs w:val="16"/>
          <w:i w:val="1"/>
          <w:iCs w:val="1"/>
          <w:color w:val="auto"/>
        </w:rPr>
        <w:t>ASC 840</w:t>
      </w:r>
      <w:r>
        <w:rPr>
          <w:rFonts w:ascii="Arial" w:cs="Arial" w:eastAsia="Arial" w:hAnsi="Arial"/>
          <w:sz w:val="16"/>
          <w:szCs w:val="16"/>
          <w:color w:val="auto"/>
        </w:rPr>
        <w:t>. As a result of adopting the new standard, the Company recognized right-of-use assets and lease liabilities of $1,866 and $2,097, respectively, on the Company’s consolidated balance sheet as of January 1, 2022. The difference of $231 between the operating lease right-of-use assets and operating lease liabilities represents reclassification of deferred rent liability from other liabilities to operating lease right-to-use assets at the adoption date. The adoption of the standard did not have a material impact on the Company’s consolidated statements of operations, or consolidated statements of cash flows.</w:t>
      </w:r>
    </w:p>
    <w:p>
      <w:pPr>
        <w:spacing w:after="0" w:line="193"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In June 2022, the Company extended its lease agreement for the New York office to April 30, 2025 and remeasured the lease liability and right-of-use asset as of June 30, 2022.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As a company with less than $1.07 billion of revenue during the last fiscal year, the Company qualifies as an “emerging growth company”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 xml:space="preserve">Prior to adopting </w:t>
      </w:r>
      <w:r>
        <w:rPr>
          <w:rFonts w:ascii="Arial" w:cs="Arial" w:eastAsia="Arial" w:hAnsi="Arial"/>
          <w:sz w:val="16"/>
          <w:szCs w:val="16"/>
          <w:i w:val="1"/>
          <w:iCs w:val="1"/>
          <w:color w:val="auto"/>
        </w:rPr>
        <w:t>ASU 2016-02</w:t>
      </w:r>
      <w:r>
        <w:rPr>
          <w:rFonts w:ascii="Arial" w:cs="Arial" w:eastAsia="Arial" w:hAnsi="Arial"/>
          <w:sz w:val="16"/>
          <w:szCs w:val="16"/>
          <w:color w:val="auto"/>
        </w:rPr>
        <w:t>, Leases (Topic 842)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on January 1, 2022 as described in "Recently Adopted Accounting Pronouncements" within this Note, the Company applied the lease accounting guidance as issued in </w:t>
      </w:r>
      <w:r>
        <w:rPr>
          <w:rFonts w:ascii="Arial" w:cs="Arial" w:eastAsia="Arial" w:hAnsi="Arial"/>
          <w:sz w:val="16"/>
          <w:szCs w:val="16"/>
          <w:i w:val="1"/>
          <w:iCs w:val="1"/>
          <w:color w:val="auto"/>
        </w:rPr>
        <w:t>ASC 840</w:t>
      </w:r>
      <w:r>
        <w:rPr>
          <w:rFonts w:ascii="Arial" w:cs="Arial" w:eastAsia="Arial" w:hAnsi="Arial"/>
          <w:sz w:val="16"/>
          <w:szCs w:val="16"/>
          <w:color w:val="auto"/>
        </w:rPr>
        <w:t xml:space="preserve">. Under </w:t>
      </w:r>
      <w:r>
        <w:rPr>
          <w:rFonts w:ascii="Arial" w:cs="Arial" w:eastAsia="Arial" w:hAnsi="Arial"/>
          <w:sz w:val="16"/>
          <w:szCs w:val="16"/>
          <w:i w:val="1"/>
          <w:iCs w:val="1"/>
          <w:color w:val="auto"/>
        </w:rPr>
        <w:t>ASC 840</w:t>
      </w:r>
      <w:r>
        <w:rPr>
          <w:rFonts w:ascii="Arial" w:cs="Arial" w:eastAsia="Arial" w:hAnsi="Arial"/>
          <w:sz w:val="16"/>
          <w:szCs w:val="16"/>
          <w:color w:val="auto"/>
        </w:rPr>
        <w:t>, the Company classified its leases as operating or capital based on the evaluation of certain criteria that served to indicate whether the risks and rewards of ownership of the underlying asset had been transferred to the lessee. For leases that contained rent escalations or rent holidays, the Company recorded the total rent expense on a straight-line basis over the lease term and recorded the difference between the rent paid and the straight-line rent expense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as deferred rent on the balance sheet. Any tenant incentives received from the lessor were recorded as a reduction to rent expense over the lease term.</w:t>
      </w:r>
    </w:p>
    <w:p>
      <w:pPr>
        <w:spacing w:after="0" w:line="14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i w:val="1"/>
          <w:iCs w:val="1"/>
          <w:color w:val="auto"/>
        </w:rPr>
        <w:t>ASC 842</w:t>
      </w:r>
      <w:r>
        <w:rPr>
          <w:rFonts w:ascii="Arial" w:cs="Arial" w:eastAsia="Arial" w:hAnsi="Arial"/>
          <w:sz w:val="18"/>
          <w:szCs w:val="18"/>
          <w:color w:val="auto"/>
        </w:rPr>
        <w:t>, at the inception of an arrangement, the Company determines whether the arrangement is or contains a lease based on the unique facts and circumstances present in the arrangement, including which party controls the use of identified assets. The Company classifies leases with a term greater than one year as either operating or finance leases at the commencement date and records a right-of-use asset and current and non-current lease liabilities, as applicable on the balance sheet. The Company has elected not to recognize on the balance sheet leases with terms of one year or less, but payments are recognized as expense on a straight-line basis over the lease term. If a lease includes options to extend the lease term, the Company does not assume the option will be exercised unless there is reasonable certainty that the Company will renew based on an assessment of economic factors present at the lease commencement date.</w:t>
      </w:r>
    </w:p>
    <w:p>
      <w:pPr>
        <w:spacing w:after="0" w:line="87"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 xml:space="preserve">The Company measures its lease liability for each leased asset as the present value of lease payments, as defined in </w:t>
      </w:r>
      <w:r>
        <w:rPr>
          <w:rFonts w:ascii="Arial" w:cs="Arial" w:eastAsia="Arial" w:hAnsi="Arial"/>
          <w:sz w:val="17"/>
          <w:szCs w:val="17"/>
          <w:i w:val="1"/>
          <w:iCs w:val="1"/>
          <w:color w:val="auto"/>
        </w:rPr>
        <w:t>ASC 842</w:t>
      </w:r>
      <w:r>
        <w:rPr>
          <w:rFonts w:ascii="Arial" w:cs="Arial" w:eastAsia="Arial" w:hAnsi="Arial"/>
          <w:sz w:val="17"/>
          <w:szCs w:val="17"/>
          <w:color w:val="auto"/>
        </w:rPr>
        <w:t>, discounted using a discount rate specific to the terms of the underlying lease. The interest rate implicit in lease contracts is typically not readily determinable. As a result, the Company estimated its incremental borrowing rate for each leased asset based on the interest rate the Company would incur to borrow an amount equal to the lease payments on a collateralized basis over a similar term in a similar economic environment. The Company’s right-of-use assets are equal to the lease liability, adjusted for prepaid rent, initial direct costs and incentives, as applicable. After lease commencement and the establishment of a right-to-use asset and operating lease liability, lease expense is recorded on a straight-line basis over the lease term.</w:t>
      </w:r>
    </w:p>
    <w:p>
      <w:pPr>
        <w:spacing w:after="0" w:line="70" w:lineRule="exact"/>
        <w:rPr>
          <w:sz w:val="20"/>
          <w:szCs w:val="20"/>
          <w:color w:val="auto"/>
        </w:rPr>
      </w:pPr>
    </w:p>
    <w:p>
      <w:pPr>
        <w:ind w:firstLine="486"/>
        <w:spacing w:after="0" w:line="292" w:lineRule="auto"/>
        <w:rPr>
          <w:sz w:val="20"/>
          <w:szCs w:val="20"/>
          <w:color w:val="auto"/>
        </w:rPr>
      </w:pPr>
      <w:r>
        <w:rPr>
          <w:rFonts w:ascii="Arial" w:cs="Arial" w:eastAsia="Arial" w:hAnsi="Arial"/>
          <w:sz w:val="16"/>
          <w:szCs w:val="16"/>
          <w:color w:val="auto"/>
        </w:rPr>
        <w:t xml:space="preserve">In accordance with the guidance in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components of a lease should be split into three categories: lease components (e.g. land, building, etc.), non-lease components (e.g. common area maintenance, consumables, etc.) and non-components (e.g. property taxes, insurance, etc.). The fixed and in-substance fixed contract consideration (including any related to non-components) must be allocated to the lease components and non-lease components based on their relative fair values. The Company elected the accounting policy available under </w:t>
      </w:r>
      <w:r>
        <w:rPr>
          <w:rFonts w:ascii="Arial" w:cs="Arial" w:eastAsia="Arial" w:hAnsi="Arial"/>
          <w:sz w:val="16"/>
          <w:szCs w:val="16"/>
          <w:i w:val="1"/>
          <w:iCs w:val="1"/>
          <w:color w:val="auto"/>
        </w:rPr>
        <w:t>ASC 842</w:t>
      </w:r>
      <w:r>
        <w:rPr>
          <w:rFonts w:ascii="Arial" w:cs="Arial" w:eastAsia="Arial" w:hAnsi="Arial"/>
          <w:sz w:val="16"/>
          <w:szCs w:val="16"/>
          <w:color w:val="auto"/>
        </w:rPr>
        <w:t xml:space="preserve"> to not separate lease and non-lease components for its real estate and equipment leases. Therefore, each lease component and the related non-lease components and non-components are accounted for together as a single component. Variable costs associated with the lease, such as maintenance and utilities, are not included in the measurement of right-to-use assets and lease liabilities but rather expensed when the events determining the amount of variable consideration to be paid have occurred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Revenues are accounted for in accordance with ASC 606. The Company disaggregates revenue into the following product categories:</w:t>
      </w:r>
    </w:p>
    <w:p>
      <w:pPr>
        <w:spacing w:after="0" w:line="117" w:lineRule="exact"/>
        <w:rPr>
          <w:sz w:val="20"/>
          <w:szCs w:val="20"/>
          <w:color w:val="auto"/>
        </w:rPr>
      </w:pPr>
    </w:p>
    <w:p>
      <w:pPr>
        <w:ind w:left="820" w:hanging="326"/>
        <w:spacing w:after="0" w:line="25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Vita Coco Coconut Water</w:t>
      </w:r>
      <w:r>
        <w:rPr>
          <w:rFonts w:ascii="Arial" w:cs="Arial" w:eastAsia="Arial" w:hAnsi="Arial"/>
          <w:sz w:val="18"/>
          <w:szCs w:val="18"/>
          <w:color w:val="auto"/>
        </w:rPr>
        <w:t>—This product category consists of all branded coconut water product offerings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Vita Coco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labels,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79" w:lineRule="exact"/>
        <w:rPr>
          <w:rFonts w:ascii="Arial" w:cs="Arial" w:eastAsia="Arial" w:hAnsi="Arial"/>
          <w:sz w:val="18"/>
          <w:szCs w:val="18"/>
          <w:color w:val="auto"/>
        </w:rPr>
      </w:pPr>
    </w:p>
    <w:p>
      <w:pPr>
        <w:ind w:left="820" w:right="60" w:hanging="326"/>
        <w:spacing w:after="0" w:line="301" w:lineRule="auto"/>
        <w:tabs>
          <w:tab w:leader="none" w:pos="81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Private Label</w:t>
      </w:r>
      <w:r>
        <w:rPr>
          <w:rFonts w:ascii="Arial" w:cs="Arial" w:eastAsia="Arial" w:hAnsi="Arial"/>
          <w:sz w:val="16"/>
          <w:szCs w:val="16"/>
          <w:color w:val="auto"/>
        </w:rPr>
        <w:t>—This product category consists of all private label product offerings, which includes coconut water and oil.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49" w:lineRule="exact"/>
        <w:rPr>
          <w:rFonts w:ascii="Arial" w:cs="Arial" w:eastAsia="Arial" w:hAnsi="Arial"/>
          <w:sz w:val="16"/>
          <w:szCs w:val="16"/>
          <w:color w:val="auto"/>
        </w:rPr>
      </w:pPr>
    </w:p>
    <w:p>
      <w:pPr>
        <w:ind w:left="820" w:right="20" w:hanging="326"/>
        <w:spacing w:after="0" w:line="259"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Other</w:t>
      </w:r>
      <w:r>
        <w:rPr>
          <w:rFonts w:ascii="Arial" w:cs="Arial" w:eastAsia="Arial" w:hAnsi="Arial"/>
          <w:sz w:val="18"/>
          <w:szCs w:val="18"/>
          <w:color w:val="auto"/>
        </w:rPr>
        <w:t>—This product category consists of all other products, which includes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Runa, Ever &amp; 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PWR LIFT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offerings 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Vita Coco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product extensions beyond coconut water, such as </w:t>
      </w:r>
      <w:r>
        <w:rPr>
          <w:rFonts w:ascii="Arial" w:cs="Arial" w:eastAsia="Arial" w:hAnsi="Arial"/>
          <w:sz w:val="18"/>
          <w:szCs w:val="18"/>
          <w:i w:val="1"/>
          <w:iCs w:val="1"/>
          <w:color w:val="auto"/>
        </w:rPr>
        <w:t>Vita Coco Sparkling</w:t>
      </w:r>
      <w:r>
        <w:rPr>
          <w:rFonts w:ascii="Arial" w:cs="Arial" w:eastAsia="Arial" w:hAnsi="Arial"/>
          <w:sz w:val="18"/>
          <w:szCs w:val="18"/>
          <w:color w:val="auto"/>
        </w:rPr>
        <w:t>, coconut milk products, and other revenue transactions (e.g., bulk product sales). For these products, control is transferred upon customer receipt, at which point the Company recognizes the transaction price for the product as revenue.</w:t>
      </w:r>
    </w:p>
    <w:p>
      <w:pPr>
        <w:spacing w:after="0" w:line="18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Company excludes from revenues all taxes assessed by a governmental authority that are imposed on the sale of its products and collected from customers.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disaggregates net revenue by product type and reportable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9"/>
          </w:tcPr>
          <w:p>
            <w:pPr>
              <w:jc w:val="center"/>
              <w:ind w:left="836"/>
              <w:spacing w:after="0"/>
              <w:rPr>
                <w:sz w:val="20"/>
                <w:szCs w:val="20"/>
                <w:color w:val="auto"/>
              </w:rPr>
            </w:pPr>
            <w:r>
              <w:rPr>
                <w:rFonts w:ascii="Arial" w:cs="Arial" w:eastAsia="Arial" w:hAnsi="Arial"/>
                <w:sz w:val="14"/>
                <w:szCs w:val="14"/>
                <w:b w:val="1"/>
                <w:bCs w:val="1"/>
                <w:color w:val="auto"/>
                <w:w w:val="93"/>
              </w:rPr>
              <w:t>Three Months Ended June 30, 2022</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6"/>
                <w:szCs w:val="16"/>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76,436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11,124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20,547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23,493</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100,493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14,812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115,305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9"/>
          </w:tcPr>
          <w:p>
            <w:pPr>
              <w:jc w:val="center"/>
              <w:ind w:left="836"/>
              <w:spacing w:after="0"/>
              <w:rPr>
                <w:sz w:val="20"/>
                <w:szCs w:val="20"/>
                <w:color w:val="auto"/>
              </w:rPr>
            </w:pPr>
            <w:r>
              <w:rPr>
                <w:rFonts w:ascii="Arial" w:cs="Arial" w:eastAsia="Arial" w:hAnsi="Arial"/>
                <w:sz w:val="14"/>
                <w:szCs w:val="14"/>
                <w:b w:val="1"/>
                <w:bCs w:val="1"/>
                <w:color w:val="auto"/>
                <w:w w:val="93"/>
              </w:rPr>
              <w:t>Three Months Ended June 30, 2021</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Americas</w:t>
            </w:r>
          </w:p>
        </w:tc>
        <w:tc>
          <w:tcPr>
            <w:tcW w:w="2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5"/>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62,216</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9,863</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72,079</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3,189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15,661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101,810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gridSpan w:val="9"/>
          </w:tcPr>
          <w:p>
            <w:pPr>
              <w:jc w:val="center"/>
              <w:ind w:left="856"/>
              <w:spacing w:after="0"/>
              <w:rPr>
                <w:sz w:val="20"/>
                <w:szCs w:val="20"/>
                <w:color w:val="auto"/>
              </w:rPr>
            </w:pPr>
            <w:r>
              <w:rPr>
                <w:rFonts w:ascii="Arial" w:cs="Arial" w:eastAsia="Arial" w:hAnsi="Arial"/>
                <w:sz w:val="14"/>
                <w:szCs w:val="14"/>
                <w:b w:val="1"/>
                <w:bCs w:val="1"/>
                <w:color w:val="auto"/>
                <w:w w:val="92"/>
              </w:rPr>
              <w:t>Six Months Ended June 30, 2022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Americas</w:t>
            </w:r>
          </w:p>
        </w:tc>
        <w:tc>
          <w:tcPr>
            <w:tcW w:w="220" w:type="dxa"/>
            <w:vAlign w:val="bottom"/>
          </w:tcPr>
          <w:p>
            <w:pPr>
              <w:spacing w:after="0"/>
              <w:rPr>
                <w:sz w:val="16"/>
                <w:szCs w:val="16"/>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255"/>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30"/>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135,291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19,473</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154,764</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43,627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5,711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49,338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185,104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26,649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211,753</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9"/>
          </w:tcPr>
          <w:p>
            <w:pPr>
              <w:jc w:val="center"/>
              <w:ind w:left="856"/>
              <w:spacing w:after="0"/>
              <w:rPr>
                <w:sz w:val="20"/>
                <w:szCs w:val="20"/>
                <w:color w:val="auto"/>
              </w:rPr>
            </w:pPr>
            <w:r>
              <w:rPr>
                <w:rFonts w:ascii="Arial" w:cs="Arial" w:eastAsia="Arial" w:hAnsi="Arial"/>
                <w:sz w:val="14"/>
                <w:szCs w:val="14"/>
                <w:b w:val="1"/>
                <w:bCs w:val="1"/>
                <w:color w:val="auto"/>
                <w:w w:val="92"/>
              </w:rPr>
              <w:t>Six Months Ended June 30, 2021</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Americas</w:t>
            </w:r>
          </w:p>
        </w:tc>
        <w:tc>
          <w:tcPr>
            <w:tcW w:w="22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55"/>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104,405</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16,352</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120,757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5,377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27,260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177,260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INVENTORY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Arial" w:cs="Arial" w:eastAsia="Arial" w:hAnsi="Arial"/>
                <w:sz w:val="18"/>
                <w:szCs w:val="18"/>
                <w:color w:val="auto"/>
              </w:rPr>
              <w:t>Inventory consists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29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packaging</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64,759</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70,492</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GOODWILL AND INTANGIBLE ASSETS</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Arial" w:cs="Arial" w:eastAsia="Arial" w:hAnsi="Arial"/>
                <w:sz w:val="18"/>
                <w:szCs w:val="18"/>
                <w:color w:val="auto"/>
              </w:rPr>
              <w:t>Goodwill and Intangible Assets, net consist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center"/>
              <w:ind w:right="29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5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 xml:space="preserve">All of the Company’s goodwill is associated with the acquisition of </w:t>
      </w:r>
      <w:r>
        <w:rPr>
          <w:rFonts w:ascii="Arial" w:cs="Arial" w:eastAsia="Arial" w:hAnsi="Arial"/>
          <w:sz w:val="18"/>
          <w:szCs w:val="18"/>
          <w:i w:val="1"/>
          <w:iCs w:val="1"/>
          <w:color w:val="auto"/>
        </w:rPr>
        <w:t>Runa</w:t>
      </w:r>
      <w:r>
        <w:rPr>
          <w:rFonts w:ascii="Arial" w:cs="Arial" w:eastAsia="Arial" w:hAnsi="Arial"/>
          <w:sz w:val="18"/>
          <w:szCs w:val="18"/>
          <w:color w:val="auto"/>
        </w:rPr>
        <w:t>, which was acquired in June 2018. The goodwill is allocated to the Americas reporting unit and is tax deductible.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2022</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31, 2021</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360"/>
              <w:spacing w:after="0"/>
              <w:rPr>
                <w:sz w:val="20"/>
                <w:szCs w:val="20"/>
                <w:color w:val="auto"/>
              </w:rPr>
            </w:pPr>
            <w:r>
              <w:rPr>
                <w:rFonts w:ascii="Arial" w:cs="Arial" w:eastAsia="Arial" w:hAnsi="Arial"/>
                <w:sz w:val="18"/>
                <w:szCs w:val="18"/>
                <w:color w:val="auto"/>
              </w:rPr>
              <w:t>Trade names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3,703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(2,187)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Distributor relationships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12,238</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All the intangible assets, net as of June 30, 2022 and December 31, 2021 were associated with the acquisition of </w:t>
      </w:r>
      <w:r>
        <w:rPr>
          <w:rFonts w:ascii="Arial" w:cs="Arial" w:eastAsia="Arial" w:hAnsi="Arial"/>
          <w:sz w:val="16"/>
          <w:szCs w:val="16"/>
          <w:i w:val="1"/>
          <w:iCs w:val="1"/>
          <w:color w:val="auto"/>
        </w:rPr>
        <w:t>Runa</w:t>
      </w:r>
      <w:r>
        <w:rPr>
          <w:rFonts w:ascii="Arial" w:cs="Arial" w:eastAsia="Arial" w:hAnsi="Arial"/>
          <w:sz w:val="16"/>
          <w:szCs w:val="16"/>
          <w:color w:val="auto"/>
        </w:rPr>
        <w:t>, which was acquired in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Amortization expense of $610 associated with intangible assets was recorded for both the six months ended June 30, 2022 and 2021, which were included in selling, general and administrative expenses on the condensed consolidated statements of operations. For both the three months ended June 30, 2022 and 2021, the Company recorded $305 of amortization expense related to these intangible assets.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tcPr>
          <w:p>
            <w:pPr>
              <w:ind w:left="500"/>
              <w:spacing w:after="0"/>
              <w:rPr>
                <w:sz w:val="20"/>
                <w:szCs w:val="20"/>
                <w:color w:val="auto"/>
              </w:rPr>
            </w:pPr>
            <w:r>
              <w:rPr>
                <w:rFonts w:ascii="Arial" w:cs="Arial" w:eastAsia="Arial" w:hAnsi="Arial"/>
                <w:sz w:val="18"/>
                <w:szCs w:val="18"/>
                <w:color w:val="auto"/>
              </w:rPr>
              <w:t>As of June 30, 2022, the estimated future expense for amortizable intangible assets is as follows:</w:t>
            </w: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Fiscal Years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2022 (excluding the six months ended June 30, 2022)</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610</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2026</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23"/>
        </w:trPr>
        <w:tc>
          <w:tcPr>
            <w:tcW w:w="964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7,324</w:t>
            </w:r>
          </w:p>
        </w:tc>
      </w:tr>
    </w:tbl>
    <w:p>
      <w:pPr>
        <w:spacing w:after="0" w:line="391"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details the outstanding balances on the Company’s credit facility and notes payable as of June 30, 2022 and December 31, 2021:</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4"/>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 Credit facility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Notes payable</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680"/>
              <w:spacing w:after="0"/>
              <w:rPr>
                <w:sz w:val="20"/>
                <w:szCs w:val="20"/>
                <w:color w:val="auto"/>
              </w:rPr>
            </w:pPr>
            <w:r>
              <w:rPr>
                <w:rFonts w:ascii="Arial" w:cs="Arial" w:eastAsia="Arial" w:hAnsi="Arial"/>
                <w:sz w:val="18"/>
                <w:szCs w:val="18"/>
                <w:color w:val="auto"/>
              </w:rPr>
              <w:t>Vehicle loans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i w:val="1"/>
                <w:iCs w:val="1"/>
                <w:color w:val="auto"/>
              </w:rPr>
              <w:t>Current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100"/>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Non-current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Credit Facility</w:t>
      </w:r>
    </w:p>
    <w:p>
      <w:pPr>
        <w:spacing w:after="0" w:line="225" w:lineRule="exact"/>
        <w:rPr>
          <w:sz w:val="20"/>
          <w:szCs w:val="20"/>
          <w:color w:val="auto"/>
        </w:rPr>
      </w:pPr>
    </w:p>
    <w:p>
      <w:pPr>
        <w:ind w:right="680" w:firstLine="486"/>
        <w:spacing w:after="0" w:line="263" w:lineRule="auto"/>
        <w:rPr>
          <w:sz w:val="20"/>
          <w:szCs w:val="20"/>
          <w:color w:val="auto"/>
        </w:rPr>
      </w:pPr>
      <w:r>
        <w:rPr>
          <w:rFonts w:ascii="Arial" w:cs="Arial" w:eastAsia="Arial" w:hAnsi="Arial"/>
          <w:sz w:val="18"/>
          <w:szCs w:val="18"/>
          <w:color w:val="auto"/>
        </w:rPr>
        <w:t>As of December 31, 2021, the Company had no outstanding borrowings under its 2020 Credit Facility. As of June 30, 2022, $22,000 was outstanding, and $38,000 undrawn and available under its 2020 Credit Facility. The 2020 Credit Facility is collateralized by substantially all of the Company’s assets. Borrowings under the 2020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bear interest at a rate per annum equal to, at our option, either (a) adjusted LIBOR (or current LIBOR replacement rate), which shall not be less than 0.0%, plus the applicable rate or (b) base rate (determined by reference to the greatest of the prime rate published by Wells Fargo, the federal funds effective rate plus 1.5% and one-month LIBOR (or current LIBOR replacement) plus 1.5%). The applicable rate for LIBOR borrowings under the 2020 Credit Facility is subject to step-downs based on our total net leverage ratio (as defined in the credit agreement) for the immediately preceding fiscal quarter. In addition, the Company is currently subject to an unused commitment fee ranging from 0.05% and 0.20% on the unused amount of the line of credit, with the rate being based on the Company’s leverage ratio (as defined in the credit agreement). The maturity date on the 2020 Credit Facility is May 12, 2026.</w:t>
      </w:r>
    </w:p>
    <w:p>
      <w:pPr>
        <w:spacing w:after="0" w:line="164"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Interest expense and unused commitment fee for the 2020 Credit Facility amounted to $83 and $75 for the three months ended June 30, 2022 and 2021, respectively. Interest expense and unused commitment fee for the 2020 Credit Facility amounted to $109 and $153 for the six months ended June 30, 2022 and 2021, respectively.</w:t>
      </w:r>
    </w:p>
    <w:p>
      <w:pPr>
        <w:spacing w:after="0" w:line="184"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June 30, 2022, the Company was compliant with all financial covenants.</w:t>
      </w:r>
    </w:p>
    <w:p>
      <w:pPr>
        <w:spacing w:after="0" w:line="30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—The Company may engage in various litigation matters in the ordinary course of business. The Company intends to vigorously defend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itself in such matters, based upon the advice of legal counsel, and is of the opinion that the resolution of these matters will not have a material effect on the condensed consolidated financial statements. For any cases for which management believes that it is more likely than not that it will incur a loss, a provision for legal settlements will be recorded. As of June 30, 2022 and December 31, 2021, the Company has not recorded any liabilities relating to legal settlements.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Risk</w:t>
      </w:r>
      <w:r>
        <w:rPr>
          <w:rFonts w:ascii="Arial" w:cs="Arial" w:eastAsia="Arial" w:hAnsi="Arial"/>
          <w:sz w:val="16"/>
          <w:szCs w:val="16"/>
          <w:color w:val="auto"/>
        </w:rPr>
        <w:t>—The Company imports finished goods predominantly from manufacturers located in South America and Southeast Asian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be subject to certain business risks due to potential instability in these regions.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Major Customers</w:t>
      </w:r>
      <w:r>
        <w:rPr>
          <w:rFonts w:ascii="Arial" w:cs="Arial" w:eastAsia="Arial" w:hAnsi="Arial"/>
          <w:sz w:val="17"/>
          <w:szCs w:val="17"/>
          <w:color w:val="auto"/>
        </w:rPr>
        <w:t>—The Company’s customers that accounted for 10% or more of total net sales and total accounts receivable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7"/>
              </w:rPr>
              <w:t>Net sales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919"/>
              <w:spacing w:after="0"/>
              <w:rPr>
                <w:sz w:val="20"/>
                <w:szCs w:val="20"/>
                <w:color w:val="auto"/>
              </w:rPr>
            </w:pPr>
            <w:r>
              <w:rPr>
                <w:rFonts w:ascii="Arial" w:cs="Arial" w:eastAsia="Arial" w:hAnsi="Arial"/>
                <w:sz w:val="14"/>
                <w:szCs w:val="14"/>
                <w:b w:val="1"/>
                <w:bCs w:val="1"/>
                <w:color w:val="auto"/>
              </w:rPr>
              <w:t>Accounts receivable</w:t>
            </w:r>
          </w:p>
        </w:tc>
      </w:tr>
      <w:tr>
        <w:trPr>
          <w:trHeight w:val="25"/>
        </w:trPr>
        <w:tc>
          <w:tcPr>
            <w:tcW w:w="4740" w:type="dxa"/>
            <w:vAlign w:val="bottom"/>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9"/>
        </w:trPr>
        <w:tc>
          <w:tcPr>
            <w:tcW w:w="4740" w:type="dxa"/>
            <w:vAlign w:val="bottom"/>
          </w:tcPr>
          <w:p>
            <w:pPr>
              <w:spacing w:after="0"/>
              <w:rPr>
                <w:sz w:val="16"/>
                <w:szCs w:val="16"/>
                <w:color w:val="auto"/>
              </w:rPr>
            </w:pPr>
          </w:p>
        </w:tc>
        <w:tc>
          <w:tcPr>
            <w:tcW w:w="2660" w:type="dxa"/>
            <w:vAlign w:val="bottom"/>
            <w:tcBorders>
              <w:bottom w:val="single" w:sz="8" w:color="auto"/>
            </w:tcBorders>
            <w:gridSpan w:val="4"/>
          </w:tcPr>
          <w:p>
            <w:pPr>
              <w:jc w:val="center"/>
              <w:ind w:left="468"/>
              <w:spacing w:after="0"/>
              <w:rPr>
                <w:sz w:val="20"/>
                <w:szCs w:val="20"/>
                <w:color w:val="auto"/>
              </w:rPr>
            </w:pPr>
            <w:r>
              <w:rPr>
                <w:rFonts w:ascii="Arial" w:cs="Arial" w:eastAsia="Arial" w:hAnsi="Arial"/>
                <w:sz w:val="14"/>
                <w:szCs w:val="14"/>
                <w:b w:val="1"/>
                <w:bCs w:val="1"/>
                <w:color w:val="auto"/>
                <w:w w:val="92"/>
              </w:rPr>
              <w:t>Six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ind w:left="520"/>
              <w:spacing w:after="0"/>
              <w:rPr>
                <w:sz w:val="20"/>
                <w:szCs w:val="20"/>
                <w:color w:val="auto"/>
              </w:rPr>
            </w:pPr>
            <w:r>
              <w:rPr>
                <w:rFonts w:ascii="Arial" w:cs="Arial" w:eastAsia="Arial" w:hAnsi="Arial"/>
                <w:sz w:val="14"/>
                <w:szCs w:val="14"/>
                <w:b w:val="1"/>
                <w:bCs w:val="1"/>
                <w:color w:val="auto"/>
              </w:rPr>
              <w:t>June 30,</w:t>
            </w:r>
          </w:p>
        </w:tc>
        <w:tc>
          <w:tcPr>
            <w:tcW w:w="158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97"/>
        </w:trPr>
        <w:tc>
          <w:tcPr>
            <w:tcW w:w="57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7"/>
                <w:szCs w:val="17"/>
                <w:color w:val="auto"/>
              </w:rPr>
            </w:pPr>
          </w:p>
        </w:tc>
        <w:tc>
          <w:tcPr>
            <w:tcW w:w="1640" w:type="dxa"/>
            <w:vAlign w:val="bottom"/>
            <w:gridSpan w:val="2"/>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5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0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50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19 %</w:t>
            </w:r>
          </w:p>
        </w:tc>
      </w:tr>
    </w:tbl>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One of the customers acquired less than 5% ownership in the Company upon consummation of the IPO.</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Major Suppliers</w:t>
      </w:r>
      <w:r>
        <w:rPr>
          <w:rFonts w:ascii="Arial" w:cs="Arial" w:eastAsia="Arial" w:hAnsi="Arial"/>
          <w:sz w:val="18"/>
          <w:szCs w:val="18"/>
          <w:color w:val="auto"/>
        </w:rPr>
        <w:t>—The Company’s suppliers that accounted for 10% or more of the Company’s purchases were as follows:</w:t>
      </w:r>
    </w:p>
    <w:p>
      <w:pPr>
        <w:spacing w:after="0" w:line="257"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2021</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Supplier B</w:t>
            </w:r>
          </w:p>
        </w:tc>
        <w:tc>
          <w:tcPr>
            <w:tcW w:w="54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917"/>
        </w:trPr>
        <w:tc>
          <w:tcPr>
            <w:tcW w:w="7740" w:type="dxa"/>
            <w:vAlign w:val="bottom"/>
          </w:tcPr>
          <w:p>
            <w:pPr>
              <w:jc w:val="right"/>
              <w:ind w:right="1930"/>
              <w:spacing w:after="0"/>
              <w:rPr>
                <w:sz w:val="20"/>
                <w:szCs w:val="20"/>
                <w:color w:val="auto"/>
              </w:rPr>
            </w:pPr>
            <w:r>
              <w:rPr>
                <w:rFonts w:ascii="Arial" w:cs="Arial" w:eastAsia="Arial" w:hAnsi="Arial"/>
                <w:sz w:val="18"/>
                <w:szCs w:val="18"/>
                <w:color w:val="auto"/>
              </w:rPr>
              <w:t>16</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8"/>
        </w:trPr>
        <w:tc>
          <w:tcPr>
            <w:tcW w:w="77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 xml:space="preserve">The Company accounts for derivative instruments in accordance with the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June 30, 2022 and December 31, 2021, the Company did not have any derivative instruments that it had designated as fair value or cash flow hedges.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is subject to the following currency risks:</w:t>
      </w:r>
    </w:p>
    <w:p>
      <w:pPr>
        <w:spacing w:after="0" w:line="225"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b w:val="1"/>
          <w:bCs w:val="1"/>
          <w:i w:val="1"/>
          <w:iCs w:val="1"/>
          <w:color w:val="auto"/>
        </w:rPr>
        <w:t>Inventory Purchases from Brazilian, Malaysian and Thai Manufacturers</w:t>
      </w:r>
      <w:r>
        <w:rPr>
          <w:rFonts w:ascii="Arial" w:cs="Arial" w:eastAsia="Arial" w:hAnsi="Arial"/>
          <w:sz w:val="18"/>
          <w:szCs w:val="18"/>
          <w:color w:val="auto"/>
        </w:rPr>
        <w:t>—In order to mitigate the currency risk on inventory purchases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Brazilian, Malaysian and Thai manufacturers, which are settled in Brazilian Real ("BRL"), Malaysian Ringgit ("MYR") and Thai Baht ("THB"), the AMS subsidiary enters a series of forward currency swaps to buy BRL, MYR and THB.</w:t>
      </w:r>
    </w:p>
    <w:p>
      <w:pPr>
        <w:spacing w:after="0" w:line="184"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b w:val="1"/>
          <w:bCs w:val="1"/>
          <w:i w:val="1"/>
          <w:iCs w:val="1"/>
          <w:color w:val="auto"/>
        </w:rPr>
        <w:t>Intercompany Transactions Between AME and AMS</w:t>
      </w:r>
      <w:r>
        <w:rPr>
          <w:rFonts w:ascii="Arial" w:cs="Arial" w:eastAsia="Arial" w:hAnsi="Arial"/>
          <w:sz w:val="18"/>
          <w:szCs w:val="18"/>
          <w:color w:val="auto"/>
        </w:rPr>
        <w:t>—In order to mitigate the currency risk on intercompany transactions between AME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AMS, AMS enters into foreign currency swaps to sell British Pounds ("GBP").</w:t>
      </w:r>
    </w:p>
    <w:p>
      <w:pPr>
        <w:spacing w:after="0" w:line="17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Intercompany Transactions with Canadian Customer and Vendors</w:t>
      </w:r>
      <w:r>
        <w:rPr>
          <w:rFonts w:ascii="Arial" w:cs="Arial" w:eastAsia="Arial" w:hAnsi="Arial"/>
          <w:sz w:val="18"/>
          <w:szCs w:val="18"/>
          <w:color w:val="auto"/>
        </w:rPr>
        <w:t>—In order to mitigate the currency risk on transactions with Canadian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vendors, the Company enters into foreign currency swaps to sell Canadian Dollars ("CAD").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notional amount and fair value of all outstanding derivative instruments in the condensed consolidated balance sheets consist of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80" w:type="dxa"/>
            <w:vAlign w:val="bottom"/>
            <w:tcBorders>
              <w:top w:val="single" w:sz="8" w:color="auto"/>
            </w:tcBorders>
          </w:tcPr>
          <w:p>
            <w:pPr>
              <w:jc w:val="center"/>
              <w:ind w:left="1195"/>
              <w:spacing w:after="0" w:line="157" w:lineRule="exact"/>
              <w:rPr>
                <w:sz w:val="20"/>
                <w:szCs w:val="20"/>
                <w:color w:val="auto"/>
              </w:rPr>
            </w:pPr>
            <w:r>
              <w:rPr>
                <w:rFonts w:ascii="Arial" w:cs="Arial" w:eastAsia="Arial" w:hAnsi="Arial"/>
                <w:sz w:val="14"/>
                <w:szCs w:val="14"/>
                <w:color w:val="auto"/>
                <w:w w:val="91"/>
              </w:rPr>
              <w:t>Derivatives not designated as</w:t>
            </w: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r>
      <w:tr>
        <w:trPr>
          <w:trHeight w:val="140"/>
        </w:trPr>
        <w:tc>
          <w:tcPr>
            <w:tcW w:w="4680" w:type="dxa"/>
            <w:vAlign w:val="bottom"/>
          </w:tcPr>
          <w:p>
            <w:pPr>
              <w:jc w:val="center"/>
              <w:ind w:left="1215"/>
              <w:spacing w:after="0" w:line="141" w:lineRule="exact"/>
              <w:rPr>
                <w:sz w:val="20"/>
                <w:szCs w:val="20"/>
                <w:color w:val="auto"/>
              </w:rPr>
            </w:pPr>
            <w:r>
              <w:rPr>
                <w:rFonts w:ascii="Arial" w:cs="Arial" w:eastAsia="Arial" w:hAnsi="Arial"/>
                <w:sz w:val="14"/>
                <w:szCs w:val="14"/>
                <w:color w:val="auto"/>
                <w:w w:val="92"/>
              </w:rPr>
              <w:t>hedging instruments under</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Notional</w:t>
            </w:r>
          </w:p>
        </w:tc>
        <w:tc>
          <w:tcPr>
            <w:tcW w:w="340" w:type="dxa"/>
            <w:vAlign w:val="bottom"/>
          </w:tcPr>
          <w:p>
            <w:pPr>
              <w:spacing w:after="0"/>
              <w:rPr>
                <w:sz w:val="12"/>
                <w:szCs w:val="12"/>
                <w:color w:val="auto"/>
              </w:rPr>
            </w:pPr>
          </w:p>
        </w:tc>
        <w:tc>
          <w:tcPr>
            <w:tcW w:w="1240" w:type="dxa"/>
            <w:vAlign w:val="bottom"/>
            <w:gridSpan w:val="2"/>
          </w:tcPr>
          <w:p>
            <w:pPr>
              <w:jc w:val="center"/>
              <w:ind w:right="440"/>
              <w:spacing w:after="0" w:line="141" w:lineRule="exact"/>
              <w:rPr>
                <w:sz w:val="20"/>
                <w:szCs w:val="20"/>
                <w:color w:val="auto"/>
              </w:rPr>
            </w:pPr>
            <w:r>
              <w:rPr>
                <w:rFonts w:ascii="Arial" w:cs="Arial" w:eastAsia="Arial" w:hAnsi="Arial"/>
                <w:sz w:val="14"/>
                <w:szCs w:val="14"/>
                <w:color w:val="auto"/>
                <w:w w:val="99"/>
              </w:rPr>
              <w:t>Fair</w:t>
            </w:r>
          </w:p>
        </w:tc>
        <w:tc>
          <w:tcPr>
            <w:tcW w:w="2040" w:type="dxa"/>
            <w:vAlign w:val="bottom"/>
          </w:tcPr>
          <w:p>
            <w:pPr>
              <w:spacing w:after="0"/>
              <w:rPr>
                <w:sz w:val="12"/>
                <w:szCs w:val="12"/>
                <w:color w:val="auto"/>
              </w:rPr>
            </w:pPr>
          </w:p>
        </w:tc>
      </w:tr>
      <w:tr>
        <w:trPr>
          <w:trHeight w:val="197"/>
        </w:trPr>
        <w:tc>
          <w:tcPr>
            <w:tcW w:w="4680" w:type="dxa"/>
            <w:vAlign w:val="bottom"/>
          </w:tcPr>
          <w:p>
            <w:pPr>
              <w:jc w:val="center"/>
              <w:ind w:left="1195"/>
              <w:spacing w:after="0"/>
              <w:rPr>
                <w:sz w:val="20"/>
                <w:szCs w:val="20"/>
                <w:color w:val="auto"/>
              </w:rPr>
            </w:pPr>
            <w:r>
              <w:rPr>
                <w:rFonts w:ascii="Arial" w:cs="Arial" w:eastAsia="Arial" w:hAnsi="Arial"/>
                <w:sz w:val="14"/>
                <w:szCs w:val="14"/>
                <w:color w:val="auto"/>
                <w:w w:val="94"/>
              </w:rPr>
              <w:t>ASC 815-20</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color w:val="auto"/>
                <w:w w:val="89"/>
              </w:rPr>
              <w:t>Value</w:t>
            </w:r>
          </w:p>
        </w:tc>
        <w:tc>
          <w:tcPr>
            <w:tcW w:w="2040" w:type="dxa"/>
            <w:vAlign w:val="bottom"/>
          </w:tcPr>
          <w:p>
            <w:pPr>
              <w:ind w:left="340"/>
              <w:spacing w:after="0"/>
              <w:rPr>
                <w:sz w:val="20"/>
                <w:szCs w:val="20"/>
                <w:color w:val="auto"/>
              </w:rPr>
            </w:pPr>
            <w:r>
              <w:rPr>
                <w:rFonts w:ascii="Arial" w:cs="Arial" w:eastAsia="Arial" w:hAnsi="Arial"/>
                <w:sz w:val="14"/>
                <w:szCs w:val="14"/>
                <w:color w:val="auto"/>
              </w:rPr>
              <w:t>Balance Sheet Location</w:t>
            </w:r>
          </w:p>
        </w:tc>
      </w:tr>
      <w:tr>
        <w:trPr>
          <w:trHeight w:val="229"/>
        </w:trPr>
        <w:tc>
          <w:tcPr>
            <w:tcW w:w="4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r>
      <w:tr>
        <w:trPr>
          <w:trHeight w:val="230"/>
        </w:trPr>
        <w:tc>
          <w:tcPr>
            <w:tcW w:w="468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4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USD/pay GBP</w:t>
            </w:r>
          </w:p>
        </w:tc>
        <w:tc>
          <w:tcPr>
            <w:tcW w:w="1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r>
      <w:tr>
        <w:trPr>
          <w:trHeight w:val="230"/>
        </w:trPr>
        <w:tc>
          <w:tcPr>
            <w:tcW w:w="4680" w:type="dxa"/>
            <w:vAlign w:val="bottom"/>
          </w:tcPr>
          <w:p>
            <w:pPr>
              <w:ind w:left="680"/>
              <w:spacing w:after="0"/>
              <w:rPr>
                <w:sz w:val="20"/>
                <w:szCs w:val="20"/>
                <w:color w:val="auto"/>
              </w:rPr>
            </w:pPr>
            <w:r>
              <w:rPr>
                <w:rFonts w:ascii="Arial" w:cs="Arial" w:eastAsia="Arial" w:hAnsi="Arial"/>
                <w:sz w:val="18"/>
                <w:szCs w:val="18"/>
                <w:color w:val="auto"/>
              </w:rPr>
              <w:t>Receive BRL/sell USD</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assets</w:t>
            </w:r>
          </w:p>
        </w:tc>
      </w:tr>
      <w:tr>
        <w:trPr>
          <w:trHeight w:val="230"/>
        </w:trPr>
        <w:tc>
          <w:tcPr>
            <w:tcW w:w="4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MYR/pay USD</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contracts</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4680" w:type="dxa"/>
            <w:vAlign w:val="bottom"/>
          </w:tcPr>
          <w:p>
            <w:pPr>
              <w:ind w:left="680"/>
              <w:spacing w:after="0"/>
              <w:rPr>
                <w:sz w:val="20"/>
                <w:szCs w:val="20"/>
                <w:color w:val="auto"/>
              </w:rPr>
            </w:pPr>
            <w:r>
              <w:rPr>
                <w:rFonts w:ascii="Arial" w:cs="Arial" w:eastAsia="Arial" w:hAnsi="Arial"/>
                <w:sz w:val="18"/>
                <w:szCs w:val="18"/>
                <w:color w:val="auto"/>
              </w:rPr>
              <w:t>Receive USD/pay CAD</w:t>
            </w:r>
          </w:p>
        </w:tc>
        <w:tc>
          <w:tcPr>
            <w:tcW w:w="1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liabilities</w:t>
            </w:r>
          </w:p>
        </w:tc>
      </w:tr>
      <w:tr>
        <w:trPr>
          <w:trHeight w:val="230"/>
        </w:trPr>
        <w:tc>
          <w:tcPr>
            <w:tcW w:w="4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THB/sell USD</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r>
      <w:tr>
        <w:trPr>
          <w:trHeight w:val="918"/>
        </w:trPr>
        <w:tc>
          <w:tcPr>
            <w:tcW w:w="4680" w:type="dxa"/>
            <w:vAlign w:val="bottom"/>
          </w:tcPr>
          <w:p>
            <w:pPr>
              <w:spacing w:after="0"/>
              <w:rPr>
                <w:sz w:val="24"/>
                <w:szCs w:val="24"/>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02"/>
        </w:trPr>
        <w:tc>
          <w:tcPr>
            <w:tcW w:w="46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080" w:type="dxa"/>
            <w:vAlign w:val="bottom"/>
            <w:tcBorders>
              <w:top w:val="single" w:sz="8" w:color="auto"/>
            </w:tcBorders>
            <w:gridSpan w:val="2"/>
          </w:tcPr>
          <w:p>
            <w:pPr>
              <w:jc w:val="center"/>
              <w:ind w:right="80"/>
              <w:spacing w:after="0" w:line="157" w:lineRule="exact"/>
              <w:rPr>
                <w:sz w:val="20"/>
                <w:szCs w:val="20"/>
                <w:color w:val="auto"/>
              </w:rPr>
            </w:pPr>
            <w:r>
              <w:rPr>
                <w:rFonts w:ascii="Arial" w:cs="Arial" w:eastAsia="Arial" w:hAnsi="Arial"/>
                <w:sz w:val="14"/>
                <w:szCs w:val="14"/>
                <w:color w:val="auto"/>
                <w:w w:val="91"/>
              </w:rPr>
              <w:t>Derivatives not designated as</w:t>
            </w: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r>
      <w:tr>
        <w:trPr>
          <w:trHeight w:val="140"/>
        </w:trPr>
        <w:tc>
          <w:tcPr>
            <w:tcW w:w="6080" w:type="dxa"/>
            <w:vAlign w:val="bottom"/>
            <w:gridSpan w:val="2"/>
          </w:tcPr>
          <w:p>
            <w:pPr>
              <w:jc w:val="center"/>
              <w:ind w:right="80"/>
              <w:spacing w:after="0" w:line="141" w:lineRule="exact"/>
              <w:rPr>
                <w:sz w:val="20"/>
                <w:szCs w:val="20"/>
                <w:color w:val="auto"/>
              </w:rPr>
            </w:pPr>
            <w:r>
              <w:rPr>
                <w:rFonts w:ascii="Arial" w:cs="Arial" w:eastAsia="Arial" w:hAnsi="Arial"/>
                <w:sz w:val="14"/>
                <w:szCs w:val="14"/>
                <w:color w:val="auto"/>
                <w:w w:val="91"/>
              </w:rPr>
              <w:t>hedging instruments under</w:t>
            </w:r>
          </w:p>
        </w:tc>
        <w:tc>
          <w:tcPr>
            <w:tcW w:w="300" w:type="dxa"/>
            <w:vAlign w:val="bottom"/>
          </w:tcPr>
          <w:p>
            <w:pPr>
              <w:spacing w:after="0"/>
              <w:rPr>
                <w:sz w:val="12"/>
                <w:szCs w:val="12"/>
                <w:color w:val="auto"/>
              </w:rPr>
            </w:pPr>
          </w:p>
        </w:tc>
        <w:tc>
          <w:tcPr>
            <w:tcW w:w="1260" w:type="dxa"/>
            <w:vAlign w:val="bottom"/>
            <w:gridSpan w:val="2"/>
          </w:tcPr>
          <w:p>
            <w:pPr>
              <w:ind w:left="180"/>
              <w:spacing w:after="0" w:line="141" w:lineRule="exact"/>
              <w:rPr>
                <w:sz w:val="20"/>
                <w:szCs w:val="20"/>
                <w:color w:val="auto"/>
              </w:rPr>
            </w:pPr>
            <w:r>
              <w:rPr>
                <w:rFonts w:ascii="Arial" w:cs="Arial" w:eastAsia="Arial" w:hAnsi="Arial"/>
                <w:sz w:val="14"/>
                <w:szCs w:val="14"/>
                <w:color w:val="auto"/>
              </w:rPr>
              <w:t>Notional</w:t>
            </w:r>
          </w:p>
        </w:tc>
        <w:tc>
          <w:tcPr>
            <w:tcW w:w="340" w:type="dxa"/>
            <w:vAlign w:val="bottom"/>
          </w:tcPr>
          <w:p>
            <w:pPr>
              <w:spacing w:after="0"/>
              <w:rPr>
                <w:sz w:val="12"/>
                <w:szCs w:val="12"/>
                <w:color w:val="auto"/>
              </w:rPr>
            </w:pPr>
          </w:p>
        </w:tc>
        <w:tc>
          <w:tcPr>
            <w:tcW w:w="1220" w:type="dxa"/>
            <w:vAlign w:val="bottom"/>
            <w:gridSpan w:val="2"/>
          </w:tcPr>
          <w:p>
            <w:pPr>
              <w:jc w:val="center"/>
              <w:ind w:right="440"/>
              <w:spacing w:after="0" w:line="141" w:lineRule="exact"/>
              <w:rPr>
                <w:sz w:val="20"/>
                <w:szCs w:val="20"/>
                <w:color w:val="auto"/>
              </w:rPr>
            </w:pPr>
            <w:r>
              <w:rPr>
                <w:rFonts w:ascii="Arial" w:cs="Arial" w:eastAsia="Arial" w:hAnsi="Arial"/>
                <w:sz w:val="14"/>
                <w:szCs w:val="14"/>
                <w:color w:val="auto"/>
                <w:w w:val="91"/>
              </w:rPr>
              <w:t>Fair</w:t>
            </w:r>
          </w:p>
        </w:tc>
        <w:tc>
          <w:tcPr>
            <w:tcW w:w="2040" w:type="dxa"/>
            <w:vAlign w:val="bottom"/>
          </w:tcPr>
          <w:p>
            <w:pPr>
              <w:spacing w:after="0"/>
              <w:rPr>
                <w:sz w:val="12"/>
                <w:szCs w:val="12"/>
                <w:color w:val="auto"/>
              </w:rPr>
            </w:pPr>
          </w:p>
        </w:tc>
      </w:tr>
      <w:tr>
        <w:trPr>
          <w:trHeight w:val="197"/>
        </w:trPr>
        <w:tc>
          <w:tcPr>
            <w:tcW w:w="608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ASC 815-20</w:t>
            </w:r>
          </w:p>
        </w:tc>
        <w:tc>
          <w:tcPr>
            <w:tcW w:w="30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Amount</w:t>
            </w:r>
          </w:p>
        </w:tc>
        <w:tc>
          <w:tcPr>
            <w:tcW w:w="34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Value</w:t>
            </w:r>
          </w:p>
        </w:tc>
        <w:tc>
          <w:tcPr>
            <w:tcW w:w="2040" w:type="dxa"/>
            <w:vAlign w:val="bottom"/>
          </w:tcPr>
          <w:p>
            <w:pPr>
              <w:ind w:left="340"/>
              <w:spacing w:after="0"/>
              <w:rPr>
                <w:sz w:val="20"/>
                <w:szCs w:val="20"/>
                <w:color w:val="auto"/>
              </w:rPr>
            </w:pPr>
            <w:r>
              <w:rPr>
                <w:rFonts w:ascii="Arial" w:cs="Arial" w:eastAsia="Arial" w:hAnsi="Arial"/>
                <w:sz w:val="14"/>
                <w:szCs w:val="14"/>
                <w:color w:val="auto"/>
              </w:rPr>
              <w:t>Balance Sheet Location</w:t>
            </w:r>
          </w:p>
        </w:tc>
      </w:tr>
      <w:tr>
        <w:trPr>
          <w:trHeight w:val="229"/>
        </w:trPr>
        <w:tc>
          <w:tcPr>
            <w:tcW w:w="5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r>
      <w:tr>
        <w:trPr>
          <w:trHeight w:val="229"/>
        </w:trPr>
        <w:tc>
          <w:tcPr>
            <w:tcW w:w="608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0"/>
        </w:trPr>
        <w:tc>
          <w:tcPr>
            <w:tcW w:w="6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Receive USD/pay GBP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r>
      <w:tr>
        <w:trPr>
          <w:trHeight w:val="229"/>
        </w:trPr>
        <w:tc>
          <w:tcPr>
            <w:tcW w:w="6080" w:type="dxa"/>
            <w:vAlign w:val="bottom"/>
            <w:gridSpan w:val="2"/>
          </w:tcPr>
          <w:p>
            <w:pPr>
              <w:ind w:left="680"/>
              <w:spacing w:after="0"/>
              <w:rPr>
                <w:sz w:val="20"/>
                <w:szCs w:val="20"/>
                <w:color w:val="auto"/>
              </w:rPr>
            </w:pPr>
            <w:r>
              <w:rPr>
                <w:rFonts w:ascii="Arial" w:cs="Arial" w:eastAsia="Arial" w:hAnsi="Arial"/>
                <w:sz w:val="18"/>
                <w:szCs w:val="18"/>
                <w:color w:val="auto"/>
              </w:rPr>
              <w:t>Receive MYR/sell USD</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assets</w:t>
            </w: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29"/>
        </w:trPr>
        <w:tc>
          <w:tcPr>
            <w:tcW w:w="6080" w:type="dxa"/>
            <w:vAlign w:val="bottom"/>
            <w:gridSpan w:val="2"/>
          </w:tcPr>
          <w:p>
            <w:pPr>
              <w:ind w:left="360"/>
              <w:spacing w:after="0"/>
              <w:rPr>
                <w:sz w:val="20"/>
                <w:szCs w:val="20"/>
                <w:color w:val="auto"/>
              </w:rPr>
            </w:pPr>
            <w:r>
              <w:rPr>
                <w:rFonts w:ascii="Arial" w:cs="Arial" w:eastAsia="Arial" w:hAnsi="Arial"/>
                <w:sz w:val="18"/>
                <w:szCs w:val="18"/>
                <w:color w:val="auto"/>
              </w:rPr>
              <w:t>Foreign currency exchange contracts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6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Receive BRL/sell USD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r>
      <w:tr>
        <w:trPr>
          <w:trHeight w:val="230"/>
        </w:trPr>
        <w:tc>
          <w:tcPr>
            <w:tcW w:w="6080" w:type="dxa"/>
            <w:vAlign w:val="bottom"/>
            <w:gridSpan w:val="2"/>
          </w:tcPr>
          <w:p>
            <w:pPr>
              <w:ind w:left="680"/>
              <w:spacing w:after="0"/>
              <w:rPr>
                <w:sz w:val="20"/>
                <w:szCs w:val="20"/>
                <w:color w:val="auto"/>
              </w:rPr>
            </w:pPr>
            <w:r>
              <w:rPr>
                <w:rFonts w:ascii="Arial" w:cs="Arial" w:eastAsia="Arial" w:hAnsi="Arial"/>
                <w:sz w:val="18"/>
                <w:szCs w:val="18"/>
                <w:color w:val="auto"/>
              </w:rPr>
              <w:t>Receive USD/pay CAD</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liabilities</w:t>
            </w:r>
          </w:p>
        </w:tc>
      </w:tr>
      <w:tr>
        <w:trPr>
          <w:trHeight w:val="229"/>
        </w:trPr>
        <w:tc>
          <w:tcPr>
            <w:tcW w:w="6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Receive THB/sell USD</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r>
    </w:tbl>
    <w:p>
      <w:pPr>
        <w:spacing w:after="0" w:line="296"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amount and location of realized and unrealized gains and losses of the derivative instruments in the condensed consolidated statements of operations for the three and six months ended June 30, 2022 and 2021 are as follows:</w:t>
      </w:r>
    </w:p>
    <w:p>
      <w:pPr>
        <w:spacing w:after="0" w:line="202"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32385</wp:posOffset>
            </wp:positionV>
            <wp:extent cx="26657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5" w:lineRule="exact"/>
        <w:rPr>
          <w:sz w:val="20"/>
          <w:szCs w:val="20"/>
          <w:color w:val="auto"/>
        </w:rPr>
      </w:pPr>
    </w:p>
    <w:p>
      <w:pPr>
        <w:ind w:left="7920"/>
        <w:spacing w:after="0"/>
        <w:tabs>
          <w:tab w:leader="none" w:pos="100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ind w:left="20" w:right="2620"/>
        <w:spacing w:after="0" w:line="297" w:lineRule="auto"/>
        <w:rPr>
          <w:sz w:val="20"/>
          <w:szCs w:val="20"/>
          <w:color w:val="auto"/>
        </w:rPr>
      </w:pPr>
      <w:r>
        <w:rPr>
          <w:rFonts w:ascii="Arial" w:cs="Arial" w:eastAsia="Arial" w:hAnsi="Arial"/>
          <w:sz w:val="18"/>
          <w:szCs w:val="18"/>
          <w:b w:val="1"/>
          <w:bCs w:val="1"/>
          <w:color w:val="auto"/>
        </w:rPr>
        <w:t xml:space="preserve">Unrealized gain/(loss) on derivative instruments </w:t>
      </w:r>
      <w:r>
        <w:rPr>
          <w:rFonts w:ascii="Arial" w:cs="Arial" w:eastAsia="Arial" w:hAnsi="Arial"/>
          <w:sz w:val="18"/>
          <w:szCs w:val="18"/>
          <w:color w:val="auto"/>
        </w:rPr>
        <w:t>Location</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Foreign currency gain / (loss)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Location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4,569</w:t>
            </w:r>
          </w:p>
        </w:tc>
      </w:tr>
      <w:tr>
        <w:trPr>
          <w:trHeight w:val="21"/>
        </w:trPr>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69"/>
        </w:trPr>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94"/>
              <w:spacing w:after="0" w:line="169" w:lineRule="exact"/>
              <w:rPr>
                <w:sz w:val="20"/>
                <w:szCs w:val="20"/>
                <w:color w:val="auto"/>
              </w:rPr>
            </w:pPr>
            <w:r>
              <w:rPr>
                <w:rFonts w:ascii="Arial" w:cs="Arial" w:eastAsia="Arial" w:hAnsi="Arial"/>
                <w:sz w:val="18"/>
                <w:szCs w:val="18"/>
                <w:color w:val="auto"/>
                <w:w w:val="90"/>
              </w:rPr>
              <w:t>Unrealized gain/(loss)</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72"/>
              <w:spacing w:after="0" w:line="169" w:lineRule="exact"/>
              <w:rPr>
                <w:sz w:val="20"/>
                <w:szCs w:val="20"/>
                <w:color w:val="auto"/>
              </w:rPr>
            </w:pPr>
            <w:r>
              <w:rPr>
                <w:rFonts w:ascii="Arial" w:cs="Arial" w:eastAsia="Arial" w:hAnsi="Arial"/>
                <w:sz w:val="18"/>
                <w:szCs w:val="18"/>
                <w:color w:val="auto"/>
                <w:w w:val="91"/>
              </w:rPr>
              <w:t>Unrealized gain/(loss)</w:t>
            </w:r>
          </w:p>
        </w:tc>
      </w:tr>
      <w:tr>
        <w:trPr>
          <w:trHeight w:val="175"/>
        </w:trPr>
        <w:tc>
          <w:tcPr>
            <w:tcW w:w="180" w:type="dxa"/>
            <w:vAlign w:val="bottom"/>
          </w:tcPr>
          <w:p>
            <w:pPr>
              <w:spacing w:after="0"/>
              <w:rPr>
                <w:sz w:val="15"/>
                <w:szCs w:val="15"/>
                <w:color w:val="auto"/>
              </w:rPr>
            </w:pPr>
          </w:p>
        </w:tc>
        <w:tc>
          <w:tcPr>
            <w:tcW w:w="19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2"/>
              </w:rPr>
              <w:t>on derivative</w:t>
            </w:r>
          </w:p>
        </w:tc>
        <w:tc>
          <w:tcPr>
            <w:tcW w:w="180" w:type="dxa"/>
            <w:vAlign w:val="bottom"/>
          </w:tcPr>
          <w:p>
            <w:pPr>
              <w:spacing w:after="0"/>
              <w:rPr>
                <w:sz w:val="15"/>
                <w:szCs w:val="15"/>
                <w:color w:val="auto"/>
              </w:rPr>
            </w:pPr>
          </w:p>
        </w:tc>
        <w:tc>
          <w:tcPr>
            <w:tcW w:w="1880" w:type="dxa"/>
            <w:vAlign w:val="bottom"/>
          </w:tcPr>
          <w:p>
            <w:pPr>
              <w:jc w:val="center"/>
              <w:ind w:right="92"/>
              <w:spacing w:after="0" w:line="176" w:lineRule="exact"/>
              <w:rPr>
                <w:sz w:val="20"/>
                <w:szCs w:val="20"/>
                <w:color w:val="auto"/>
              </w:rPr>
            </w:pPr>
            <w:r>
              <w:rPr>
                <w:rFonts w:ascii="Arial" w:cs="Arial" w:eastAsia="Arial" w:hAnsi="Arial"/>
                <w:sz w:val="18"/>
                <w:szCs w:val="18"/>
                <w:color w:val="auto"/>
                <w:w w:val="92"/>
              </w:rPr>
              <w:t>on derivative</w:t>
            </w:r>
          </w:p>
        </w:tc>
      </w:tr>
      <w:tr>
        <w:trPr>
          <w:trHeight w:val="230"/>
        </w:trPr>
        <w:tc>
          <w:tcPr>
            <w:tcW w:w="18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instruments</w:t>
            </w:r>
          </w:p>
        </w:tc>
        <w:tc>
          <w:tcPr>
            <w:tcW w:w="180" w:type="dxa"/>
            <w:vAlign w:val="bottom"/>
          </w:tcPr>
          <w:p>
            <w:pPr>
              <w:spacing w:after="0"/>
              <w:rPr>
                <w:sz w:val="20"/>
                <w:szCs w:val="20"/>
                <w:color w:val="auto"/>
              </w:rPr>
            </w:pPr>
          </w:p>
        </w:tc>
        <w:tc>
          <w:tcPr>
            <w:tcW w:w="1880" w:type="dxa"/>
            <w:vAlign w:val="bottom"/>
          </w:tcPr>
          <w:p>
            <w:pPr>
              <w:jc w:val="center"/>
              <w:ind w:right="72"/>
              <w:spacing w:after="0"/>
              <w:rPr>
                <w:sz w:val="20"/>
                <w:szCs w:val="20"/>
                <w:color w:val="auto"/>
              </w:rPr>
            </w:pPr>
            <w:r>
              <w:rPr>
                <w:rFonts w:ascii="Arial" w:cs="Arial" w:eastAsia="Arial" w:hAnsi="Arial"/>
                <w:sz w:val="18"/>
                <w:szCs w:val="18"/>
                <w:color w:val="auto"/>
                <w:w w:val="90"/>
              </w:rPr>
              <w:t>instruments</w:t>
            </w:r>
          </w:p>
        </w:tc>
      </w:tr>
      <w:tr>
        <w:trPr>
          <w:trHeight w:val="242"/>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1880" w:type="dxa"/>
            <w:vAlign w:val="bottom"/>
          </w:tcPr>
          <w:p>
            <w:pPr>
              <w:jc w:val="center"/>
              <w:ind w:right="94"/>
              <w:spacing w:after="0" w:line="169" w:lineRule="exact"/>
              <w:rPr>
                <w:sz w:val="20"/>
                <w:szCs w:val="20"/>
                <w:color w:val="auto"/>
              </w:rPr>
            </w:pPr>
            <w:r>
              <w:rPr>
                <w:rFonts w:ascii="Arial" w:cs="Arial" w:eastAsia="Arial" w:hAnsi="Arial"/>
                <w:sz w:val="18"/>
                <w:szCs w:val="18"/>
                <w:color w:val="auto"/>
                <w:w w:val="90"/>
              </w:rPr>
              <w:t>Foreign currency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right="72"/>
              <w:spacing w:after="0" w:line="169" w:lineRule="exact"/>
              <w:rPr>
                <w:sz w:val="20"/>
                <w:szCs w:val="20"/>
                <w:color w:val="auto"/>
              </w:rPr>
            </w:pPr>
            <w:r>
              <w:rPr>
                <w:rFonts w:ascii="Arial" w:cs="Arial" w:eastAsia="Arial" w:hAnsi="Arial"/>
                <w:sz w:val="18"/>
                <w:szCs w:val="18"/>
                <w:color w:val="auto"/>
                <w:w w:val="91"/>
              </w:rPr>
              <w:t>Foreign currency</w:t>
            </w:r>
          </w:p>
        </w:tc>
      </w:tr>
      <w:tr>
        <w:trPr>
          <w:trHeight w:val="230"/>
        </w:trPr>
        <w:tc>
          <w:tcPr>
            <w:tcW w:w="18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gain/(loss)</w:t>
            </w:r>
          </w:p>
        </w:tc>
        <w:tc>
          <w:tcPr>
            <w:tcW w:w="180" w:type="dxa"/>
            <w:vAlign w:val="bottom"/>
          </w:tcPr>
          <w:p>
            <w:pPr>
              <w:spacing w:after="0"/>
              <w:rPr>
                <w:sz w:val="20"/>
                <w:szCs w:val="20"/>
                <w:color w:val="auto"/>
              </w:rPr>
            </w:pPr>
          </w:p>
        </w:tc>
        <w:tc>
          <w:tcPr>
            <w:tcW w:w="1880" w:type="dxa"/>
            <w:vAlign w:val="bottom"/>
          </w:tcPr>
          <w:p>
            <w:pPr>
              <w:jc w:val="center"/>
              <w:ind w:right="72"/>
              <w:spacing w:after="0"/>
              <w:rPr>
                <w:sz w:val="20"/>
                <w:szCs w:val="20"/>
                <w:color w:val="auto"/>
              </w:rPr>
            </w:pPr>
            <w:r>
              <w:rPr>
                <w:rFonts w:ascii="Arial" w:cs="Arial" w:eastAsia="Arial" w:hAnsi="Arial"/>
                <w:sz w:val="18"/>
                <w:szCs w:val="18"/>
                <w:color w:val="auto"/>
                <w:w w:val="91"/>
              </w:rPr>
              <w:t>gain/(loss)</w:t>
            </w:r>
          </w:p>
        </w:tc>
      </w:tr>
      <w:tr>
        <w:trPr>
          <w:trHeight w:val="406"/>
        </w:trPr>
        <w:tc>
          <w:tcPr>
            <w:tcW w:w="180" w:type="dxa"/>
            <w:vAlign w:val="bottom"/>
          </w:tcPr>
          <w:p>
            <w:pPr>
              <w:spacing w:after="0"/>
              <w:rPr>
                <w:sz w:val="24"/>
                <w:szCs w:val="24"/>
                <w:color w:val="auto"/>
              </w:rPr>
            </w:pPr>
          </w:p>
        </w:tc>
        <w:tc>
          <w:tcPr>
            <w:tcW w:w="4020" w:type="dxa"/>
            <w:vAlign w:val="bottom"/>
            <w:gridSpan w:val="4"/>
          </w:tcPr>
          <w:p>
            <w:pPr>
              <w:jc w:val="right"/>
              <w:ind w:right="1172"/>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180"/>
        </w:trPr>
        <w:tc>
          <w:tcPr>
            <w:tcW w:w="180" w:type="dxa"/>
            <w:vAlign w:val="bottom"/>
          </w:tcPr>
          <w:p>
            <w:pPr>
              <w:spacing w:after="0"/>
              <w:rPr>
                <w:sz w:val="15"/>
                <w:szCs w:val="15"/>
                <w:color w:val="auto"/>
              </w:rPr>
            </w:pPr>
          </w:p>
        </w:tc>
        <w:tc>
          <w:tcPr>
            <w:tcW w:w="188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-837565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-391795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-126365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320" w:space="720"/>
            <w:col w:w="4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Unrealized gain/(loss) on derivative instruments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3,214</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70"/>
        </w:trPr>
        <w:tc>
          <w:tcPr>
            <w:tcW w:w="70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90"/>
              <w:spacing w:after="0" w:line="170" w:lineRule="exact"/>
              <w:rPr>
                <w:sz w:val="20"/>
                <w:szCs w:val="20"/>
                <w:color w:val="auto"/>
              </w:rPr>
            </w:pPr>
            <w:r>
              <w:rPr>
                <w:rFonts w:ascii="Arial" w:cs="Arial" w:eastAsia="Arial" w:hAnsi="Arial"/>
                <w:sz w:val="18"/>
                <w:szCs w:val="18"/>
                <w:color w:val="auto"/>
                <w:w w:val="90"/>
              </w:rPr>
              <w:t>Unrealized gain/(loss)</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0"/>
              <w:spacing w:after="0" w:line="170" w:lineRule="exact"/>
              <w:rPr>
                <w:sz w:val="20"/>
                <w:szCs w:val="20"/>
                <w:color w:val="auto"/>
              </w:rPr>
            </w:pPr>
            <w:r>
              <w:rPr>
                <w:rFonts w:ascii="Arial" w:cs="Arial" w:eastAsia="Arial" w:hAnsi="Arial"/>
                <w:sz w:val="18"/>
                <w:szCs w:val="18"/>
                <w:color w:val="auto"/>
                <w:w w:val="91"/>
              </w:rPr>
              <w:t>Unrealized gain/(loss)</w:t>
            </w:r>
          </w:p>
        </w:tc>
      </w:tr>
      <w:tr>
        <w:trPr>
          <w:trHeight w:val="175"/>
        </w:trPr>
        <w:tc>
          <w:tcPr>
            <w:tcW w:w="7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2"/>
              </w:rPr>
              <w:t>on derivative</w:t>
            </w:r>
          </w:p>
        </w:tc>
        <w:tc>
          <w:tcPr>
            <w:tcW w:w="180" w:type="dxa"/>
            <w:vAlign w:val="bottom"/>
            <w:shd w:val="clear" w:color="auto" w:fill="CCEEFF"/>
          </w:tcPr>
          <w:p>
            <w:pPr>
              <w:spacing w:after="0"/>
              <w:rPr>
                <w:sz w:val="15"/>
                <w:szCs w:val="15"/>
                <w:color w:val="auto"/>
              </w:rPr>
            </w:pPr>
          </w:p>
        </w:tc>
        <w:tc>
          <w:tcPr>
            <w:tcW w:w="1880" w:type="dxa"/>
            <w:vAlign w:val="bottom"/>
            <w:shd w:val="clear" w:color="auto" w:fill="CCEEFF"/>
          </w:tcPr>
          <w:p>
            <w:pPr>
              <w:jc w:val="center"/>
              <w:ind w:right="90"/>
              <w:spacing w:after="0" w:line="176" w:lineRule="exact"/>
              <w:rPr>
                <w:sz w:val="20"/>
                <w:szCs w:val="20"/>
                <w:color w:val="auto"/>
              </w:rPr>
            </w:pPr>
            <w:r>
              <w:rPr>
                <w:rFonts w:ascii="Arial" w:cs="Arial" w:eastAsia="Arial" w:hAnsi="Arial"/>
                <w:sz w:val="18"/>
                <w:szCs w:val="18"/>
                <w:color w:val="auto"/>
                <w:w w:val="92"/>
              </w:rPr>
              <w:t>on derivative</w:t>
            </w:r>
          </w:p>
        </w:tc>
      </w:tr>
      <w:tr>
        <w:trPr>
          <w:trHeight w:val="237"/>
        </w:trPr>
        <w:tc>
          <w:tcPr>
            <w:tcW w:w="7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instruments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instruments</w:t>
            </w:r>
          </w:p>
        </w:tc>
      </w:tr>
      <w:tr>
        <w:trPr>
          <w:trHeight w:val="229"/>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Foreign currency gain /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70"/>
        </w:trPr>
        <w:tc>
          <w:tcPr>
            <w:tcW w:w="70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90"/>
              <w:spacing w:after="0" w:line="170" w:lineRule="exact"/>
              <w:rPr>
                <w:sz w:val="20"/>
                <w:szCs w:val="20"/>
                <w:color w:val="auto"/>
              </w:rPr>
            </w:pPr>
            <w:r>
              <w:rPr>
                <w:rFonts w:ascii="Arial" w:cs="Arial" w:eastAsia="Arial" w:hAnsi="Arial"/>
                <w:sz w:val="18"/>
                <w:szCs w:val="18"/>
                <w:color w:val="auto"/>
                <w:w w:val="90"/>
              </w:rPr>
              <w:t>Foreign currency</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0"/>
              <w:spacing w:after="0" w:line="170" w:lineRule="exact"/>
              <w:rPr>
                <w:sz w:val="20"/>
                <w:szCs w:val="20"/>
                <w:color w:val="auto"/>
              </w:rPr>
            </w:pPr>
            <w:r>
              <w:rPr>
                <w:rFonts w:ascii="Arial" w:cs="Arial" w:eastAsia="Arial" w:hAnsi="Arial"/>
                <w:sz w:val="18"/>
                <w:szCs w:val="18"/>
                <w:color w:val="auto"/>
                <w:w w:val="91"/>
              </w:rPr>
              <w:t>Foreign currency</w:t>
            </w:r>
          </w:p>
        </w:tc>
      </w:tr>
      <w:tr>
        <w:trPr>
          <w:trHeight w:val="243"/>
        </w:trPr>
        <w:tc>
          <w:tcPr>
            <w:tcW w:w="7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gain/(loss)</w:t>
            </w:r>
          </w:p>
        </w:tc>
        <w:tc>
          <w:tcPr>
            <w:tcW w:w="180" w:type="dxa"/>
            <w:vAlign w:val="bottom"/>
            <w:shd w:val="clear" w:color="auto" w:fill="CCEEFF"/>
          </w:tcPr>
          <w:p>
            <w:pPr>
              <w:spacing w:after="0"/>
              <w:rPr>
                <w:sz w:val="21"/>
                <w:szCs w:val="21"/>
                <w:color w:val="auto"/>
              </w:rPr>
            </w:pPr>
          </w:p>
        </w:tc>
        <w:tc>
          <w:tcPr>
            <w:tcW w:w="18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gain/(loss)</w:t>
            </w:r>
          </w:p>
        </w:tc>
      </w:tr>
    </w:tbl>
    <w:p>
      <w:pPr>
        <w:spacing w:after="0" w:line="28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Company applies recurring fair value measurements to its derivative instruments in accordance with ASC Topic 820, Fair Value Measurements ("ASC 820"). In determining fair value, the Company used a market approach and incorporated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117"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market prices in active markets for identical assets or liabilities.</w:t>
      </w:r>
    </w:p>
    <w:p>
      <w:pPr>
        <w:spacing w:after="0" w:line="22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Level 1 prices, such as quoted prices for similar assets or liabilities, quoted market prices in markets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active, or other inputs that are observable or can be corroborated by observable market data.</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internally developed models and methodologies utilizing significant unobservable inputs.</w:t>
      </w:r>
    </w:p>
    <w:p>
      <w:pPr>
        <w:spacing w:after="0" w:line="21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b w:val="1"/>
          <w:bCs w:val="1"/>
          <w:i w:val="1"/>
          <w:iCs w:val="1"/>
          <w:color w:val="auto"/>
        </w:rPr>
        <w:t>Forward Currency Swap Contracts</w:t>
      </w:r>
      <w:r>
        <w:rPr>
          <w:rFonts w:ascii="Arial" w:cs="Arial" w:eastAsia="Arial" w:hAnsi="Arial"/>
          <w:sz w:val="18"/>
          <w:szCs w:val="18"/>
          <w:color w:val="auto"/>
        </w:rPr>
        <w:t>—The Company’s valuation methodology for forward currency swap contracts is based upon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data.</w:t>
      </w:r>
    </w:p>
    <w:p>
      <w:pPr>
        <w:spacing w:after="0" w:line="170"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Contingent Consideration Liability</w:t>
      </w:r>
      <w:r>
        <w:rPr>
          <w:rFonts w:ascii="Arial" w:cs="Arial" w:eastAsia="Arial" w:hAnsi="Arial"/>
          <w:sz w:val="18"/>
          <w:szCs w:val="18"/>
          <w:color w:val="auto"/>
        </w:rPr>
        <w:t>—The Company utilized a probability weighted scenario-based model to determine the fair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contingent consideration.</w:t>
      </w:r>
    </w:p>
    <w:p>
      <w:pPr>
        <w:spacing w:after="0" w:line="17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Company’s fair value hierarchy for those assets (liabilities) measured at fair value on a recurring basis at June 30, 2022 and December 31, 2021,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00" w:type="dxa"/>
            <w:vAlign w:val="bottom"/>
          </w:tcPr>
          <w:p>
            <w:pPr>
              <w:spacing w:after="0"/>
              <w:rPr>
                <w:sz w:val="16"/>
                <w:szCs w:val="16"/>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34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r>
      <w:tr>
        <w:trPr>
          <w:trHeight w:val="26"/>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33"/>
        </w:trPr>
        <w:tc>
          <w:tcPr>
            <w:tcW w:w="4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jc w:val="center"/>
              <w:ind w:right="161"/>
              <w:spacing w:after="0" w:line="133" w:lineRule="exact"/>
              <w:rPr>
                <w:sz w:val="20"/>
                <w:szCs w:val="20"/>
                <w:color w:val="auto"/>
              </w:rPr>
            </w:pPr>
            <w:r>
              <w:rPr>
                <w:rFonts w:ascii="Arial" w:cs="Arial" w:eastAsia="Arial" w:hAnsi="Arial"/>
                <w:sz w:val="14"/>
                <w:szCs w:val="14"/>
                <w:b w:val="1"/>
                <w:bCs w:val="1"/>
                <w:color w:val="auto"/>
                <w:w w:val="97"/>
              </w:rPr>
              <w:t>Forward Currency</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center"/>
              <w:ind w:right="121"/>
              <w:spacing w:after="0" w:line="133" w:lineRule="exact"/>
              <w:rPr>
                <w:sz w:val="20"/>
                <w:szCs w:val="20"/>
                <w:color w:val="auto"/>
              </w:rPr>
            </w:pPr>
            <w:r>
              <w:rPr>
                <w:rFonts w:ascii="Arial" w:cs="Arial" w:eastAsia="Arial" w:hAnsi="Arial"/>
                <w:sz w:val="14"/>
                <w:szCs w:val="14"/>
                <w:b w:val="1"/>
                <w:bCs w:val="1"/>
                <w:color w:val="auto"/>
                <w:w w:val="91"/>
              </w:rPr>
              <w:t>Contingent</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192"/>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Swaps/Contracts</w:t>
            </w:r>
          </w:p>
        </w:tc>
        <w:tc>
          <w:tcPr>
            <w:tcW w:w="200" w:type="dxa"/>
            <w:vAlign w:val="bottom"/>
          </w:tcPr>
          <w:p>
            <w:pPr>
              <w:spacing w:after="0"/>
              <w:rPr>
                <w:sz w:val="16"/>
                <w:szCs w:val="16"/>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consideration liability</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2022</w:t>
            </w:r>
          </w:p>
        </w:tc>
        <w:tc>
          <w:tcPr>
            <w:tcW w:w="320" w:type="dxa"/>
            <w:vAlign w:val="bottom"/>
            <w:tcBorders>
              <w:top w:val="single" w:sz="8" w:color="CCEEFF"/>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r>
      <w:tr>
        <w:trPr>
          <w:trHeight w:val="20"/>
        </w:trPr>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3"/>
        </w:trPr>
        <w:tc>
          <w:tcPr>
            <w:tcW w:w="41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December 31, 2021</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ind w:left="146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(3,071)</w:t>
            </w:r>
          </w:p>
        </w:tc>
      </w:tr>
      <w:tr>
        <w:trPr>
          <w:trHeight w:val="21"/>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connection with the Company’s acquisition of the entity currently known as AMI Runa USA LLC (“Runa”), the Company is obligated to pay contingent payments to Runa’s former shareholders only if a certain revenue growth rate is achieved. Assuming the revenue growth is achieved, the former shareholders could elect for payment to be calculated based on quarterly data available between December 2021 and December 2022, as follows: 49% of the product of (a) the net revenue for the trailing 12 calendar months and (b) a specified multiple, which is contingent on the revenue growth achieved since December 31, 2017. Per the acquisition agreement, the contingent payment cannot exceed $51,500. If a certain revenue growth rate is not achieved, the Company is not required to pay any contingent payment.</w:t>
      </w:r>
    </w:p>
    <w:p>
      <w:pPr>
        <w:spacing w:after="0" w:line="192"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color w:val="auto"/>
        </w:rPr>
        <w:t>The fair value of contingent consideration of $15,700 determined on the acquisition date in 2019 was initially recognized as a liability and then subsequently remeasured to fair value at each reporting date with changes in fair value recognized as a component of operating income/expenses in the accompanying condensed consolidated statements of operations.</w:t>
      </w:r>
    </w:p>
    <w:p>
      <w:pPr>
        <w:spacing w:after="0" w:line="184"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contingent consideration liability related to the acquisition of Runa was considered a Level 3 liability, as the fair value was determined based on significant inputs not observable in the market, and recorded within other long-term liabilities in the accompanying condensed consolidated balance sheets. The Company estimated the fair value of the contingent consideration liability based on a probability-weighted present value of various future cash payment outcomes. The technique considered the following unobservable inputs as of each valuation date:</w:t>
      </w:r>
    </w:p>
    <w:p>
      <w:pPr>
        <w:spacing w:after="0" w:line="63"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probability and timing of achieving the specified milestones;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performance expectations;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Market-based discount rates.</w:t>
      </w:r>
    </w:p>
    <w:p>
      <w:pPr>
        <w:spacing w:after="0" w:line="225"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Based on updated revenue performance expectations during the earn-out period for Runa, the Company measured the contingent consideration as zero for the periods ended, June 30, 2022 and December 31, 2021.</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between any levels of the fair value hierarchy for any of the Company’s fair value measurements.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STOCKHOLDERS’ EQUITY</w:t>
      </w:r>
    </w:p>
    <w:p>
      <w:pPr>
        <w:spacing w:after="0" w:line="11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Common and Treasury Stock</w:t>
      </w:r>
      <w:r>
        <w:rPr>
          <w:rFonts w:ascii="Arial" w:cs="Arial" w:eastAsia="Arial" w:hAnsi="Arial"/>
          <w:sz w:val="18"/>
          <w:szCs w:val="18"/>
          <w:color w:val="auto"/>
        </w:rPr>
        <w:t>—Each share of common stock entitles its holder to one vote on matters required to be voted on by the stockholders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to receive dividends, when and if declared by the Company’s Board of Directors.</w:t>
      </w:r>
    </w:p>
    <w:p>
      <w:pPr>
        <w:spacing w:after="0" w:line="170"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of June 30, 2022 and December 31, 2021, the Company held 6,206,200 and 6,206,200 shares, respectively, in treasury stock. As of June 30, 2022 and December 31, 2021, the Company had 4,542,480 and 3,431,312 shares, respectively, of common stock available for issuance upon the conversion of outstanding warrants and stock options under the 2021 Incentive Award Plan, of which 3,154,616 and 2,170,975, respectively, were reserved for future issuance. In January 2021, the Company entered into a Stock Purchase Agreement with RW VC S.a.r.l, f/k/a Vita Coco S.a.r.l (the “Seller”). The Company repurchased 5,192,005 shares of its own common stock from the Seller at a purchase price of $9.63 per share, or an aggregate purchase price of approximately $50,000. The purchase price per share approximated the most recent third-party common stock valuation prepared in conjunction with the accounting of stock-based compensation discussed within this Note.</w:t>
      </w:r>
    </w:p>
    <w:p>
      <w:pPr>
        <w:spacing w:after="0" w:line="177"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b w:val="1"/>
          <w:bCs w:val="1"/>
          <w:i w:val="1"/>
          <w:iCs w:val="1"/>
          <w:color w:val="auto"/>
        </w:rPr>
        <w:t>Non-controlling Interest</w:t>
      </w:r>
      <w:r>
        <w:rPr>
          <w:rFonts w:ascii="Arial" w:cs="Arial" w:eastAsia="Arial" w:hAnsi="Arial"/>
          <w:sz w:val="18"/>
          <w:szCs w:val="18"/>
          <w:color w:val="auto"/>
        </w:rPr>
        <w:t>—On December 31, 2021, the Company purchased the remaining outstanding AME shares directly from minority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resulting in a zero non-controlling interest as of December 31, 2021 and June 30, 2022.</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color w:val="auto"/>
        </w:rPr>
        <w:t>—All service and exit warrants expired as of December 31, 2021. As such, there was no warrant activity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jc w:val="both"/>
        <w:ind w:right="360" w:firstLine="486"/>
        <w:spacing w:after="0" w:line="287"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—The stockholders of the Company approved the adoption of the Company’s 2014 Stock Option and Restricted Stock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Option Plan”). The Stock Option Plan allowed for a maximum of 8% of the sum of the Available Equity defined as the sum of (i) the total then outstanding shares of common shares and (ii) all available stock options (i.e., granted and outstanding stock options and stock options not yet granted).</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terms of the Stock Option Plan, the Company could grant employees, directors and consultants stock options and restricted stock awards and had the authority to establish the specific terms of each award, including exercise price, expiration and vesting. Generally, stock options issued pursuant to the Stock Option Plan contained exercise prices no less than the fair value of the Company’s common stock on the date of grant and have a ten-year contractual term.</w:t>
      </w:r>
    </w:p>
    <w:p>
      <w:pPr>
        <w:spacing w:after="0" w:line="193"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The stockholders of the Company approved the adoption of the 2021 Incentive Award Plan, which was effective after the closing of the IPO discussed in Note 1. On and after closing of the offering and the effectiveness of the 2021 Incentive Award Plan, no further grants will be made under the Stock Option Plan.</w:t>
      </w:r>
    </w:p>
    <w:p>
      <w:pPr>
        <w:spacing w:after="0" w:line="184"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The Company recognized stock-based compensation expense of $1,502 and $525 for the three months ended June 30, 2022 and 2021, respectively, in selling, general and administrative expenses. Additionally, the stock compensation expense of $3,580 and $1,012 was recognized for the six months ended June 30, 2022 and 2021, respectively, in selling, general and administrative expenses. For the restricted stock units ("RSUs") previously granted to a major customer, $312 and $620 was recognized for the three and six months ended June 30, 2022, respectively, as stock-based sales incentive based on guidance in ASC 606 and reflected as a reduction in the transaction price revenue.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with Service-based Vesting Conditions</w:t>
      </w:r>
    </w:p>
    <w:p>
      <w:pPr>
        <w:spacing w:after="0" w:line="2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7"/>
          <w:szCs w:val="17"/>
          <w:color w:val="auto"/>
        </w:rPr>
        <w:t>Most of the stock option awards granted under the Stock Option Plan vest based on continuous service. Generally, 50% of the stock options granted vest two years after the grant date and 50% of the stock options granted vest four years after the grant date. For options granted under the 2021 Incentive Award Plan, 25% of the stock options granted vest annually on November 27 in each of the four years after the grant date. There were no new service-based stock option awards granted during the six months ended June 30, 2022. Exercises of stock options during the six months ended June 30, 2022 are disclosed in the Condensed Consolidated Statements of Non-controlling Interests and Stockholders' Equity.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 with Performance and Market-based Vesting Conditions</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During the six months ended June 30, 2022, certain awards that contained performance-based vesting condition were modified. The modification adjusted the performance condition to allow for 50% of the performance awards to meet the criteria to vest, and no other terms were modified. Since it did not affect any terms that would affect the fair value, and only the number of awards, it is considered an improbable-to-probable modification. The impact of the modification was not material.</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and Restricted Stock Unit Awards</w:t>
      </w:r>
    </w:p>
    <w:p>
      <w:pPr>
        <w:spacing w:after="0" w:line="117" w:lineRule="exact"/>
        <w:rPr>
          <w:sz w:val="20"/>
          <w:szCs w:val="20"/>
          <w:color w:val="auto"/>
        </w:rPr>
      </w:pPr>
    </w:p>
    <w:p>
      <w:pPr>
        <w:jc w:val="both"/>
        <w:ind w:right="180" w:firstLine="486"/>
        <w:spacing w:after="0" w:line="279" w:lineRule="auto"/>
        <w:rPr>
          <w:sz w:val="20"/>
          <w:szCs w:val="20"/>
          <w:color w:val="auto"/>
        </w:rPr>
      </w:pPr>
      <w:r>
        <w:rPr>
          <w:rFonts w:ascii="Arial" w:cs="Arial" w:eastAsia="Arial" w:hAnsi="Arial"/>
          <w:sz w:val="17"/>
          <w:szCs w:val="17"/>
          <w:color w:val="auto"/>
        </w:rPr>
        <w:t>Restricted stock and RSUs were granted under the 2021 Incentive Award Plan and primarily vest based on continuous service. Currently, there are no restricted stock or RSUs that contain any performance or market conditions. The RSUs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and (ii) the first anniversary of the date of grant.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six months ended June 30, 2022, there were 134,142 RSUs granted, which had an aggregate grant date fair value of $1,259.</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INCOME TAXES</w:t>
      </w:r>
    </w:p>
    <w:p>
      <w:pPr>
        <w:spacing w:after="0" w:line="117" w:lineRule="exact"/>
        <w:rPr>
          <w:sz w:val="20"/>
          <w:szCs w:val="20"/>
          <w:color w:val="auto"/>
        </w:rPr>
      </w:pPr>
    </w:p>
    <w:p>
      <w:pPr>
        <w:jc w:val="both"/>
        <w:ind w:right="560" w:firstLine="486"/>
        <w:spacing w:after="0" w:line="263" w:lineRule="auto"/>
        <w:rPr>
          <w:sz w:val="20"/>
          <w:szCs w:val="20"/>
          <w:color w:val="auto"/>
        </w:rPr>
      </w:pPr>
      <w:r>
        <w:rPr>
          <w:rFonts w:ascii="Arial" w:cs="Arial" w:eastAsia="Arial" w:hAnsi="Arial"/>
          <w:sz w:val="18"/>
          <w:szCs w:val="18"/>
          <w:color w:val="auto"/>
        </w:rPr>
        <w:t>For the three months ended June 30, 2022 and 2021, the Company recorded income tax expense of $555 and $3,314, respectively. For the six months ended June 30, 2022 and 2021, the Company recorded $1,175 and $3,981, respectively, in income tax expense in its condensed consolidated statements of operations.</w:t>
      </w:r>
    </w:p>
    <w:p>
      <w:pPr>
        <w:spacing w:after="0" w:line="184"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165"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As of June 30, 2022 and December 31, 2021, there were no liabilities for income tax uncertainties. The Company is subject to income tax examinations by the Internal Revenue Service ("IRS") and various state and location jurisdictions for the open tax years between December 31, 2018 to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EARNINGS PER SHARE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58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The Vita Coco Company, Inc.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gridSpan w:val="3"/>
          </w:tcPr>
          <w:p>
            <w:pPr>
              <w:spacing w:after="0" w:line="189" w:lineRule="exact"/>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Weighted-average number of common shares used in earnings per share—basic</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55,626,861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52,995,871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55,594,558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53,398,800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Effect of conversion of stock options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443,626</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8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w w:val="96"/>
              </w:rPr>
              <w:t>Weighted-average number of common shares used in earnings per share—</w:t>
            </w: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55,804,448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53,322,972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55,752,597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53,842,426</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gridSpan w:val="3"/>
          </w:tcPr>
          <w:p>
            <w:pPr>
              <w:spacing w:after="0" w:line="203" w:lineRule="exact"/>
              <w:rPr>
                <w:sz w:val="20"/>
                <w:szCs w:val="20"/>
                <w:color w:val="auto"/>
              </w:rPr>
            </w:pPr>
            <w:r>
              <w:rPr>
                <w:rFonts w:ascii="Arial" w:cs="Arial" w:eastAsia="Arial" w:hAnsi="Arial"/>
                <w:sz w:val="18"/>
                <w:szCs w:val="18"/>
                <w:color w:val="auto"/>
              </w:rPr>
              <w:t>Earnings per share—basic</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0.02</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All exit warrants expired as of December 31, 2021. Before expiration, for the six months ended June 30, 2021, the exit warrants, which expire upon a liquidity event and only vest when proceeds from a liquidity event provide an annual internal rate of return of less than 30%, were not considered in the basic and diluted earnings per share, as the contingency of a liquidity event had not occurred.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Three months ended</w:t>
            </w: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Six months ended</w:t>
            </w:r>
          </w:p>
        </w:tc>
      </w:tr>
      <w:tr>
        <w:trPr>
          <w:trHeight w:val="192"/>
        </w:trPr>
        <w:tc>
          <w:tcPr>
            <w:tcW w:w="5560" w:type="dxa"/>
            <w:vAlign w:val="bottom"/>
          </w:tcPr>
          <w:p>
            <w:pPr>
              <w:spacing w:after="0"/>
              <w:rPr>
                <w:sz w:val="16"/>
                <w:szCs w:val="16"/>
                <w:color w:val="auto"/>
              </w:rPr>
            </w:pPr>
          </w:p>
        </w:tc>
        <w:tc>
          <w:tcPr>
            <w:tcW w:w="1740" w:type="dxa"/>
            <w:vAlign w:val="bottom"/>
            <w:tcBorders>
              <w:bottom w:val="single" w:sz="8" w:color="auto"/>
            </w:tcBorders>
            <w:gridSpan w:val="3"/>
          </w:tcPr>
          <w:p>
            <w:pPr>
              <w:jc w:val="center"/>
              <w:ind w:left="864"/>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864"/>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195"/>
        </w:trPr>
        <w:tc>
          <w:tcPr>
            <w:tcW w:w="55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7"/>
              </w:rPr>
              <w:t>2,372,656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4"/>
              </w:rPr>
              <w:t>1,751,915</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4"/>
              </w:rPr>
              <w:t>2,369,686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7"/>
              </w:rPr>
              <w:t>1,669,395</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SEGMENT REPORTING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two operating and reportable segments:</w:t>
      </w:r>
    </w:p>
    <w:p>
      <w:pPr>
        <w:spacing w:after="0" w:line="117" w:lineRule="exact"/>
        <w:rPr>
          <w:sz w:val="20"/>
          <w:szCs w:val="20"/>
          <w:color w:val="auto"/>
        </w:rPr>
      </w:pPr>
    </w:p>
    <w:p>
      <w:pPr>
        <w:ind w:left="820" w:right="80" w:hanging="326"/>
        <w:spacing w:after="0" w:line="263"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Americas—Comprised primarily of the U.S. and Canada, and derives its revenues from the marketing and distribution of various coconut water and non-coconut water products (e.g., oil and milk). The Company’s Guayusa leaf products (</w:t>
      </w:r>
      <w:r>
        <w:rPr>
          <w:rFonts w:ascii="Arial" w:cs="Arial" w:eastAsia="Arial" w:hAnsi="Arial"/>
          <w:sz w:val="18"/>
          <w:szCs w:val="18"/>
          <w:i w:val="1"/>
          <w:iCs w:val="1"/>
          <w:color w:val="auto"/>
        </w:rPr>
        <w:t>Runa</w:t>
      </w:r>
      <w:r>
        <w:rPr>
          <w:rFonts w:ascii="Arial" w:cs="Arial" w:eastAsia="Arial" w:hAnsi="Arial"/>
          <w:sz w:val="18"/>
          <w:szCs w:val="18"/>
          <w:color w:val="auto"/>
        </w:rPr>
        <w:t>), aluminum bottle canned water (</w:t>
      </w:r>
      <w:r>
        <w:rPr>
          <w:rFonts w:ascii="Arial" w:cs="Arial" w:eastAsia="Arial" w:hAnsi="Arial"/>
          <w:sz w:val="18"/>
          <w:szCs w:val="18"/>
          <w:i w:val="1"/>
          <w:iCs w:val="1"/>
          <w:color w:val="auto"/>
        </w:rPr>
        <w:t>Ever and</w:t>
      </w:r>
      <w:r>
        <w:rPr>
          <w:rFonts w:ascii="Arial" w:cs="Arial" w:eastAsia="Arial" w:hAnsi="Arial"/>
          <w:sz w:val="18"/>
          <w:szCs w:val="18"/>
          <w:color w:val="auto"/>
        </w:rPr>
        <w:t xml:space="preserve"> </w:t>
      </w:r>
      <w:r>
        <w:rPr>
          <w:rFonts w:ascii="Arial" w:cs="Arial" w:eastAsia="Arial" w:hAnsi="Arial"/>
          <w:sz w:val="18"/>
          <w:szCs w:val="18"/>
          <w:i w:val="1"/>
          <w:iCs w:val="1"/>
          <w:color w:val="auto"/>
        </w:rPr>
        <w:t>Ever</w:t>
      </w:r>
      <w:r>
        <w:rPr>
          <w:rFonts w:ascii="Arial" w:cs="Arial" w:eastAsia="Arial" w:hAnsi="Arial"/>
          <w:sz w:val="18"/>
          <w:szCs w:val="18"/>
          <w:color w:val="auto"/>
        </w:rPr>
        <w:t>), and protein infused fitness drink (</w:t>
      </w:r>
      <w:r>
        <w:rPr>
          <w:rFonts w:ascii="Arial" w:cs="Arial" w:eastAsia="Arial" w:hAnsi="Arial"/>
          <w:sz w:val="18"/>
          <w:szCs w:val="18"/>
          <w:i w:val="1"/>
          <w:iCs w:val="1"/>
          <w:color w:val="auto"/>
        </w:rPr>
        <w:t>PWR LIFT</w:t>
      </w:r>
      <w:r>
        <w:rPr>
          <w:rFonts w:ascii="Arial" w:cs="Arial" w:eastAsia="Arial" w:hAnsi="Arial"/>
          <w:sz w:val="18"/>
          <w:szCs w:val="18"/>
          <w:color w:val="auto"/>
        </w:rPr>
        <w:t>) are marketed only in the Americas segment.</w:t>
      </w:r>
    </w:p>
    <w:p>
      <w:pPr>
        <w:spacing w:after="0" w:line="75" w:lineRule="exact"/>
        <w:rPr>
          <w:rFonts w:ascii="Arial" w:cs="Arial" w:eastAsia="Arial" w:hAnsi="Arial"/>
          <w:sz w:val="18"/>
          <w:szCs w:val="18"/>
          <w:color w:val="auto"/>
        </w:rPr>
      </w:pPr>
    </w:p>
    <w:p>
      <w:pPr>
        <w:ind w:left="820" w:right="160" w:hanging="326"/>
        <w:spacing w:after="0" w:line="277" w:lineRule="auto"/>
        <w:tabs>
          <w:tab w:leader="none" w:pos="8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International—Comprised primarily of Europe, Middle East, and Asia Pacific, which includes the Company’s procurement arm and derives its revenues from the marketing and distribution of various coconut water and non-coconut water products.</w:t>
      </w:r>
    </w:p>
    <w:p>
      <w:pPr>
        <w:spacing w:after="0" w:line="17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Information about the Company’s operations by operating segment as of June 30, 2022 and 2021 and for the three and six months ended June 30, 2022 and 2021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w w:val="98"/>
              </w:rPr>
              <w:t>Three Months Ended June 30,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7"/>
          </w:tcPr>
          <w:p>
            <w:pPr>
              <w:jc w:val="right"/>
              <w:ind w:right="353"/>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9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101,810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211,753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177,260</w:t>
            </w:r>
          </w:p>
        </w:tc>
      </w:tr>
      <w:tr>
        <w:trPr>
          <w:trHeight w:val="230"/>
        </w:trPr>
        <w:tc>
          <w:tcPr>
            <w:tcW w:w="5920" w:type="dxa"/>
            <w:vAlign w:val="bottom"/>
          </w:tcPr>
          <w:p>
            <w:pPr>
              <w:ind w:left="44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86,149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185,104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15,661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26,649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27,260</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29,289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28,976</w:t>
            </w:r>
          </w:p>
        </w:tc>
        <w:tc>
          <w:tcPr>
            <w:tcW w:w="4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48,352</w:t>
            </w:r>
          </w:p>
        </w:tc>
        <w:tc>
          <w:tcPr>
            <w:tcW w:w="3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53,060</w:t>
            </w: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25,706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43,006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46,824</w:t>
            </w:r>
          </w:p>
        </w:tc>
      </w:tr>
      <w:tr>
        <w:trPr>
          <w:trHeight w:val="230"/>
        </w:trPr>
        <w:tc>
          <w:tcPr>
            <w:tcW w:w="5920" w:type="dxa"/>
            <w:vAlign w:val="bottom"/>
          </w:tcPr>
          <w:p>
            <w:pPr>
              <w:ind w:left="4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3,270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5,346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6,236</w:t>
            </w:r>
          </w:p>
        </w:tc>
      </w:tr>
      <w:tr>
        <w:trPr>
          <w:trHeight w:val="500"/>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June 30,</w:t>
            </w:r>
          </w:p>
        </w:tc>
        <w:tc>
          <w:tcPr>
            <w:tcW w:w="180" w:type="dxa"/>
            <w:vAlign w:val="bottom"/>
          </w:tcPr>
          <w:p>
            <w:pPr>
              <w:spacing w:after="0"/>
              <w:rPr>
                <w:sz w:val="24"/>
                <w:szCs w:val="24"/>
                <w:color w:val="auto"/>
              </w:rPr>
            </w:pPr>
          </w:p>
        </w:tc>
        <w:tc>
          <w:tcPr>
            <w:tcW w:w="138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0"/>
              </w:rPr>
              <w:t>As of December 31,</w:t>
            </w:r>
          </w:p>
        </w:tc>
      </w:tr>
      <w:tr>
        <w:trPr>
          <w:trHeight w:val="25"/>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9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assets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217,808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197,484</w:t>
            </w:r>
          </w:p>
        </w:tc>
      </w:tr>
      <w:tr>
        <w:trPr>
          <w:trHeight w:val="230"/>
        </w:trPr>
        <w:tc>
          <w:tcPr>
            <w:tcW w:w="5920" w:type="dxa"/>
            <w:vAlign w:val="bottom"/>
          </w:tcPr>
          <w:p>
            <w:pPr>
              <w:ind w:left="440"/>
              <w:spacing w:after="0"/>
              <w:rPr>
                <w:sz w:val="20"/>
                <w:szCs w:val="20"/>
                <w:color w:val="auto"/>
              </w:rPr>
            </w:pPr>
            <w:r>
              <w:rPr>
                <w:rFonts w:ascii="Arial" w:cs="Arial" w:eastAsia="Arial" w:hAnsi="Arial"/>
                <w:sz w:val="18"/>
                <w:szCs w:val="18"/>
                <w:color w:val="auto"/>
              </w:rPr>
              <w:t>Americas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171,951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141,973</w:t>
            </w: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30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w:t>
            </w: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53,060</w:t>
            </w:r>
          </w:p>
        </w:tc>
        <w:tc>
          <w:tcPr>
            <w:tcW w:w="0" w:type="dxa"/>
            <w:vAlign w:val="bottom"/>
          </w:tcPr>
          <w:p>
            <w:pPr>
              <w:spacing w:after="0"/>
              <w:rPr>
                <w:sz w:val="1"/>
                <w:szCs w:val="1"/>
                <w:color w:val="auto"/>
              </w:rPr>
            </w:pPr>
          </w:p>
        </w:tc>
      </w:tr>
      <w:tr>
        <w:trPr>
          <w:trHeight w:val="229"/>
        </w:trPr>
        <w:tc>
          <w:tcPr>
            <w:tcW w:w="5920" w:type="dxa"/>
            <w:vAlign w:val="bottom"/>
          </w:tcPr>
          <w:p>
            <w:pPr>
              <w:ind w:left="44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41,222</w:t>
            </w:r>
          </w:p>
        </w:tc>
        <w:tc>
          <w:tcPr>
            <w:tcW w:w="0" w:type="dxa"/>
            <w:vAlign w:val="bottom"/>
          </w:tcPr>
          <w:p>
            <w:pPr>
              <w:spacing w:after="0"/>
              <w:rPr>
                <w:sz w:val="1"/>
                <w:szCs w:val="1"/>
                <w:color w:val="auto"/>
              </w:rPr>
            </w:pPr>
          </w:p>
        </w:tc>
      </w:tr>
      <w:tr>
        <w:trPr>
          <w:trHeight w:val="223"/>
        </w:trPr>
        <w:tc>
          <w:tcPr>
            <w:tcW w:w="5920" w:type="dxa"/>
            <w:vAlign w:val="bottom"/>
          </w:tcPr>
          <w:p>
            <w:pPr>
              <w:ind w:left="440"/>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7,532</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840"/>
              <w:spacing w:after="0"/>
              <w:rPr>
                <w:sz w:val="20"/>
                <w:szCs w:val="20"/>
                <w:color w:val="auto"/>
              </w:rPr>
            </w:pPr>
            <w:r>
              <w:rPr>
                <w:rFonts w:ascii="Arial" w:cs="Arial" w:eastAsia="Arial" w:hAnsi="Arial"/>
                <w:sz w:val="18"/>
                <w:szCs w:val="18"/>
                <w:color w:val="auto"/>
              </w:rPr>
              <w:t>Unrealized gain/(loss) on derivative instruments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Foreign currency gain/(loss)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30"/>
        </w:trPr>
        <w:tc>
          <w:tcPr>
            <w:tcW w:w="5920" w:type="dxa"/>
            <w:vAlign w:val="bottom"/>
          </w:tcPr>
          <w:p>
            <w:pPr>
              <w:ind w:left="8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592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Data:</w:t>
      </w:r>
    </w:p>
    <w:p>
      <w:pPr>
        <w:spacing w:after="0" w:line="11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provides information related to the Company’s net sales by country, which is presented on the basis of the location that revenue from customers is recorded: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 June 30,</w:t>
            </w: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6"/>
        </w:trPr>
        <w:tc>
          <w:tcPr>
            <w:tcW w:w="8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30"/>
        </w:trPr>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 other countries(1)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27,260</w:t>
            </w:r>
          </w:p>
        </w:tc>
      </w:tr>
      <w:tr>
        <w:trPr>
          <w:trHeight w:val="248"/>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177,260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77" w:lineRule="exact"/>
        <w:rPr>
          <w:sz w:val="20"/>
          <w:szCs w:val="20"/>
          <w:color w:val="auto"/>
        </w:rPr>
      </w:pPr>
    </w:p>
    <w:p>
      <w:pPr>
        <w:jc w:val="right"/>
        <w:ind w:left="500" w:right="2940" w:hanging="474"/>
        <w:spacing w:after="0" w:line="654" w:lineRule="auto"/>
        <w:tabs>
          <w:tab w:leader="none" w:pos="4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 individual country is greater than 10% of total net sales for the six months ended June 30, 2022 and 2021. The following table provides information related to the Company’s property and equipment, net by country:</w:t>
      </w:r>
    </w:p>
    <w:tbl>
      <w:tblPr>
        <w:tblLayout w:type="fixed"/>
        <w:tblInd w:w="0" w:type="dxa"/>
        <w:tblCellMar>
          <w:top w:w="0" w:type="dxa"/>
          <w:left w:w="0" w:type="dxa"/>
          <w:bottom w:w="0" w:type="dxa"/>
          <w:right w:w="0" w:type="dxa"/>
        </w:tblCellMar>
      </w:tblPr>
      <w:tr>
        <w:trPr>
          <w:trHeight w:val="146"/>
        </w:trPr>
        <w:tc>
          <w:tcPr>
            <w:tcW w:w="8180" w:type="dxa"/>
            <w:vAlign w:val="bottom"/>
          </w:tcPr>
          <w:p>
            <w:pPr>
              <w:spacing w:after="0"/>
              <w:rPr>
                <w:sz w:val="12"/>
                <w:szCs w:val="12"/>
                <w:color w:val="auto"/>
              </w:rPr>
            </w:pPr>
          </w:p>
        </w:tc>
        <w:tc>
          <w:tcPr>
            <w:tcW w:w="1000" w:type="dxa"/>
            <w:vAlign w:val="bottom"/>
          </w:tcPr>
          <w:p>
            <w:pPr>
              <w:jc w:val="right"/>
              <w:spacing w:after="0" w:line="146" w:lineRule="exact"/>
              <w:rPr>
                <w:sz w:val="20"/>
                <w:szCs w:val="20"/>
                <w:color w:val="auto"/>
              </w:rPr>
            </w:pPr>
            <w:r>
              <w:rPr>
                <w:rFonts w:ascii="Arial" w:cs="Arial" w:eastAsia="Arial" w:hAnsi="Arial"/>
                <w:sz w:val="14"/>
                <w:szCs w:val="14"/>
                <w:b w:val="1"/>
                <w:bCs w:val="1"/>
                <w:color w:val="auto"/>
              </w:rPr>
              <w:t>June 30,</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235"/>
              <w:spacing w:after="0" w:line="146" w:lineRule="exact"/>
              <w:rPr>
                <w:sz w:val="20"/>
                <w:szCs w:val="20"/>
                <w:color w:val="auto"/>
              </w:rPr>
            </w:pPr>
            <w:r>
              <w:rPr>
                <w:rFonts w:ascii="Arial" w:cs="Arial" w:eastAsia="Arial" w:hAnsi="Arial"/>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Ecuador</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countries(1)</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77" w:lineRule="exact"/>
        <w:rPr>
          <w:sz w:val="20"/>
          <w:szCs w:val="20"/>
          <w:color w:val="auto"/>
        </w:rPr>
      </w:pPr>
    </w:p>
    <w:p>
      <w:pPr>
        <w:ind w:left="420" w:hanging="394"/>
        <w:spacing w:after="0"/>
        <w:tabs>
          <w:tab w:leader="none" w:pos="4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 individual country is greater than 10% of total property and equipment, net as of June 30, 2022 and December 31, 2021.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80" w:hanging="272"/>
        <w:spacing w:after="0"/>
        <w:tabs>
          <w:tab w:leader="none" w:pos="2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b w:val="1"/>
          <w:bCs w:val="1"/>
          <w:i w:val="1"/>
          <w:iCs w:val="1"/>
          <w:color w:val="auto"/>
        </w:rPr>
        <w:t>Management Fees</w:t>
      </w:r>
      <w:r>
        <w:rPr>
          <w:rFonts w:ascii="Arial" w:cs="Arial" w:eastAsia="Arial" w:hAnsi="Arial"/>
          <w:sz w:val="18"/>
          <w:szCs w:val="18"/>
          <w:color w:val="auto"/>
        </w:rPr>
        <w:t>—The Company was subject to an arrangement with one of its stockholders for as long as such stockholder held at least 5%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capital stock. Pursuant to the terms of the amended arrangement, the Company was required to make fixed annual management fee payments of $281. On October 20, 2021, in connection with the IPO discussed in Note 1, the Stockholder’s Agreement was revised and the new Investor Rights Agreement does not provide for payment of a management fee to this stockholder. For the six months ended June 30, 2021 and the year ended December 31, 2021, the Company had amounts due in accounts payable of $227 for the portion of the year prior to the execution of the new Investor Rights Agreement.</w:t>
      </w:r>
    </w:p>
    <w:p>
      <w:pPr>
        <w:spacing w:after="0" w:line="84"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b w:val="1"/>
          <w:bCs w:val="1"/>
          <w:i w:val="1"/>
          <w:iCs w:val="1"/>
          <w:color w:val="auto"/>
        </w:rPr>
        <w:t xml:space="preserve">Director Nominee Agreements </w:t>
      </w:r>
      <w:r>
        <w:rPr>
          <w:rFonts w:ascii="Arial" w:cs="Arial" w:eastAsia="Arial" w:hAnsi="Arial"/>
          <w:sz w:val="18"/>
          <w:szCs w:val="18"/>
          <w:color w:val="auto"/>
        </w:rPr>
        <w:t>- On May 24, 2022, two members of the Board of Directors appointed as nominees under the Investor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by Verlinvest Beverages SA, a stockholder of the Company, entered into nominee agreements instructing the Company to pay all cash compensation earned in connection with their Board of Director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services to Verlinvest Beverages SA. Based on aforementioned nominee agreements, RSUs granted to these two directors, based on the aforementioned nominee agreements, will be held by them as nominees for Verlinvest Beverages SA and, upon vesting of the RSUs, the shares will be transferred to Verlinvest Beverages SA. The nominee agreements are primarily between the directors and Verlinvest Beverages SA. The Company is a party to this arrangement solely to agree to the manner in which it would satisfy the compensation obligations to these directors.</w:t>
      </w:r>
    </w:p>
    <w:p>
      <w:pPr>
        <w:spacing w:after="0" w:line="17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b w:val="1"/>
          <w:bCs w:val="1"/>
          <w:i w:val="1"/>
          <w:iCs w:val="1"/>
          <w:color w:val="auto"/>
        </w:rPr>
        <w:t>Loan to Employee</w:t>
      </w:r>
      <w:r>
        <w:rPr>
          <w:rFonts w:ascii="Arial" w:cs="Arial" w:eastAsia="Arial" w:hAnsi="Arial"/>
          <w:sz w:val="16"/>
          <w:szCs w:val="16"/>
          <w:color w:val="auto"/>
        </w:rPr>
        <w:t>—On September 18, 2019, the Company extended a five year promissory note of $17,700 to Martin Roper, the current CEO,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 for him to buy 1,739,010 shares of The Vita Coco Company, Inc.’s common stock in conjunction with his employment agreement. The interest on the note accrued annually at a rate of 1.78% with the principal balance due at maturity. The purchase of the Company’s shares occurred simultaneously with the commencement of the loan, as a result, no funds were actually disbursed by the Company. The purchased Company shares were pledged as collateral to the loan until full repayment of the principal balance. On May 18, 2020, the Company amended the interest rate on the note to 0.58%.</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September 16, 2021, Martin Roper repaid the outstanding principal balance and accrued interest in full satisfaction of the promissory note.</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Distribution Agreement with Shareholder</w:t>
      </w:r>
      <w:r>
        <w:rPr>
          <w:rFonts w:ascii="Arial" w:cs="Arial" w:eastAsia="Arial" w:hAnsi="Arial"/>
          <w:sz w:val="16"/>
          <w:szCs w:val="16"/>
          <w:color w:val="auto"/>
        </w:rPr>
        <w:t>—On October 1, 2019, the Company entered into a distribution agreement with one of its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currently extends through December 31, 2022. The distribution agreement grants the stockholder the right to sell, resell, and distribute designated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supplied by the Company within a specified territory. The amount of revenue recognized related to this distribution agreement was $2,074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$1,578 for three months ended June 30, 2022 and 2021, respectively, and $3,406 and $3,309 for the six months ended June 30, 2022 and 2021,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amounts due from the stockholder in Accounts Receivable, net were $508 and $600 as of June 30, 2022 and December 31, 2021, respectively.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this distribution arrangement, the Company and the stockholder have a service agreement where the Company shares in the compensation costs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stockholder’s employee managing the China market. The Company recorded $58 and $41 for the three months ended June 30, 2022 and 2021,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$97 and $80 for the six months ended June 30, 2022 and 2021, respectively, in selling, general and administrative expense for this service agreement.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SUBSEQUENT EVENTS</w:t>
      </w:r>
    </w:p>
    <w:p>
      <w:pPr>
        <w:spacing w:after="0" w:line="23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On June 17, 2022, the Company announced that Kevin Benmoussa, the Company’s current Chief Financial Officer, Treasurer, principal financial officer and principal accounting officer, resigned from all roles at the Company, effective August 31, 2022. In connection with a transition plan, on July 26, 2022, the Board of Directors of the Company appointed Rowena Ricalde, the Company’s current Vice President, Global Accounting &amp; Control, as Interim Chief Financial Officer, effective September 1, 2022. In this role, Ms. Ricalde will assume the responsibilities of the principal financial officer and principal accounting officer until the Company appoints a permanent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17"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Form 10-K, for the fiscal year ended December 31, 2021 and filed with the Securities and Exchange Commission ("SEC") on March 14,2022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and other factors set forth in the Form 10-K.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 w:lineRule="exact"/>
        <w:rPr>
          <w:sz w:val="20"/>
          <w:szCs w:val="20"/>
          <w:color w:val="auto"/>
        </w:rPr>
      </w:pPr>
    </w:p>
    <w:p>
      <w:pPr>
        <w:jc w:val="both"/>
        <w:ind w:right="140" w:firstLine="648"/>
        <w:spacing w:after="0" w:line="238" w:lineRule="auto"/>
        <w:rPr>
          <w:sz w:val="20"/>
          <w:szCs w:val="20"/>
          <w:color w:val="auto"/>
        </w:rPr>
      </w:pPr>
      <w:r>
        <w:rPr>
          <w:rFonts w:ascii="Arial" w:cs="Arial" w:eastAsia="Arial" w:hAnsi="Arial"/>
          <w:sz w:val="18"/>
          <w:szCs w:val="18"/>
          <w:color w:val="auto"/>
        </w:rPr>
        <w:t>The Vita Coco Company, Inc is a leading platform for brands in the functional beverage category. We pioneered packaged coconut water in 2004 and extended our business into other healthy hydration categories. Our mission is to deliver great tasting, natural and nutritious products that are better for consumers and better for the world. Today we believe that we are the largest brand globally in the coconut and other plant waters category, and one of the largest suppliers of private label coconut water.</w:t>
      </w:r>
    </w:p>
    <w:p>
      <w:pPr>
        <w:spacing w:after="0" w:line="216" w:lineRule="exact"/>
        <w:rPr>
          <w:sz w:val="20"/>
          <w:szCs w:val="20"/>
          <w:color w:val="auto"/>
        </w:rPr>
      </w:pPr>
    </w:p>
    <w:p>
      <w:pPr>
        <w:ind w:right="40" w:firstLine="648"/>
        <w:spacing w:after="0" w:line="238" w:lineRule="auto"/>
        <w:rPr>
          <w:sz w:val="20"/>
          <w:szCs w:val="20"/>
          <w:color w:val="auto"/>
        </w:rPr>
      </w:pPr>
      <w:r>
        <w:rPr>
          <w:rFonts w:ascii="Arial" w:cs="Arial" w:eastAsia="Arial" w:hAnsi="Arial"/>
          <w:sz w:val="18"/>
          <w:szCs w:val="18"/>
          <w:color w:val="auto"/>
        </w:rPr>
        <w:t xml:space="preserve">Our branded portfolio is led by our </w:t>
      </w:r>
      <w:r>
        <w:rPr>
          <w:rFonts w:ascii="Arial" w:cs="Arial" w:eastAsia="Arial" w:hAnsi="Arial"/>
          <w:sz w:val="18"/>
          <w:szCs w:val="18"/>
          <w:i w:val="1"/>
          <w:iCs w:val="1"/>
          <w:color w:val="auto"/>
        </w:rPr>
        <w:t>Vita Coco</w:t>
      </w:r>
      <w:r>
        <w:rPr>
          <w:rFonts w:ascii="Arial" w:cs="Arial" w:eastAsia="Arial" w:hAnsi="Arial"/>
          <w:sz w:val="18"/>
          <w:szCs w:val="18"/>
          <w:color w:val="auto"/>
        </w:rPr>
        <w:t xml:space="preserve"> brand, which is the leader in the global coconut water category, and also includes coconut oil and coconut milk offerings. Our other brands include </w:t>
      </w:r>
      <w:r>
        <w:rPr>
          <w:rFonts w:ascii="Arial" w:cs="Arial" w:eastAsia="Arial" w:hAnsi="Arial"/>
          <w:sz w:val="18"/>
          <w:szCs w:val="18"/>
          <w:i w:val="1"/>
          <w:iCs w:val="1"/>
          <w:color w:val="auto"/>
        </w:rPr>
        <w:t>Runa</w:t>
      </w:r>
      <w:r>
        <w:rPr>
          <w:rFonts w:ascii="Arial" w:cs="Arial" w:eastAsia="Arial" w:hAnsi="Arial"/>
          <w:sz w:val="18"/>
          <w:szCs w:val="18"/>
          <w:color w:val="auto"/>
        </w:rPr>
        <w:t xml:space="preserve">, a leading plant-based energy drink inspired from the guayusa plant native to Ecuador, </w:t>
      </w:r>
      <w:r>
        <w:rPr>
          <w:rFonts w:ascii="Arial" w:cs="Arial" w:eastAsia="Arial" w:hAnsi="Arial"/>
          <w:sz w:val="18"/>
          <w:szCs w:val="18"/>
          <w:i w:val="1"/>
          <w:iCs w:val="1"/>
          <w:color w:val="auto"/>
        </w:rPr>
        <w:t>Ever &amp; Ever</w:t>
      </w:r>
      <w:r>
        <w:rPr>
          <w:rFonts w:ascii="Arial" w:cs="Arial" w:eastAsia="Arial" w:hAnsi="Arial"/>
          <w:sz w:val="18"/>
          <w:szCs w:val="18"/>
          <w:color w:val="auto"/>
        </w:rPr>
        <w:t xml:space="preserve">, a sustainably packaged water, and the recently launched </w:t>
      </w:r>
      <w:r>
        <w:rPr>
          <w:rFonts w:ascii="Arial" w:cs="Arial" w:eastAsia="Arial" w:hAnsi="Arial"/>
          <w:sz w:val="18"/>
          <w:szCs w:val="18"/>
          <w:i w:val="1"/>
          <w:iCs w:val="1"/>
          <w:color w:val="auto"/>
        </w:rPr>
        <w:t>PWR LIFT</w:t>
      </w:r>
      <w:r>
        <w:rPr>
          <w:rFonts w:ascii="Arial" w:cs="Arial" w:eastAsia="Arial" w:hAnsi="Arial"/>
          <w:sz w:val="18"/>
          <w:szCs w:val="18"/>
          <w:color w:val="auto"/>
        </w:rPr>
        <w:t>, a protein-infused fitness drink. We also supply private label products to key retailers in both the coconut water and coconut oil categories.</w:t>
      </w:r>
    </w:p>
    <w:p>
      <w:pPr>
        <w:spacing w:after="0" w:line="218"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We source our coconut water from a diversified global network of 15 factories across seven countries supported by thousands of coconut farmers. As we do not own any of the coconut water factories, our supply chain is a fixed asset-lite model designed to better react to changes in the market or consumer preferences. We also work with co-packers in America and Europe to support local packing and repacking of our products and to better service our customers’ needs.</w:t>
      </w:r>
    </w:p>
    <w:p>
      <w:pPr>
        <w:spacing w:after="0" w:line="215" w:lineRule="exact"/>
        <w:rPr>
          <w:sz w:val="20"/>
          <w:szCs w:val="20"/>
          <w:color w:val="auto"/>
        </w:rPr>
      </w:pPr>
    </w:p>
    <w:p>
      <w:pPr>
        <w:ind w:right="40" w:firstLine="648"/>
        <w:spacing w:after="0" w:line="243" w:lineRule="auto"/>
        <w:rPr>
          <w:sz w:val="20"/>
          <w:szCs w:val="20"/>
          <w:color w:val="auto"/>
        </w:rPr>
      </w:pPr>
      <w:r>
        <w:rPr>
          <w:rFonts w:ascii="Arial" w:cs="Arial" w:eastAsia="Arial" w:hAnsi="Arial"/>
          <w:sz w:val="18"/>
          <w:szCs w:val="18"/>
          <w:i w:val="1"/>
          <w:iCs w:val="1"/>
          <w:color w:val="auto"/>
        </w:rPr>
        <w:t xml:space="preserve">Vita Coco </w:t>
      </w:r>
      <w:r>
        <w:rPr>
          <w:rFonts w:ascii="Arial" w:cs="Arial" w:eastAsia="Arial" w:hAnsi="Arial"/>
          <w:sz w:val="18"/>
          <w:szCs w:val="18"/>
          <w:color w:val="auto"/>
        </w:rPr>
        <w:t>is available in over 30 countries, with our primary markets in North America, the United Kingdom, and China. Our primary markets for</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label are North America and Europe. Our products are distributed primarily through club, food, drug, mass, convenience, e-commerce, and foodservice channels. We are also available in a variety of on-premise locations such as corporate offices, fitness clubs, airports, cruise lines, and educational institutions.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There have been no material changes to such factors from those described in the Form 10-K under the heading “Key Factors Affecting our Performance” other than the changes noted below in "Impact of COVID-19 and Current Geopolitical Instability" Those factors also pose risks and challenges, including those discussed in Part I, Item 1A. “Risk Factors” of the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the Current Geopolitical Instability</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global macroeconomic environment continues to be affected by the COVID-19 pandemic and the current geopolitical instability (including the effects of the Ukraine - Russia War). In fiscal year 2021 and continuing into the six months ended June 30, 2022, the Company saw significant changes to global ocean shipping availability and pricing of containers, lengthening transit times, increased domestic transportation costs and some payroll inflationary effects among other impacts. Starting in the second quarter of 2021, and recognizing the strength of our brands, we took pricing actions such as delaying promotional activities until later in the year, reducing discounting and sharing cost increases with private label customers, in order to partially offset the inflationary costs of goods effects we were experiencing.</w:t>
      </w:r>
    </w:p>
    <w:p>
      <w:pPr>
        <w:spacing w:after="0" w:line="219" w:lineRule="exact"/>
        <w:rPr>
          <w:sz w:val="20"/>
          <w:szCs w:val="20"/>
          <w:color w:val="auto"/>
        </w:rPr>
      </w:pPr>
    </w:p>
    <w:p>
      <w:pPr>
        <w:ind w:right="120" w:firstLine="648"/>
        <w:spacing w:after="0" w:line="245" w:lineRule="auto"/>
        <w:rPr>
          <w:sz w:val="20"/>
          <w:szCs w:val="20"/>
          <w:color w:val="auto"/>
        </w:rPr>
      </w:pPr>
      <w:r>
        <w:rPr>
          <w:rFonts w:ascii="Arial" w:cs="Arial" w:eastAsia="Arial" w:hAnsi="Arial"/>
          <w:sz w:val="18"/>
          <w:szCs w:val="18"/>
          <w:color w:val="auto"/>
        </w:rPr>
        <w:t>For the three months ended June 30, 2022 and the six months ended June 30, 2022 , we estimate that our gross profit absorbed incremental costs of goods on a rate/mix basis compared to the prior year periods of approximately $6 million and $18 million, respectively, mostly driven by transportation cost increases across both ocean freight and domestic logistics as a result of global supply chain disruptions caused by these global events. We do not believe the current costs of goods inflated by the current economic and supply chain pressures are fully representative of our future costs of goods in a normal supply chain environment.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The Company is continuing to monitor the situations carefully to understand any future potential impact on its people and business, including but not limited to rising inflation rates, and actions taken by both U.S. and foreign governments to control such increases. As a result, it is not currently possible to ascertain the overall impact of COVID-19 or the Russia-Ukraine war on the business, results of operations, financial condition or liquidity. Future events and effects related to COVID-19 or current geopolitical instability cannot be determined with precision and actual results could significantly differ from estimates or forecasts. For a further discussion of the risks and challenges posed by these events, please see Part I, Item 1A. “Risk Factors” in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firstLine="551"/>
        <w:spacing w:after="0" w:line="249" w:lineRule="auto"/>
        <w:rPr>
          <w:sz w:val="20"/>
          <w:szCs w:val="20"/>
          <w:color w:val="auto"/>
        </w:rPr>
      </w:pPr>
      <w:r>
        <w:rPr>
          <w:rFonts w:ascii="Arial" w:cs="Arial" w:eastAsia="Arial" w:hAnsi="Arial"/>
          <w:sz w:val="18"/>
          <w:szCs w:val="18"/>
          <w:color w:val="auto"/>
        </w:rPr>
        <w:t xml:space="preserve">We generate revenue through the sale of our </w:t>
      </w:r>
      <w:r>
        <w:rPr>
          <w:rFonts w:ascii="Arial" w:cs="Arial" w:eastAsia="Arial" w:hAnsi="Arial"/>
          <w:sz w:val="18"/>
          <w:szCs w:val="18"/>
          <w:i w:val="1"/>
          <w:iCs w:val="1"/>
          <w:color w:val="auto"/>
        </w:rPr>
        <w:t>Vita Coco</w:t>
      </w:r>
      <w:r>
        <w:rPr>
          <w:rFonts w:ascii="Arial" w:cs="Arial" w:eastAsia="Arial" w:hAnsi="Arial"/>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04" w:lineRule="exact"/>
        <w:rPr>
          <w:sz w:val="20"/>
          <w:szCs w:val="20"/>
          <w:color w:val="auto"/>
        </w:rPr>
      </w:pPr>
    </w:p>
    <w:p>
      <w:pPr>
        <w:ind w:right="440" w:firstLine="551"/>
        <w:spacing w:after="0" w:line="277" w:lineRule="auto"/>
        <w:rPr>
          <w:sz w:val="20"/>
          <w:szCs w:val="20"/>
          <w:color w:val="auto"/>
        </w:rPr>
      </w:pPr>
      <w:r>
        <w:rPr>
          <w:rFonts w:ascii="Arial" w:cs="Arial" w:eastAsia="Arial" w:hAnsi="Arial"/>
          <w:sz w:val="18"/>
          <w:szCs w:val="18"/>
          <w:color w:val="auto"/>
        </w:rPr>
        <w:t>Cost of goods sold includes the costs of the products sold to customers, inbound and outbound shipping and handling costs, freight and duties, shipping and packaging supplies, and warehouse fulfillment costs.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04" w:lineRule="exact"/>
        <w:rPr>
          <w:sz w:val="20"/>
          <w:szCs w:val="20"/>
          <w:color w:val="auto"/>
        </w:rPr>
      </w:pPr>
    </w:p>
    <w:p>
      <w:pPr>
        <w:ind w:firstLine="551"/>
        <w:spacing w:after="0" w:line="249" w:lineRule="auto"/>
        <w:rPr>
          <w:sz w:val="20"/>
          <w:szCs w:val="20"/>
          <w:color w:val="auto"/>
        </w:rPr>
      </w:pPr>
      <w:r>
        <w:rPr>
          <w:rFonts w:ascii="Arial" w:cs="Arial" w:eastAsia="Arial" w:hAnsi="Arial"/>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and transportation rates. We expect that our gross margin will fluctuate from period to period depending on the interplay of these variables.</w:t>
      </w:r>
    </w:p>
    <w:p>
      <w:pPr>
        <w:spacing w:after="0" w:line="181" w:lineRule="exact"/>
        <w:rPr>
          <w:sz w:val="20"/>
          <w:szCs w:val="20"/>
          <w:color w:val="auto"/>
        </w:rPr>
      </w:pPr>
    </w:p>
    <w:p>
      <w:pPr>
        <w:jc w:val="both"/>
        <w:ind w:right="280" w:firstLine="551"/>
        <w:spacing w:after="0" w:line="256" w:lineRule="auto"/>
        <w:rPr>
          <w:sz w:val="20"/>
          <w:szCs w:val="20"/>
          <w:color w:val="auto"/>
        </w:rPr>
      </w:pPr>
      <w:r>
        <w:rPr>
          <w:rFonts w:ascii="Arial" w:cs="Arial" w:eastAsia="Arial" w:hAnsi="Arial"/>
          <w:sz w:val="18"/>
          <w:szCs w:val="18"/>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right="40" w:firstLine="551"/>
        <w:spacing w:after="0" w:line="260" w:lineRule="auto"/>
        <w:rPr>
          <w:sz w:val="20"/>
          <w:szCs w:val="20"/>
          <w:color w:val="auto"/>
        </w:rPr>
      </w:pPr>
      <w:r>
        <w:rPr>
          <w:rFonts w:ascii="Arial" w:cs="Arial" w:eastAsia="Arial" w:hAnsi="Arial"/>
          <w:sz w:val="17"/>
          <w:szCs w:val="17"/>
          <w:color w:val="auto"/>
        </w:rPr>
        <w:t>Selling, general and administrative expenses include marketing expenses, sales promotion expenses, and general and administrative expenses. Marketing and sales promotion expenses consist primarily of costs incurred promoting and marketing our products and are primarily driven by investments to grow our business and retain customers. In the long-term, we generally expect selling and marketing expenses to increase in absolute dollars and to vary from period to period as a percentage of net sales.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selling, general and administrative expenses as incurred. We expect selling, general and administrative expenses to increase in absolute dollars to support business growth and our transition to a public company.</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 in Fair Value of Contingent Consideration</w:t>
      </w:r>
    </w:p>
    <w:p>
      <w:pPr>
        <w:spacing w:after="0" w:line="104" w:lineRule="exact"/>
        <w:rPr>
          <w:sz w:val="20"/>
          <w:szCs w:val="20"/>
          <w:color w:val="auto"/>
        </w:rPr>
      </w:pPr>
    </w:p>
    <w:p>
      <w:pPr>
        <w:ind w:right="140" w:firstLine="551"/>
        <w:spacing w:after="0" w:line="249" w:lineRule="auto"/>
        <w:rPr>
          <w:sz w:val="20"/>
          <w:szCs w:val="20"/>
          <w:color w:val="auto"/>
        </w:rPr>
      </w:pPr>
      <w:r>
        <w:rPr>
          <w:rFonts w:ascii="Arial" w:cs="Arial" w:eastAsia="Arial" w:hAnsi="Arial"/>
          <w:sz w:val="18"/>
          <w:szCs w:val="18"/>
          <w:color w:val="auto"/>
        </w:rPr>
        <w:t xml:space="preserve">In connection with our acquisition of </w:t>
      </w:r>
      <w:r>
        <w:rPr>
          <w:rFonts w:ascii="Arial" w:cs="Arial" w:eastAsia="Arial" w:hAnsi="Arial"/>
          <w:sz w:val="18"/>
          <w:szCs w:val="18"/>
          <w:i w:val="1"/>
          <w:iCs w:val="1"/>
          <w:color w:val="auto"/>
        </w:rPr>
        <w:t>Runa</w:t>
      </w:r>
      <w:r>
        <w:rPr>
          <w:rFonts w:ascii="Arial" w:cs="Arial" w:eastAsia="Arial" w:hAnsi="Arial"/>
          <w:sz w:val="18"/>
          <w:szCs w:val="18"/>
          <w:color w:val="auto"/>
        </w:rPr>
        <w:t xml:space="preserve">, we agreed to pay contingent payments to </w:t>
      </w:r>
      <w:r>
        <w:rPr>
          <w:rFonts w:ascii="Arial" w:cs="Arial" w:eastAsia="Arial" w:hAnsi="Arial"/>
          <w:sz w:val="18"/>
          <w:szCs w:val="18"/>
          <w:i w:val="1"/>
          <w:iCs w:val="1"/>
          <w:color w:val="auto"/>
        </w:rPr>
        <w:t>Runa’s</w:t>
      </w:r>
      <w:r>
        <w:rPr>
          <w:rFonts w:ascii="Arial" w:cs="Arial" w:eastAsia="Arial" w:hAnsi="Arial"/>
          <w:sz w:val="18"/>
          <w:szCs w:val="18"/>
          <w:color w:val="auto"/>
        </w:rPr>
        <w:t xml:space="preserve"> former shareholders only if a certain revenue growth rate is achieved. Assuming the revenue growth is achieved, the former shareholders could elect for payment to be calculated based on quarterly data available between December 2021 and December 2022, as follows: 49% of the product of (a) the net revenue for the trailing 12 calendar months and (b) a specified multiple, which is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 xml:space="preserve">contingent on the revenue growth achieved since December 31, 2017. The contingent consideration payout cannot exceed $51.5 million. If a certain revenue growth rate is not achieved, the Company is not required to pay any contingent payment. The contingent consideration payable to </w:t>
      </w:r>
      <w:r>
        <w:rPr>
          <w:rFonts w:ascii="Arial" w:cs="Arial" w:eastAsia="Arial" w:hAnsi="Arial"/>
          <w:sz w:val="17"/>
          <w:szCs w:val="17"/>
          <w:i w:val="1"/>
          <w:iCs w:val="1"/>
          <w:color w:val="auto"/>
        </w:rPr>
        <w:t>Runa’s</w:t>
      </w:r>
      <w:r>
        <w:rPr>
          <w:rFonts w:ascii="Arial" w:cs="Arial" w:eastAsia="Arial" w:hAnsi="Arial"/>
          <w:sz w:val="17"/>
          <w:szCs w:val="17"/>
          <w:color w:val="auto"/>
        </w:rPr>
        <w:t xml:space="preserve"> former shareholders was re-measured at fair value, which reflects estimates, assumptions and expectations on </w:t>
      </w:r>
      <w:r>
        <w:rPr>
          <w:rFonts w:ascii="Arial" w:cs="Arial" w:eastAsia="Arial" w:hAnsi="Arial"/>
          <w:sz w:val="17"/>
          <w:szCs w:val="17"/>
          <w:i w:val="1"/>
          <w:iCs w:val="1"/>
          <w:color w:val="auto"/>
        </w:rPr>
        <w:t>Runa’s</w:t>
      </w:r>
      <w:r>
        <w:rPr>
          <w:rFonts w:ascii="Arial" w:cs="Arial" w:eastAsia="Arial" w:hAnsi="Arial"/>
          <w:sz w:val="17"/>
          <w:szCs w:val="17"/>
          <w:color w:val="auto"/>
        </w:rPr>
        <w:t xml:space="preserve"> revenue and revenue growth as of the valuation date. A key factor in the contingent consideration calculation is whether the growth levels specified in the contract can be met within the four year time period immediately following the acquisition. The design of the payout is to reward for high growth in the initial years following the acquisition. As of June 30, 2022, we expect the contingent consideration to be zero. The contingent consideration will continue to be remeasured until the term of the agreement ends in December 2022. However, we do not believe that the </w:t>
      </w:r>
      <w:r>
        <w:rPr>
          <w:rFonts w:ascii="Arial" w:cs="Arial" w:eastAsia="Arial" w:hAnsi="Arial"/>
          <w:sz w:val="17"/>
          <w:szCs w:val="17"/>
          <w:i w:val="1"/>
          <w:iCs w:val="1"/>
          <w:color w:val="auto"/>
        </w:rPr>
        <w:t>Runa</w:t>
      </w:r>
      <w:r>
        <w:rPr>
          <w:rFonts w:ascii="Arial" w:cs="Arial" w:eastAsia="Arial" w:hAnsi="Arial"/>
          <w:sz w:val="17"/>
          <w:szCs w:val="17"/>
          <w:color w:val="auto"/>
        </w:rPr>
        <w:t xml:space="preserve"> business will achieve the growth targets required to achieve an earn out and thus we expect that the contingent consideration will be zero at December 2022.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Unrealized Gain/(Loss) on Derivative Instruments</w:t>
      </w:r>
    </w:p>
    <w:p>
      <w:pPr>
        <w:spacing w:after="0" w:line="104" w:lineRule="exact"/>
        <w:rPr>
          <w:sz w:val="20"/>
          <w:szCs w:val="20"/>
          <w:color w:val="auto"/>
        </w:rPr>
      </w:pPr>
    </w:p>
    <w:p>
      <w:pPr>
        <w:ind w:right="460" w:firstLine="551"/>
        <w:spacing w:after="0" w:line="268" w:lineRule="auto"/>
        <w:rPr>
          <w:sz w:val="20"/>
          <w:szCs w:val="20"/>
          <w:color w:val="auto"/>
        </w:rPr>
      </w:pPr>
      <w:r>
        <w:rPr>
          <w:rFonts w:ascii="Arial" w:cs="Arial" w:eastAsia="Arial" w:hAnsi="Arial"/>
          <w:sz w:val="17"/>
          <w:szCs w:val="17"/>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 on derivative instruments consists of gains or losses on such foreign currency exchange contracts which are unsettled as of period end. See “— Quantitative and Qualitative Disclosures about Market Risk—Foreign Currency Exchange Risk</w:t>
      </w:r>
      <w:r>
        <w:rPr>
          <w:rFonts w:ascii="Arial" w:cs="Arial" w:eastAsia="Arial" w:hAnsi="Arial"/>
          <w:sz w:val="17"/>
          <w:szCs w:val="17"/>
          <w:i w:val="1"/>
          <w:iCs w:val="1"/>
          <w:color w:val="auto"/>
        </w:rPr>
        <w:t>”</w:t>
      </w:r>
      <w:r>
        <w:rPr>
          <w:rFonts w:ascii="Arial" w:cs="Arial" w:eastAsia="Arial" w:hAnsi="Arial"/>
          <w:sz w:val="17"/>
          <w:szCs w:val="17"/>
          <w:color w:val="auto"/>
        </w:rPr>
        <w:t xml:space="preserve"> for further information.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Gain/(Loss)</w:t>
      </w:r>
    </w:p>
    <w:p>
      <w:pPr>
        <w:spacing w:after="0" w:line="117" w:lineRule="exact"/>
        <w:rPr>
          <w:sz w:val="20"/>
          <w:szCs w:val="20"/>
          <w:color w:val="auto"/>
        </w:rPr>
      </w:pPr>
    </w:p>
    <w:p>
      <w:pPr>
        <w:ind w:right="140" w:firstLine="648"/>
        <w:spacing w:after="0" w:line="249" w:lineRule="auto"/>
        <w:rPr>
          <w:sz w:val="20"/>
          <w:szCs w:val="20"/>
          <w:color w:val="auto"/>
        </w:rPr>
      </w:pPr>
      <w:r>
        <w:rPr>
          <w:rFonts w:ascii="Arial" w:cs="Arial" w:eastAsia="Arial" w:hAnsi="Arial"/>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Arial" w:cs="Arial" w:eastAsia="Arial" w:hAnsi="Arial"/>
          <w:sz w:val="18"/>
          <w:szCs w:val="18"/>
          <w:i w:val="1"/>
          <w:iCs w:val="1"/>
          <w:color w:val="auto"/>
        </w:rPr>
        <w:t>”</w:t>
      </w:r>
      <w:r>
        <w:rPr>
          <w:rFonts w:ascii="Arial" w:cs="Arial" w:eastAsia="Arial" w:hAnsi="Arial"/>
          <w:sz w:val="18"/>
          <w:szCs w:val="18"/>
          <w:color w:val="auto"/>
        </w:rPr>
        <w:t xml:space="preserve"> for further information.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consists of interest income earned on our cash and cash equivalents, and money market funds.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consists of interests on our credit facilities and term loans.</w:t>
      </w:r>
    </w:p>
    <w:p>
      <w:pPr>
        <w:spacing w:after="0" w:line="3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right="80" w:firstLine="551"/>
        <w:spacing w:after="0" w:line="249"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operate in two reporting segments:</w:t>
      </w:r>
    </w:p>
    <w:p>
      <w:pPr>
        <w:spacing w:after="0" w:line="117" w:lineRule="exact"/>
        <w:rPr>
          <w:sz w:val="20"/>
          <w:szCs w:val="20"/>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Americas</w:t>
      </w:r>
      <w:r>
        <w:rPr>
          <w:rFonts w:ascii="Arial" w:cs="Arial" w:eastAsia="Arial" w:hAnsi="Arial"/>
          <w:sz w:val="18"/>
          <w:szCs w:val="18"/>
          <w:color w:val="auto"/>
        </w:rPr>
        <w:t>—Comprised of our operations in the Americas region, primarily in the United States and Canada.</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International</w:t>
      </w:r>
      <w:r>
        <w:rPr>
          <w:rFonts w:ascii="Arial" w:cs="Arial" w:eastAsia="Arial" w:hAnsi="Arial"/>
          <w:sz w:val="18"/>
          <w:szCs w:val="18"/>
          <w:color w:val="auto"/>
        </w:rPr>
        <w:t>—Comprised of our operations primarily in Europe, the Middle East, and the Asia Pacific regions.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segment derives its revenues from the following product categories:</w:t>
      </w:r>
    </w:p>
    <w:p>
      <w:pPr>
        <w:spacing w:after="0" w:line="104" w:lineRule="exact"/>
        <w:rPr>
          <w:sz w:val="20"/>
          <w:szCs w:val="20"/>
          <w:color w:val="auto"/>
        </w:rPr>
      </w:pPr>
    </w:p>
    <w:p>
      <w:pPr>
        <w:ind w:left="820" w:hanging="245"/>
        <w:spacing w:after="0" w:line="256"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Vita Coco Coconut Water</w:t>
      </w:r>
      <w:r>
        <w:rPr>
          <w:rFonts w:ascii="Arial" w:cs="Arial" w:eastAsia="Arial" w:hAnsi="Arial"/>
          <w:sz w:val="18"/>
          <w:szCs w:val="18"/>
          <w:color w:val="auto"/>
        </w:rPr>
        <w:t>—This product category consists of all branded coconut water product offerings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Vita Coco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labels,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ingredient is coconut water. For these products, control is transferred upon customer receipt, at which point the Company recognizes the transaction price for the product as revenue.</w:t>
      </w:r>
    </w:p>
    <w:p>
      <w:pPr>
        <w:spacing w:after="0" w:line="66" w:lineRule="exact"/>
        <w:rPr>
          <w:rFonts w:ascii="Arial" w:cs="Arial" w:eastAsia="Arial" w:hAnsi="Arial"/>
          <w:sz w:val="18"/>
          <w:szCs w:val="18"/>
          <w:color w:val="auto"/>
        </w:rPr>
      </w:pPr>
    </w:p>
    <w:p>
      <w:pPr>
        <w:ind w:left="820" w:right="440" w:hanging="245"/>
        <w:spacing w:after="0" w:line="261" w:lineRule="auto"/>
        <w:tabs>
          <w:tab w:leader="none" w:pos="81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Private Label </w:t>
      </w:r>
      <w:r>
        <w:rPr>
          <w:rFonts w:ascii="Arial" w:cs="Arial" w:eastAsia="Arial" w:hAnsi="Arial"/>
          <w:sz w:val="18"/>
          <w:szCs w:val="18"/>
          <w:color w:val="auto"/>
        </w:rPr>
        <w:t>—This product category consists of all private label product offerings, which includes coconut water and oil.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the production and distribution of private label products represents a</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820" w:right="140"/>
        <w:spacing w:after="0" w:line="256" w:lineRule="auto"/>
        <w:rPr>
          <w:sz w:val="20"/>
          <w:szCs w:val="20"/>
          <w:color w:val="auto"/>
        </w:rPr>
      </w:pPr>
      <w:r>
        <w:rPr>
          <w:rFonts w:ascii="Arial" w:cs="Arial" w:eastAsia="Arial" w:hAnsi="Arial"/>
          <w:sz w:val="18"/>
          <w:szCs w:val="18"/>
          <w:color w:val="auto"/>
        </w:rPr>
        <w:t>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67" w:lineRule="exact"/>
        <w:rPr>
          <w:sz w:val="20"/>
          <w:szCs w:val="20"/>
          <w:color w:val="auto"/>
        </w:rPr>
      </w:pPr>
    </w:p>
    <w:p>
      <w:pPr>
        <w:ind w:left="820" w:right="60" w:hanging="245"/>
        <w:spacing w:after="0" w:line="249"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Other—</w:t>
      </w:r>
      <w:r>
        <w:rPr>
          <w:rFonts w:ascii="Arial" w:cs="Arial" w:eastAsia="Arial" w:hAnsi="Arial"/>
          <w:sz w:val="18"/>
          <w:szCs w:val="18"/>
          <w:color w:val="auto"/>
        </w:rPr>
        <w:t>This product category consists of all other products, which includes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Runa, Ever &amp; 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PWR LIFT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Vita Coco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product extensions beyond coconut water, such as </w:t>
      </w:r>
      <w:r>
        <w:rPr>
          <w:rFonts w:ascii="Arial" w:cs="Arial" w:eastAsia="Arial" w:hAnsi="Arial"/>
          <w:sz w:val="18"/>
          <w:szCs w:val="18"/>
          <w:i w:val="1"/>
          <w:iCs w:val="1"/>
          <w:color w:val="auto"/>
        </w:rPr>
        <w:t>Vita Coco Sparkling</w:t>
      </w:r>
      <w:r>
        <w:rPr>
          <w:rFonts w:ascii="Arial" w:cs="Arial" w:eastAsia="Arial" w:hAnsi="Arial"/>
          <w:sz w:val="18"/>
          <w:szCs w:val="18"/>
          <w:color w:val="auto"/>
        </w:rPr>
        <w:t>, coconut milk products, and other revenue transactions (e.g., bulk product sales). For these products, control is transferred upon customer receipt, at which point the Company recognizes the transaction price for the product as revenue.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Comparison of the Three Months Ended June 30, 2022 and 2021</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2022 and 2021, respectively: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4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28,976</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Arial" w:cs="Arial" w:eastAsia="Arial" w:hAnsi="Arial"/>
                <w:sz w:val="18"/>
                <w:szCs w:val="18"/>
                <w:color w:val="auto"/>
              </w:rPr>
              <w:t>Unrealized gain/(loss) on derivative instrument</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gain/(loss)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w:t>
            </w: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4640" w:type="dxa"/>
            <w:vAlign w:val="bottom"/>
          </w:tcPr>
          <w:p>
            <w:pPr>
              <w:spacing w:after="0"/>
              <w:rPr>
                <w:sz w:val="24"/>
                <w:szCs w:val="24"/>
                <w:color w:val="auto"/>
              </w:rPr>
            </w:pP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comparative summary of net sales by operating segment and product category: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6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2040" w:type="dxa"/>
            <w:vAlign w:val="bottom"/>
            <w:gridSpan w:val="3"/>
            <w:vMerge w:val="restart"/>
          </w:tcPr>
          <w:p>
            <w:pPr>
              <w:jc w:val="right"/>
              <w:ind w:right="7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Americas segment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360"/>
              <w:spacing w:after="0"/>
              <w:rPr>
                <w:sz w:val="20"/>
                <w:szCs w:val="20"/>
                <w:color w:val="auto"/>
              </w:rPr>
            </w:pPr>
            <w:r>
              <w:rPr>
                <w:rFonts w:ascii="Arial" w:cs="Arial" w:eastAsia="Arial" w:hAnsi="Arial"/>
                <w:sz w:val="18"/>
                <w:szCs w:val="18"/>
                <w:color w:val="auto"/>
              </w:rPr>
              <w:t>Vita Coco Coconut Water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76,436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62,216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14,220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135,291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104,405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30,886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Label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32.1 %</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100,493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185,104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29"/>
        </w:trPr>
        <w:tc>
          <w:tcPr>
            <w:tcW w:w="278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Vita Coco Coconut Water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29"/>
        </w:trPr>
        <w:tc>
          <w:tcPr>
            <w:tcW w:w="2780" w:type="dxa"/>
            <w:vAlign w:val="bottom"/>
          </w:tcPr>
          <w:p>
            <w:pPr>
              <w:ind w:left="360"/>
              <w:spacing w:after="0"/>
              <w:rPr>
                <w:sz w:val="20"/>
                <w:szCs w:val="20"/>
                <w:color w:val="auto"/>
              </w:rPr>
            </w:pPr>
            <w:r>
              <w:rPr>
                <w:rFonts w:ascii="Arial" w:cs="Arial" w:eastAsia="Arial" w:hAnsi="Arial"/>
                <w:sz w:val="18"/>
                <w:szCs w:val="18"/>
                <w:color w:val="auto"/>
              </w:rPr>
              <w:t>Private Label</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3"/>
        </w:trPr>
        <w:tc>
          <w:tcPr>
            <w:tcW w:w="27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115,305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101,810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211,753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177,260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color w:val="auto"/>
        </w:rPr>
        <w:t>For the three months and six months ended June 30, 2022, the primary driver of the consolidated net sales increase of 13.3% and 19.5%, respectively, was increased case equivalents ("CE") volume reflecting expanding consumer demand, primarily for our Vita Coco Coconut Water, coupled with some benefits from net pricing 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in Case Equivalent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comparative summary of our volume in CE, by operating segment and product category: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9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940" w:type="dxa"/>
            <w:vAlign w:val="bottom"/>
            <w:gridSpan w:val="3"/>
            <w:vMerge w:val="restart"/>
          </w:tcPr>
          <w:p>
            <w:pPr>
              <w:jc w:val="right"/>
              <w:ind w:right="552"/>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960" w:type="dxa"/>
            <w:vAlign w:val="bottom"/>
            <w:gridSpan w:val="3"/>
            <w:vMerge w:val="restart"/>
          </w:tcPr>
          <w:p>
            <w:pPr>
              <w:jc w:val="right"/>
              <w:ind w:right="552"/>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124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92"/>
              </w:rPr>
              <w:t>June 30,</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4"/>
                <w:szCs w:val="14"/>
                <w:b w:val="1"/>
                <w:bCs w:val="1"/>
                <w:color w:val="auto"/>
                <w:w w:val="92"/>
              </w:rPr>
              <w:t>June 30,</w:t>
            </w:r>
          </w:p>
        </w:tc>
        <w:tc>
          <w:tcPr>
            <w:tcW w:w="6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jc w:val="right"/>
              <w:ind w:right="21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Americas segment</w:t>
            </w: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360"/>
              <w:spacing w:after="0"/>
              <w:rPr>
                <w:sz w:val="20"/>
                <w:szCs w:val="20"/>
                <w:color w:val="auto"/>
              </w:rPr>
            </w:pPr>
            <w:r>
              <w:rPr>
                <w:rFonts w:ascii="Arial" w:cs="Arial" w:eastAsia="Arial" w:hAnsi="Arial"/>
                <w:sz w:val="18"/>
                <w:szCs w:val="18"/>
                <w:color w:val="auto"/>
              </w:rPr>
              <w:t>Vita Coco Coconut Water</w:t>
            </w:r>
          </w:p>
        </w:tc>
        <w:tc>
          <w:tcPr>
            <w:tcW w:w="900" w:type="dxa"/>
            <w:vAlign w:val="bottom"/>
          </w:tcPr>
          <w:p>
            <w:pPr>
              <w:jc w:val="right"/>
              <w:spacing w:after="0"/>
              <w:rPr>
                <w:sz w:val="20"/>
                <w:szCs w:val="20"/>
                <w:color w:val="auto"/>
              </w:rPr>
            </w:pPr>
            <w:r>
              <w:rPr>
                <w:rFonts w:ascii="Arial" w:cs="Arial" w:eastAsia="Arial" w:hAnsi="Arial"/>
                <w:sz w:val="18"/>
                <w:szCs w:val="18"/>
                <w:color w:val="auto"/>
              </w:rPr>
              <w:t>8,304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7,216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11,877</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Label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Vita Coco Coconut Water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tcPr>
          <w:p>
            <w:pPr>
              <w:ind w:left="360"/>
              <w:spacing w:after="0"/>
              <w:rPr>
                <w:sz w:val="20"/>
                <w:szCs w:val="20"/>
                <w:color w:val="auto"/>
              </w:rPr>
            </w:pPr>
            <w:r>
              <w:rPr>
                <w:rFonts w:ascii="Arial" w:cs="Arial" w:eastAsia="Arial" w:hAnsi="Arial"/>
                <w:sz w:val="18"/>
                <w:szCs w:val="18"/>
                <w:color w:val="auto"/>
              </w:rPr>
              <w:t>Private Label</w:t>
            </w:r>
          </w:p>
        </w:tc>
        <w:tc>
          <w:tcPr>
            <w:tcW w:w="900" w:type="dxa"/>
            <w:vAlign w:val="bottom"/>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787</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(86.6 %)</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(87.3 %)</w:t>
            </w:r>
          </w:p>
        </w:tc>
        <w:tc>
          <w:tcPr>
            <w:tcW w:w="0" w:type="dxa"/>
            <w:vAlign w:val="bottom"/>
          </w:tcPr>
          <w:p>
            <w:pPr>
              <w:spacing w:after="0"/>
              <w:rPr>
                <w:sz w:val="1"/>
                <w:szCs w:val="1"/>
                <w:color w:val="auto"/>
              </w:rPr>
            </w:pPr>
          </w:p>
        </w:tc>
      </w:tr>
      <w:tr>
        <w:trPr>
          <w:trHeight w:val="223"/>
        </w:trPr>
        <w:tc>
          <w:tcPr>
            <w:tcW w:w="28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Subtotal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volume (CE)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11,837</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Note: A CE is a standard volume measure used by management which is defined as a case of 12 bottles of 330ml liquid beverages or the same liter volume of oil.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International Other excludes minor volume that is treated as zero 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 Segment</w:t>
      </w:r>
    </w:p>
    <w:p>
      <w:pPr>
        <w:spacing w:after="0" w:line="117"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Americas net sales increased by $14.3 million, or 16.7%, to $100.5 million for the three months ended June 30, 2022 from $86.1 million for the three months ended June 30, 2021. The increase is primarily driven by higher CE volume, as well as benefits from net pricing actions. Americas net sales increased by $35.1 million, or 23.4%, to $185.1 million for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six months ended June 30, 2022 from $150.0 million for the six months ended June 30, 2021. The increase is primarily driven by a CE volume increase and some benefits from net pricing actions.</w:t>
      </w:r>
    </w:p>
    <w:p>
      <w:pPr>
        <w:spacing w:after="0" w:line="170"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Vita Coco Coconut Water net sales increased by $14.2 million, or 22.9%, to $76.4 million for the three months ended June 30, 2022, from $62.2 million for the three months ended June 30, 2021. The increase was driven by higher CE volume and benefits from net pricing actions. Vita Coco Coconut Water net sales increased by $30.9 million, or 29.6%, to $135.3 million for the six months ended June 30, 2022, from $104.4 million for the six months ended June 30, 2021. The increase was driven by higher CE volume and benefits from net pricing actions.</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Private Label net sales decreased $0.7 million, or 3.4%, to $20.5 million for the three months ended June 30, 2022, from $21.3 million for the three months ended June 30, 2021, mostly driven by lower CE volume partly offset by benefits from net pricing actions. Private Label net sales increased $3.1 million, or 7.8%, to $43.6 million for the six months ended June 30, 2022, from $40.5 million for the six months ended June 30, 2021, mostly driven by benefits from net pricing actions in addition to a CE volume increase.</w:t>
      </w:r>
    </w:p>
    <w:p>
      <w:pPr>
        <w:spacing w:after="0" w:line="18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Net sales for Other products increased by $0.9 million, or 32.1%, to $3.5 million for the three months ended June 30, 2022 from $2.7 million for the three months ended June 30, 2021. Net sales for Other products increased by $1.1 million, or 21.1%, to $6.2 million for the six months ended June 30, 2022 from $5.1 million for the six months ended June 30, 2021. The largest contributor to the growth for both the three months and six months ended periods was coconut milk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Segment</w:t>
      </w:r>
    </w:p>
    <w:p>
      <w:pPr>
        <w:spacing w:after="0" w:line="117"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color w:val="auto"/>
        </w:rPr>
        <w:t>International net sales decreased by $0.8 million, or 5.4%, to $14.8 million for the three months ended June 30, 2022, from $15.7 million for the three months ended June 30, 2021. The decrease is primarily driven by decreased bulk product sales in our Asia Pacific region offset by overall International CE volume growth. For the three months ended June 30, 2022 compared to the same period ended June 30, 2021, the decline was driven by Other products, offset by CE volume growth in Vita Coco Coconut Water and Private Label. International net sales decreased by $0.6 million, or 2.2%, to $26.6 million for the six months ended June 30, 2022, from $27.3 million for the six months ended June 30, 2021. The decrease is primarily driven by decline in bulk product sales in our Asia Pacific region offset by CE volume growth in Vita Coco Coconut Water and Private Label.</w:t>
      </w:r>
    </w:p>
    <w:p>
      <w:pPr>
        <w:spacing w:after="0" w:line="164"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Vita Coco Coconut Water net sales increased by $1.3 million, or 12.8%, to $11.1 million for the three months ended June 30, 2022, from $9.9 million for the three months ended June 30, 2021. The increase was driven by higher CE volume, primarily in the European region, which was partially offset by an unfavorable impact related to foreign currency. Vita Coco Coconut Water net sales increased by $3.1 million, or 19.1%, to $19.5 million for the six months ended June 30, 2022, from $16.4 million for the six months ended June 30, 2021. The increase was driven by higher CE volume, primarily in the European region, which was partially offset by an unfavorable impact related to foreign currency.</w:t>
      </w:r>
    </w:p>
    <w:p>
      <w:pPr>
        <w:spacing w:after="0" w:line="176"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Increases in net sales from Private Label of $0.3 million were driven primarily by CE volume growth in Europe, which was partly offset by an unfavorable impact related to foreign currency for the three months ended June 30, 2022 compared to June 30, 2021. For the six months ended June 30, 2022 compared to June 30, 2021, increases in net sales from Private Label of $0.2 million were driven by Europe CE volume growth, which was partly offset by an unfavorable impact related to foreign currency.</w:t>
      </w:r>
    </w:p>
    <w:p>
      <w:pPr>
        <w:spacing w:after="0" w:line="18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Decreases in net sales from Other products of $2.4 million were driven primarily by decreased bulk sales in our Asia Pacific region for the three months ended June 30, 2022 compared to June 30, 2021. Decreases in net sales from Other products of $3.9 million were driven by decreased bulk sales in our Asia Pacific region for the six months ended June 30, 2022 compared to June 30, 2021.</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4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1880" w:type="dxa"/>
            <w:vAlign w:val="bottom"/>
            <w:gridSpan w:val="3"/>
            <w:vMerge w:val="restart"/>
          </w:tcPr>
          <w:p>
            <w:pPr>
              <w:jc w:val="right"/>
              <w:ind w:right="6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goods sold</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360"/>
              <w:spacing w:after="0"/>
              <w:rPr>
                <w:sz w:val="20"/>
                <w:szCs w:val="20"/>
                <w:color w:val="auto"/>
              </w:rPr>
            </w:pPr>
            <w:r>
              <w:rPr>
                <w:rFonts w:ascii="Arial" w:cs="Arial" w:eastAsia="Arial" w:hAnsi="Arial"/>
                <w:sz w:val="18"/>
                <w:szCs w:val="18"/>
                <w:color w:val="auto"/>
              </w:rPr>
              <w:t>Americas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w w:val="98"/>
              </w:rPr>
              <w:t>73,784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60,443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5"/>
              <w:spacing w:after="0"/>
              <w:rPr>
                <w:sz w:val="20"/>
                <w:szCs w:val="20"/>
                <w:color w:val="auto"/>
              </w:rPr>
            </w:pPr>
            <w:r>
              <w:rPr>
                <w:rFonts w:ascii="Arial" w:cs="Arial" w:eastAsia="Arial" w:hAnsi="Arial"/>
                <w:sz w:val="18"/>
                <w:szCs w:val="18"/>
                <w:color w:val="auto"/>
                <w:w w:val="92"/>
              </w:rPr>
              <w:t>142,099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5"/>
              </w:rPr>
              <w:t>103,176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38,923</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37.7 %</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segment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3"/>
        </w:trPr>
        <w:tc>
          <w:tcPr>
            <w:tcW w:w="2860" w:type="dxa"/>
            <w:vAlign w:val="bottom"/>
          </w:tcPr>
          <w:p>
            <w:pPr>
              <w:ind w:left="680"/>
              <w:spacing w:after="0"/>
              <w:rPr>
                <w:sz w:val="20"/>
                <w:szCs w:val="20"/>
                <w:color w:val="auto"/>
              </w:rPr>
            </w:pPr>
            <w:r>
              <w:rPr>
                <w:rFonts w:ascii="Arial" w:cs="Arial" w:eastAsia="Arial" w:hAnsi="Arial"/>
                <w:sz w:val="18"/>
                <w:szCs w:val="18"/>
                <w:color w:val="auto"/>
              </w:rPr>
              <w:t>Total cost of goods sold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8"/>
              </w:rPr>
              <w:t>86,016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0"/>
              </w:rPr>
              <w:t>72,835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13,181</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2"/>
              </w:rPr>
              <w:t>163,401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124,200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39,201</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360"/>
              <w:spacing w:after="0"/>
              <w:rPr>
                <w:sz w:val="20"/>
                <w:szCs w:val="20"/>
                <w:color w:val="auto"/>
              </w:rPr>
            </w:pPr>
            <w:r>
              <w:rPr>
                <w:rFonts w:ascii="Arial" w:cs="Arial" w:eastAsia="Arial" w:hAnsi="Arial"/>
                <w:sz w:val="18"/>
                <w:szCs w:val="18"/>
                <w:color w:val="auto"/>
              </w:rPr>
              <w:t>Americas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w w:val="98"/>
              </w:rPr>
              <w:t>26,710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2"/>
              <w:spacing w:after="0"/>
              <w:rPr>
                <w:sz w:val="20"/>
                <w:szCs w:val="20"/>
                <w:color w:val="auto"/>
              </w:rPr>
            </w:pPr>
            <w:r>
              <w:rPr>
                <w:rFonts w:ascii="Arial" w:cs="Arial" w:eastAsia="Arial" w:hAnsi="Arial"/>
                <w:sz w:val="18"/>
                <w:szCs w:val="18"/>
                <w:color w:val="auto"/>
                <w:w w:val="90"/>
              </w:rPr>
              <w:t>25,706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5"/>
              <w:spacing w:after="0"/>
              <w:rPr>
                <w:sz w:val="20"/>
                <w:szCs w:val="20"/>
                <w:color w:val="auto"/>
              </w:rPr>
            </w:pPr>
            <w:r>
              <w:rPr>
                <w:rFonts w:ascii="Arial" w:cs="Arial" w:eastAsia="Arial" w:hAnsi="Arial"/>
                <w:sz w:val="18"/>
                <w:szCs w:val="18"/>
                <w:color w:val="auto"/>
              </w:rPr>
              <w:t>43,006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46,824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(3,818)</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segment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2860" w:type="dxa"/>
            <w:vAlign w:val="bottom"/>
          </w:tcPr>
          <w:p>
            <w:pPr>
              <w:ind w:left="68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8"/>
              </w:rPr>
              <w:t>29,289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0"/>
              </w:rPr>
              <w:t>28,976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48,352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53,060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tcPr>
          <w:p>
            <w:pPr>
              <w:ind w:left="340"/>
              <w:spacing w:after="0"/>
              <w:rPr>
                <w:sz w:val="20"/>
                <w:szCs w:val="20"/>
                <w:color w:val="auto"/>
              </w:rPr>
            </w:pPr>
            <w:r>
              <w:rPr>
                <w:rFonts w:ascii="Arial" w:cs="Arial" w:eastAsia="Arial" w:hAnsi="Arial"/>
                <w:sz w:val="18"/>
                <w:szCs w:val="18"/>
                <w:color w:val="auto"/>
              </w:rPr>
              <w:t>Americas segment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31.2 %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segment</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2860" w:type="dxa"/>
            <w:vAlign w:val="bottom"/>
          </w:tcPr>
          <w:p>
            <w:pPr>
              <w:ind w:left="70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25.4 %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6"/>
          <w:szCs w:val="16"/>
          <w:color w:val="auto"/>
        </w:rPr>
        <w:t>On a consolidated basis, cost of goods sold increased $13.2 million, or 18.1%, to $86.0 million for the three months ended June 30, 2022, from $72.8 million for the three months ended June 30, 2021. Cost of goods sold increased $39.2 million, or 31.6%, to $163.4 million for the six months ended</w:t>
      </w:r>
    </w:p>
    <w:p>
      <w:pPr>
        <w:spacing w:after="0" w:line="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June 30, 2022, from $124.2 million for the six months ended June 30, 2021. On a consolidated and segment basis, the increases in both periods were primarily driven by higher CE volume and significant increases in transportation costs across ocean freight and domestic logistics.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a consolidated basis, gross profit increased $0.3 million, or 1.1%, to $29.3 million for the three months ended June 30, 2022, from $29.0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2021. Gross profit decreased $4.7 million, or 8.9%, to $48.4 million for the six months ended June 30, 2022,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$53.1 million for the six months ended June 30, 2021. Strong top line growth driven by the continued underlying strength of our </w:t>
      </w:r>
      <w:r>
        <w:rPr>
          <w:rFonts w:ascii="Arial" w:cs="Arial" w:eastAsia="Arial" w:hAnsi="Arial"/>
          <w:sz w:val="16"/>
          <w:szCs w:val="16"/>
          <w:i w:val="1"/>
          <w:iCs w:val="1"/>
          <w:color w:val="auto"/>
        </w:rPr>
        <w:t>Vita Coco</w:t>
      </w:r>
      <w:r>
        <w:rPr>
          <w:rFonts w:ascii="Arial" w:cs="Arial" w:eastAsia="Arial" w:hAnsi="Arial"/>
          <w:sz w:val="16"/>
          <w:szCs w:val="16"/>
          <w:color w:val="auto"/>
        </w:rPr>
        <w:t xml:space="preserve"> brand was offset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increased transportation costs due to the global shipping environment and domestic transportation pressures. As a result, gross margin declined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 percentage points to 25.4% for the three months ended June 30, 2022, as compared to 28.5% for the three months ended June 30, 2021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reduced by 7 percentage points to 22.8% for the six months ended June 30, 2022, as compared to 29.9% for the six months ended June 30, 2021.</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19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Six Months Ended</w:t>
            </w:r>
          </w:p>
        </w:tc>
        <w:tc>
          <w:tcPr>
            <w:tcW w:w="800" w:type="dxa"/>
            <w:vAlign w:val="bottom"/>
          </w:tcPr>
          <w:p>
            <w:pPr>
              <w:spacing w:after="0"/>
              <w:rPr>
                <w:sz w:val="14"/>
                <w:szCs w:val="14"/>
                <w:color w:val="auto"/>
              </w:rPr>
            </w:pPr>
          </w:p>
        </w:tc>
        <w:tc>
          <w:tcPr>
            <w:tcW w:w="1300" w:type="dxa"/>
            <w:vAlign w:val="bottom"/>
            <w:gridSpan w:val="3"/>
            <w:vMerge w:val="restart"/>
          </w:tcPr>
          <w:p>
            <w:pPr>
              <w:jc w:val="right"/>
              <w:ind w:right="739"/>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1220" w:type="dxa"/>
            <w:vAlign w:val="bottom"/>
            <w:gridSpan w:val="3"/>
          </w:tcPr>
          <w:p>
            <w:pPr>
              <w:jc w:val="center"/>
              <w:ind w:left="544"/>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Percentage</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24,257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8"/>
              </w:rPr>
              <w:t>49,058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41,222</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During the three months ended June 30, 2022, selling, general and administrative, or SG&amp;A, expenses increased by $2.8 million, or 13.1% versus the three months ended June 30, 2021 and $7.8 million, or 19.0% versus the six months ended June 30, 2021. The increase was primarily driven by the incremental ongoing costs related to operating a public company including higher spend in personnel expenses, insurance and professional fees for the three and six months ended June 30, 2022 versus June 30, 2021.</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80" w:type="dxa"/>
            <w:vAlign w:val="bottom"/>
            <w:gridSpan w:val="3"/>
            <w:vMerge w:val="restart"/>
          </w:tcPr>
          <w:p>
            <w:pPr>
              <w:jc w:val="right"/>
              <w:ind w:right="73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17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2020" w:type="dxa"/>
            <w:vAlign w:val="bottom"/>
            <w:gridSpan w:val="3"/>
            <w:vMerge w:val="restart"/>
          </w:tcPr>
          <w:p>
            <w:pPr>
              <w:jc w:val="right"/>
              <w:ind w:right="7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680" w:type="dxa"/>
            <w:vAlign w:val="bottom"/>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60" w:type="dxa"/>
            <w:vAlign w:val="bottom"/>
          </w:tcPr>
          <w:p>
            <w:pPr>
              <w:jc w:val="right"/>
              <w:ind w:right="153"/>
              <w:spacing w:after="0"/>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7"/>
                <w:szCs w:val="17"/>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jc w:val="right"/>
              <w:ind w:right="17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308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Unrealized gain/(loss) on derivative</w:t>
            </w: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170.9 %</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Foreign currency gain/(loss)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95.4 %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90.6 %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(91.2 %)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(85.8 %)</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49.9 %</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(56.5 %)</w:t>
            </w: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193.7 %</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Gain/(Loss) on Derivative Instruments</w:t>
      </w:r>
    </w:p>
    <w:p>
      <w:pPr>
        <w:spacing w:after="0" w:line="11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For the three months ended June 30, 2022 and 2021, we recorded losses of $3.2 million and gains of $4.6 million, respectively for the mark-to-market changes in fair value on the outstanding derivative instruments for forward foreign currency exchange contracts. During the six months ended June 30, 2022 and 2021, we recorded gains of $5.5 million and gains of $3.2 million, respectively, for the mark-to-market changes in fair value on the outstanding derivative instruments for forward foreign currency exchange contracts, with the largest gain for the six months ended June 30, 2022 related to the contracts hedging the Brazilian real. All forward foreign currency exchange contracts were entered into to hedge some of our exposures to the British pound, Canadian dollar, Brazilian real, Malaysian ringgit, and Thai baht.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Gain/(Loss)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three months ended June 30, 2022, foreign currency loss was immaterial, as compared to $1 million loss for the three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2021. Foreign currency loss was $0.1 million for the six months ended June 30, 2022, as compared to $1.5 million loss for the six months ended June 30,</w:t>
      </w:r>
    </w:p>
    <w:p>
      <w:pPr>
        <w:spacing w:after="0" w:line="3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2021. The change in all periods was a result of movements in various foreign currency exchange rates related to transactions denominated in currencies other than the functional currency.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 xml:space="preserve">The decrease in interest income for the three months ended June 30, 2022 compared to the same prior year period was immaterial reflecting the interest of 0.58% on the loan to the CEO described in Note 14, </w:t>
      </w:r>
      <w:r>
        <w:rPr>
          <w:rFonts w:ascii="Arial" w:cs="Arial" w:eastAsia="Arial" w:hAnsi="Arial"/>
          <w:sz w:val="17"/>
          <w:szCs w:val="17"/>
          <w:i w:val="1"/>
          <w:iCs w:val="1"/>
          <w:color w:val="auto"/>
        </w:rPr>
        <w:t>Related-Party Transactions</w:t>
      </w:r>
      <w:r>
        <w:rPr>
          <w:rFonts w:ascii="Arial" w:cs="Arial" w:eastAsia="Arial" w:hAnsi="Arial"/>
          <w:sz w:val="17"/>
          <w:szCs w:val="17"/>
          <w:color w:val="auto"/>
        </w:rPr>
        <w:t>, to our notes to the condensed consolidated financial statements. On September 16, 2021, the CEO of the Company repaid the outstanding principal balance and accrued interest on the promissory note. The decrease in interest income for the six months ended June 30, 2022 compared to the same prior year period was immaterial.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Interest expense decreased an immaterial amount for the three months ended June 30, 2022 compared to the same prior year period. For the six months ended June 30, 2022, interest expense decreased $0.1 million compared to the same prior year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1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Pr>
          <w:p>
            <w:pPr>
              <w:spacing w:after="0"/>
              <w:rPr>
                <w:sz w:val="14"/>
                <w:szCs w:val="14"/>
                <w:color w:val="auto"/>
              </w:rPr>
            </w:pPr>
          </w:p>
        </w:tc>
        <w:tc>
          <w:tcPr>
            <w:tcW w:w="1480" w:type="dxa"/>
            <w:vAlign w:val="bottom"/>
            <w:gridSpan w:val="3"/>
            <w:vMerge w:val="restart"/>
          </w:tcPr>
          <w:p>
            <w:pPr>
              <w:jc w:val="right"/>
              <w:ind w:right="919"/>
              <w:spacing w:after="0"/>
              <w:rPr>
                <w:sz w:val="20"/>
                <w:szCs w:val="20"/>
                <w:color w:val="auto"/>
              </w:rPr>
            </w:pPr>
            <w:r>
              <w:rPr>
                <w:rFonts w:ascii="Arial" w:cs="Arial" w:eastAsia="Arial" w:hAnsi="Arial"/>
                <w:sz w:val="14"/>
                <w:szCs w:val="14"/>
                <w:b w:val="1"/>
                <w:bCs w:val="1"/>
                <w:color w:val="auto"/>
                <w:w w:val="89"/>
              </w:rPr>
              <w:t>Change</w:t>
            </w:r>
          </w:p>
        </w:tc>
        <w:tc>
          <w:tcPr>
            <w:tcW w:w="200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1280" w:type="dxa"/>
            <w:vAlign w:val="bottom"/>
            <w:gridSpan w:val="3"/>
            <w:vMerge w:val="restart"/>
          </w:tcPr>
          <w:p>
            <w:pPr>
              <w:jc w:val="right"/>
              <w:ind w:right="719"/>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780" w:type="dxa"/>
            <w:vAlign w:val="bottom"/>
          </w:tcPr>
          <w:p>
            <w:pPr>
              <w:spacing w:after="0"/>
              <w:rPr>
                <w:sz w:val="17"/>
                <w:szCs w:val="17"/>
                <w:color w:val="auto"/>
              </w:rPr>
            </w:pPr>
          </w:p>
        </w:tc>
        <w:tc>
          <w:tcPr>
            <w:tcW w:w="1320" w:type="dxa"/>
            <w:vAlign w:val="bottom"/>
            <w:tcBorders>
              <w:bottom w:val="single" w:sz="8" w:color="auto"/>
            </w:tcBorders>
            <w:gridSpan w:val="3"/>
          </w:tcPr>
          <w:p>
            <w:pPr>
              <w:jc w:val="center"/>
              <w:ind w:left="661"/>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vMerge w:val="continue"/>
          </w:tcPr>
          <w:p>
            <w:pPr>
              <w:spacing w:after="0"/>
              <w:rPr>
                <w:sz w:val="17"/>
                <w:szCs w:val="17"/>
                <w:color w:val="auto"/>
              </w:rPr>
            </w:pPr>
          </w:p>
        </w:tc>
        <w:tc>
          <w:tcPr>
            <w:tcW w:w="11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6"/>
              </w:rPr>
              <w:t>June 30,</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Percentage</w:t>
            </w:r>
          </w:p>
        </w:tc>
        <w:tc>
          <w:tcPr>
            <w:tcW w:w="8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4"/>
              </w:rPr>
              <w:t>(3,314)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(83.3)% $</w:t>
            </w:r>
          </w:p>
        </w:tc>
        <w:tc>
          <w:tcPr>
            <w:tcW w:w="80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8"/>
              </w:rPr>
              <w:t>(3,981)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Tax rate</w:t>
            </w:r>
          </w:p>
        </w:tc>
        <w:tc>
          <w:tcPr>
            <w:tcW w:w="960" w:type="dxa"/>
            <w:vAlign w:val="bottom"/>
          </w:tcPr>
          <w:p>
            <w:pPr>
              <w:jc w:val="right"/>
              <w:spacing w:after="0"/>
              <w:rPr>
                <w:sz w:val="20"/>
                <w:szCs w:val="20"/>
                <w:color w:val="auto"/>
              </w:rPr>
            </w:pPr>
            <w:r>
              <w:rPr>
                <w:rFonts w:ascii="Arial" w:cs="Arial" w:eastAsia="Arial" w:hAnsi="Arial"/>
                <w:sz w:val="18"/>
                <w:szCs w:val="18"/>
                <w:color w:val="auto"/>
              </w:rPr>
              <w:t>32.7 %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29.9 %</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ind w:left="260"/>
              <w:spacing w:after="0"/>
              <w:rPr>
                <w:sz w:val="20"/>
                <w:szCs w:val="20"/>
                <w:color w:val="auto"/>
              </w:rPr>
            </w:pPr>
            <w:r>
              <w:rPr>
                <w:rFonts w:ascii="Arial" w:cs="Arial" w:eastAsia="Arial" w:hAnsi="Arial"/>
                <w:sz w:val="18"/>
                <w:szCs w:val="18"/>
                <w:color w:val="auto"/>
                <w:w w:val="92"/>
              </w:rPr>
              <w:t>25.9 %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29.7 %</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right="40" w:firstLine="486"/>
        <w:spacing w:after="0" w:line="277" w:lineRule="auto"/>
        <w:rPr>
          <w:sz w:val="20"/>
          <w:szCs w:val="20"/>
          <w:color w:val="auto"/>
        </w:rPr>
      </w:pPr>
      <w:r>
        <w:rPr>
          <w:rFonts w:ascii="Arial" w:cs="Arial" w:eastAsia="Arial" w:hAnsi="Arial"/>
          <w:sz w:val="18"/>
          <w:szCs w:val="18"/>
          <w:color w:val="auto"/>
        </w:rPr>
        <w:t>Our quarterly income tax provision is based on an estimated annual effective tax rate applied to our consolidated year-to-date pre-tax income or loss. The effective income tax rate is based upon the estimated income for the year,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composition of that income in different countries, and adjustments, if any, in the applicable quarterly periods for the potential tax consequences, benefits, resolutions of tax audits or other tax contingencies.</w:t>
      </w:r>
    </w:p>
    <w:p>
      <w:pPr>
        <w:spacing w:after="0" w:line="17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For the six months ending June 30, 2021, and June 30, 2022, our effective tax rate was 29.7% and 25.9%, respectively. The effective tax rate for both periods is higher than the US statutory rate of 21% primarily as a result of state income taxes for the US company and other nondeductible expenses for tax purposes, and is partially offset by lower statutory tax rates in countries outside the US that the Company operates in. The change in effective tax rates between the periods is primarily driven by the jurisdictional mix of the Company’s pre-tax profits and the relative impact of other non-deductible expense in relation to the pre-tax profits.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7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These non-GAAP measures are a key metric used by management and our Board of Directors,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8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from net income to EBITDA and Adjusted EBITDA is set forth 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9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4"/>
              </w:rPr>
              <w:t>Six Months Ended June 30,</w:t>
            </w:r>
          </w:p>
        </w:tc>
      </w:tr>
      <w:tr>
        <w:trPr>
          <w:trHeight w:val="25"/>
        </w:trPr>
        <w:tc>
          <w:tcPr>
            <w:tcW w:w="6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r>
      <w:tr>
        <w:trPr>
          <w:trHeight w:val="194"/>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(in thousands)</w:t>
            </w:r>
          </w:p>
        </w:tc>
      </w:tr>
      <w:tr>
        <w:trPr>
          <w:trHeight w:val="23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1,044</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3,981</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EBITDA</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14,566</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(a)</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Unrealized (gain)/loss on derivative instruments (b)</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(3,214)</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(gain)/loss (b)</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Other adjustments (c)</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48"/>
        </w:trPr>
        <w:tc>
          <w:tcPr>
            <w:tcW w:w="6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23" w:lineRule="exact"/>
        <w:rPr>
          <w:sz w:val="20"/>
          <w:szCs w:val="20"/>
          <w:color w:val="auto"/>
        </w:rPr>
      </w:pPr>
    </w:p>
    <w:p>
      <w:pPr>
        <w:ind w:left="340" w:right="420" w:hanging="332"/>
        <w:spacing w:after="0" w:line="258"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charges related to stock-based compensation, which vary from period to period depending on volume and vesting timing of awards. We adjusted for these charges to facilitate comparison from period to period.</w:t>
      </w:r>
    </w:p>
    <w:p>
      <w:pPr>
        <w:spacing w:after="0" w:line="1" w:lineRule="exact"/>
        <w:rPr>
          <w:rFonts w:ascii="Arial" w:cs="Arial" w:eastAsia="Arial" w:hAnsi="Arial"/>
          <w:sz w:val="18"/>
          <w:szCs w:val="18"/>
          <w:color w:val="auto"/>
        </w:rPr>
      </w:pPr>
    </w:p>
    <w:p>
      <w:pPr>
        <w:ind w:left="340" w:right="780" w:hanging="332"/>
        <w:spacing w:after="0" w:line="250"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Unrealized gains or losses on derivative instruments and foreign currency gains or losses are not considered in our evaluation of our ongoing performance.</w:t>
      </w: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other charges inclusive of legal costs and other non-recurring expenses mostly related to our public company readiness preparation.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80" w:firstLine="486"/>
        <w:spacing w:after="0" w:line="286" w:lineRule="auto"/>
        <w:rPr>
          <w:sz w:val="20"/>
          <w:szCs w:val="20"/>
          <w:color w:val="auto"/>
        </w:rPr>
      </w:pPr>
      <w:r>
        <w:rPr>
          <w:rFonts w:ascii="Arial" w:cs="Arial" w:eastAsia="Arial" w:hAnsi="Arial"/>
          <w:sz w:val="17"/>
          <w:szCs w:val="17"/>
          <w:color w:val="auto"/>
        </w:rPr>
        <w:t>Since our inception, we have financed our operations primarily through cash generated from our business operations and proceeds on borrowings through our credit facilities and term loans. We had $16.4 million and $28.7 million of cash and cash equivalents as of June 30, 2022 and December 31, 2021, respectively. We supplemented our liquidity needs with incremental borrowing capacity under the 2020 Credit Facility.</w:t>
      </w:r>
    </w:p>
    <w:p>
      <w:pPr>
        <w:spacing w:after="0" w:line="165"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Considering recent market conditions and the continued result of the ongoing COVID-19 pandemic,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w:t>
      </w:r>
    </w:p>
    <w:p>
      <w:pPr>
        <w:spacing w:after="0" w:line="17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has allowed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sources and uses of cash:</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6"/>
                <w:szCs w:val="16"/>
                <w:color w:val="auto"/>
              </w:rPr>
            </w:pPr>
          </w:p>
        </w:tc>
        <w:tc>
          <w:tcPr>
            <w:tcW w:w="166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6"/>
                <w:szCs w:val="16"/>
                <w:color w:val="auto"/>
              </w:rPr>
            </w:pPr>
          </w:p>
        </w:tc>
      </w:tr>
      <w:tr>
        <w:trPr>
          <w:trHeight w:val="25"/>
        </w:trPr>
        <w:tc>
          <w:tcPr>
            <w:tcW w:w="4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right"/>
              <w:ind w:right="413"/>
              <w:spacing w:after="0"/>
              <w:rPr>
                <w:sz w:val="20"/>
                <w:szCs w:val="20"/>
                <w:color w:val="auto"/>
              </w:rPr>
            </w:pPr>
            <w:r>
              <w:rPr>
                <w:rFonts w:ascii="Arial" w:cs="Arial" w:eastAsia="Arial" w:hAnsi="Arial"/>
                <w:sz w:val="14"/>
                <w:szCs w:val="14"/>
                <w:b w:val="1"/>
                <w:bCs w:val="1"/>
                <w:color w:val="auto"/>
                <w:w w:val="97"/>
              </w:rPr>
              <w:t>Percentage</w:t>
            </w:r>
          </w:p>
        </w:tc>
      </w:tr>
      <w:tr>
        <w:trPr>
          <w:trHeight w:val="216"/>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Cash flows provided by (used in):</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(111.6 %)</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(920.2 %)</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160.1 %</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Effects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(decrease)/increase in cash and cash equivalents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rPr>
          <w:sz w:val="20"/>
          <w:szCs w:val="20"/>
          <w:color w:val="auto"/>
        </w:rPr>
      </w:pPr>
      <w:r>
        <w:rPr>
          <w:rFonts w:ascii="Arial" w:cs="Arial" w:eastAsia="Arial" w:hAnsi="Arial"/>
          <w:sz w:val="18"/>
          <w:szCs w:val="18"/>
          <w:color w:val="auto"/>
        </w:rPr>
        <w:t>n/m—represents percentage calculated not being meaningful</w:t>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main source of operating cash is payments received from our customers. Our primary use of cash in operating activities are for cost of goods sold and SG&amp;A expenses.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During the six months ended June 30, 2022, $17.6 million more net cash was used in operating activities compared to the six months ended June 30,</w:t>
      </w:r>
    </w:p>
    <w:p>
      <w:pPr>
        <w:spacing w:after="0" w:line="46"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2021. The higher cash use was driven by other working capital timing and the decrease in net income after adjusting for non-cash items, primarily reflecting elevated transportation costs and increased SG&amp;A expenses to further expand our capabilities as a public company.</w:t>
      </w:r>
    </w:p>
    <w:p>
      <w:pPr>
        <w:spacing w:after="0" w:line="26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During the six months ended June 30, 2022 as compared to six months ended June 30, 2021, cash used in investing activities increased driven by cash paid for property and equipment.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 xml:space="preserve">During the six months ended June 30, 2022 compared to the six months ended June 30, 2021, net cash provided by financing activities was $59 million higher, resulting from a one-time share buyback of $50 million recorded in the six months ended June 30, 2021 to repurchase 5,192,005 shares of treasury stock from RWVC S.a.r.l, a principal stockholder and increased cash proceeds of $9 million borrowed under the 2020 Credit Facility period over period. For further discussion of the stock repurchase, see Note 10, </w:t>
      </w:r>
      <w:r>
        <w:rPr>
          <w:rFonts w:ascii="Arial" w:cs="Arial" w:eastAsia="Arial" w:hAnsi="Arial"/>
          <w:sz w:val="18"/>
          <w:szCs w:val="18"/>
          <w:i w:val="1"/>
          <w:iCs w:val="1"/>
          <w:color w:val="auto"/>
        </w:rPr>
        <w:t>Stockholder’s Equity</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respectively, in the condensed consolidated financial statements.</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We had debt outstanding of $22.1 million as of June 30, 2022, compared to $0.1 million as of December 31, 2021. The outstanding balance as of June 30, 2022 related to borrowings under the 2020 Credit Facility and vehicle loans. The outstanding balance as of December 31, 2021 related to vehicle loans.</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2020 Credit Facility</w:t>
      </w:r>
    </w:p>
    <w:p>
      <w:pPr>
        <w:spacing w:after="0" w:line="117" w:lineRule="exact"/>
        <w:rPr>
          <w:sz w:val="20"/>
          <w:szCs w:val="20"/>
          <w:color w:val="auto"/>
        </w:rPr>
      </w:pPr>
    </w:p>
    <w:p>
      <w:pPr>
        <w:ind w:right="120" w:firstLine="551"/>
        <w:spacing w:after="0" w:line="286" w:lineRule="auto"/>
        <w:rPr>
          <w:sz w:val="20"/>
          <w:szCs w:val="20"/>
          <w:color w:val="auto"/>
        </w:rPr>
      </w:pPr>
      <w:r>
        <w:rPr>
          <w:rFonts w:ascii="Arial" w:cs="Arial" w:eastAsia="Arial" w:hAnsi="Arial"/>
          <w:sz w:val="16"/>
          <w:szCs w:val="16"/>
          <w:color w:val="auto"/>
        </w:rPr>
        <w:t>In May 2020, we entered into a five-year credit facility ("2020 Credit Facility") with Wells Fargo consisting of a revolving line of credit, which provided for committed borrowings of $50 million and a $10 million non-committed accordion feature. The 2020 Credit Facility was further amended in May 2021 and October 2021, and currently provides for committed borrowings of $60 million. We may repay outstanding balances under the 2020 Credit Facility at any time without premium or penalty. Borrowings under the 2020 Credit Facility bear interest at a rate per annum equal to, at our option, either</w:t>
      </w:r>
    </w:p>
    <w:p>
      <w:pPr>
        <w:spacing w:after="0" w:line="1" w:lineRule="exact"/>
        <w:rPr>
          <w:sz w:val="20"/>
          <w:szCs w:val="20"/>
          <w:color w:val="auto"/>
        </w:rPr>
      </w:pPr>
    </w:p>
    <w:p>
      <w:pPr>
        <w:ind w:right="20" w:firstLine="8"/>
        <w:spacing w:after="0" w:line="270" w:lineRule="auto"/>
        <w:tabs>
          <w:tab w:leader="none" w:pos="24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LIBOR (or current LIBOR replacement rate), which shall not be less than 0.0%, plus the applicable rate or (b) base rate (determined by reference to the greatest of the prime rate published by Wells Fargo, the federal funds effective rate plus 1.5% and one-month LIBOR (or current LIBOR replacement) plus 1.5%). The applicable rate for LIBOR borrowings under the 2020 Credit Facility is subject to step-downs based on our total net leverage ratio (as defined in the credit agreement) for the immediately preceding fiscal quarter. In addition, the Company is currently subject to an unused commitment fee ranging from 0.05% to 0.20% on the unused amount of the line of credit, with the rate being based on the Company’s leverage ratio (as defined in the credit agreement). The maturity date on the 2020 Credit Facility is May 12, 2026.</w:t>
      </w:r>
    </w:p>
    <w:p>
      <w:pPr>
        <w:spacing w:after="0" w:line="70" w:lineRule="exact"/>
        <w:rPr>
          <w:sz w:val="20"/>
          <w:szCs w:val="20"/>
          <w:color w:val="auto"/>
        </w:rPr>
      </w:pPr>
    </w:p>
    <w:p>
      <w:pPr>
        <w:ind w:right="400" w:firstLine="551"/>
        <w:spacing w:after="0" w:line="277" w:lineRule="auto"/>
        <w:rPr>
          <w:sz w:val="20"/>
          <w:szCs w:val="20"/>
          <w:color w:val="auto"/>
        </w:rPr>
      </w:pPr>
      <w:r>
        <w:rPr>
          <w:rFonts w:ascii="Arial" w:cs="Arial" w:eastAsia="Arial" w:hAnsi="Arial"/>
          <w:sz w:val="18"/>
          <w:szCs w:val="18"/>
          <w:color w:val="auto"/>
        </w:rPr>
        <w:t>The outstanding balance on the 2020 Credit Facility was $22 million and zero as of June 30, 2022 and December 31, 2021, respectively. As of June 30, 2022, we were compliant with all financial covenants.</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 Loans</w:t>
      </w:r>
    </w:p>
    <w:p>
      <w:pPr>
        <w:spacing w:after="0" w:line="11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We periodically enter into vehicle loans. Interest rates on these vehicle loans range from 4.56% to 5.68%. The outstanding balance on the vehicle loans as of June 30, 2022 was less than $0.1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For additional information, see Note 6, </w:t>
      </w:r>
      <w:r>
        <w:rPr>
          <w:rFonts w:ascii="Arial" w:cs="Arial" w:eastAsia="Arial" w:hAnsi="Arial"/>
          <w:sz w:val="18"/>
          <w:szCs w:val="18"/>
          <w:i w:val="1"/>
          <w:iCs w:val="1"/>
          <w:color w:val="auto"/>
        </w:rPr>
        <w:t>Debt</w:t>
      </w:r>
      <w:r>
        <w:rPr>
          <w:rFonts w:ascii="Arial" w:cs="Arial" w:eastAsia="Arial" w:hAnsi="Arial"/>
          <w:sz w:val="18"/>
          <w:szCs w:val="18"/>
          <w:color w:val="auto"/>
        </w:rPr>
        <w:t>, in our condensed consolidated financial statements included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changes to our contractual obligations from those described in the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appearing in this Quarterly Report on Form 10-Q. During the three months ended June 30, 2022, there were no material changes to our critical accounting policies from those discussed in our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 xml:space="preserve">A description of recently adopted and issued accounting pronouncements that may potentially impact our financial position and results of operations is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condensed consolidated financial statements appearing elsewhere in this Quarterly Report on Form 10-Q. We adopted ASC 842, </w:t>
      </w:r>
      <w:r>
        <w:rPr>
          <w:rFonts w:ascii="Arial" w:cs="Arial" w:eastAsia="Arial" w:hAnsi="Arial"/>
          <w:sz w:val="18"/>
          <w:szCs w:val="18"/>
          <w:i w:val="1"/>
          <w:iCs w:val="1"/>
          <w:color w:val="auto"/>
        </w:rPr>
        <w:t>Leases</w:t>
      </w:r>
      <w:r>
        <w:rPr>
          <w:rFonts w:ascii="Arial" w:cs="Arial" w:eastAsia="Arial" w:hAnsi="Arial"/>
          <w:sz w:val="18"/>
          <w:szCs w:val="18"/>
          <w:color w:val="auto"/>
        </w:rPr>
        <w:t>, as of January 1, 2022 as described in Note 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As of June 30, 2022, the outstanding amounts of $22,000 under our 2020 Credit Facility incurs interest fees at variable interest rates and are affected by changes in the general level of market interest rates. To quantify our exposure to interest rate risk, a 100 basis point increase or decrease to the applicable variable rates of interest would change our annual interest expense by approximately $0.1 million per year based on the borrowings as of June 30, 2022 under the 2020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w:t>
      </w:r>
    </w:p>
    <w:p>
      <w:pPr>
        <w:spacing w:after="0" w:line="195"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The total notional values of our forward exchange contracts were $88.8 million and $89.1 million as of June 30, 2022 and December 31, 2021, respectively. The derivatives on the forward exchange contracts resulted in an unrealized gain of $5.5 million for the six months ended June 30, 2022, and we estimate that a 10% strengthening or weakening of the U.S. dollar would have resulted in a approximately $4.6 million gain or loss.</w:t>
      </w:r>
    </w:p>
    <w:p>
      <w:pPr>
        <w:spacing w:after="0" w:line="14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 portion of our cash and cash equivalents are denominated in foreign currencies. As of June 30, 2022, a 1% change in the value of the U.S. dollar compared to foreign currencies would have caused our cash and cash equivalents to decrease or increase by $0.1 million. As of December 31, 2021, a 1% change in the value of the U.S. dollar compared to foreign currencies would have caused our cash and cash equivalents to decrease or increase by $0.1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Inflation generally affects us by increasing our cost of transportation, manufacturing and headcount related costs, and may affect consumer spending and behavior. In the six months ended June 30, 2022, we continue to experience significant inflation caused by COVID-19 related global supply chain disruptions which put pressure on our costs and margins. More specifically, there was a significant escalation of transportation costs, primarily ocean freight costs due to shipping and ports constraints and in domestic logistics.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We are exposed to concentration of credit risk from our major customers. In the three months ended June 30, 2022, sales to two customers represented approximately 54% of our consolidated net sales. We have not experienced credit issues</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2022, our disclosure controls and procedures were effective at the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Please refer to Part I, Item 1A. Risk Factors in our Annual Report on Form 10-K for the fiscal year ended December 31, 2021 for a description of certain significant risks and uncertainties to which our business, financial condition and results of operations are subject. There have been no material changes to these risk factors as of June 30,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91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center"/>
        <w:ind w:right="91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80" w:type="dxa"/>
            <w:vAlign w:val="bottom"/>
            <w:gridSpan w:val="2"/>
            <w:vMerge w:val="restart"/>
          </w:tcPr>
          <w:p>
            <w:pPr>
              <w:ind w:left="600"/>
              <w:spacing w:after="0"/>
              <w:rPr>
                <w:sz w:val="20"/>
                <w:szCs w:val="20"/>
                <w:color w:val="auto"/>
              </w:rPr>
            </w:pPr>
            <w:r>
              <w:rPr>
                <w:rFonts w:ascii="Arial" w:cs="Arial" w:eastAsia="Arial" w:hAnsi="Arial"/>
                <w:sz w:val="14"/>
                <w:szCs w:val="14"/>
                <w:color w:val="auto"/>
              </w:rPr>
              <w:t>Incorporated by Reference</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Filed /</w:t>
            </w:r>
          </w:p>
        </w:tc>
        <w:tc>
          <w:tcPr>
            <w:tcW w:w="0" w:type="dxa"/>
            <w:vAlign w:val="bottom"/>
          </w:tcPr>
          <w:p>
            <w:pPr>
              <w:spacing w:after="0"/>
              <w:rPr>
                <w:sz w:val="1"/>
                <w:szCs w:val="1"/>
                <w:color w:val="auto"/>
              </w:rPr>
            </w:pPr>
          </w:p>
        </w:tc>
      </w:tr>
      <w:tr>
        <w:trPr>
          <w:trHeight w:val="101"/>
        </w:trPr>
        <w:tc>
          <w:tcPr>
            <w:tcW w:w="1340" w:type="dxa"/>
            <w:vAlign w:val="bottom"/>
            <w:gridSpan w:val="2"/>
            <w:vMerge w:val="restart"/>
          </w:tcPr>
          <w:p>
            <w:pPr>
              <w:jc w:val="center"/>
              <w:ind w:right="80"/>
              <w:spacing w:after="0" w:line="121" w:lineRule="exact"/>
              <w:rPr>
                <w:sz w:val="20"/>
                <w:szCs w:val="20"/>
                <w:color w:val="auto"/>
              </w:rPr>
            </w:pPr>
            <w:r>
              <w:rPr>
                <w:rFonts w:ascii="Arial" w:cs="Arial" w:eastAsia="Arial" w:hAnsi="Arial"/>
                <w:sz w:val="13"/>
                <w:szCs w:val="13"/>
                <w:color w:val="auto"/>
              </w:rPr>
              <w:t>Exhibit</w:t>
            </w: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580" w:type="dxa"/>
            <w:vAlign w:val="bottom"/>
            <w:gridSpan w:val="2"/>
            <w:vMerge w:val="continue"/>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restart"/>
          </w:tcPr>
          <w:p>
            <w:pPr>
              <w:jc w:val="center"/>
              <w:spacing w:after="0" w:line="121" w:lineRule="exact"/>
              <w:rPr>
                <w:sz w:val="20"/>
                <w:szCs w:val="20"/>
                <w:color w:val="auto"/>
              </w:rPr>
            </w:pPr>
            <w:r>
              <w:rPr>
                <w:rFonts w:ascii="Arial" w:cs="Arial" w:eastAsia="Arial" w:hAnsi="Arial"/>
                <w:sz w:val="13"/>
                <w:szCs w:val="13"/>
                <w:color w:val="auto"/>
                <w:w w:val="96"/>
              </w:rPr>
              <w:t>Furnished</w:t>
            </w:r>
          </w:p>
        </w:tc>
        <w:tc>
          <w:tcPr>
            <w:tcW w:w="0" w:type="dxa"/>
            <w:vAlign w:val="bottom"/>
          </w:tcPr>
          <w:p>
            <w:pPr>
              <w:spacing w:after="0"/>
              <w:rPr>
                <w:sz w:val="1"/>
                <w:szCs w:val="1"/>
                <w:color w:val="auto"/>
              </w:rPr>
            </w:pPr>
          </w:p>
        </w:tc>
      </w:tr>
      <w:tr>
        <w:trPr>
          <w:trHeight w:val="26"/>
        </w:trPr>
        <w:tc>
          <w:tcPr>
            <w:tcW w:w="1340" w:type="dxa"/>
            <w:vAlign w:val="bottom"/>
            <w:gridSpan w:val="2"/>
            <w:vMerge w:val="continue"/>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100" w:type="dxa"/>
            <w:vAlign w:val="bottom"/>
          </w:tcPr>
          <w:p>
            <w:pPr>
              <w:spacing w:after="0"/>
              <w:rPr>
                <w:sz w:val="16"/>
                <w:szCs w:val="16"/>
                <w:color w:val="auto"/>
              </w:rPr>
            </w:pPr>
          </w:p>
        </w:tc>
        <w:tc>
          <w:tcPr>
            <w:tcW w:w="328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Exhibit Description</w:t>
            </w:r>
          </w:p>
        </w:tc>
        <w:tc>
          <w:tcPr>
            <w:tcW w:w="100" w:type="dxa"/>
            <w:vAlign w:val="bottom"/>
          </w:tcPr>
          <w:p>
            <w:pPr>
              <w:spacing w:after="0"/>
              <w:rPr>
                <w:sz w:val="16"/>
                <w:szCs w:val="16"/>
                <w:color w:val="auto"/>
              </w:rPr>
            </w:pP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Form</w:t>
            </w: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File No.</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Exhibit</w:t>
            </w: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Filing Date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Herewith</w:t>
            </w: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560" w:type="dxa"/>
            <w:vAlign w:val="bottom"/>
            <w:gridSpan w:val="14"/>
          </w:tcPr>
          <w:p>
            <w:pPr>
              <w:spacing w:after="0"/>
              <w:rPr>
                <w:rFonts w:ascii="Arial" w:cs="Arial" w:eastAsia="Arial" w:hAnsi="Arial"/>
                <w:sz w:val="18"/>
                <w:szCs w:val="18"/>
                <w:color w:val="0000FF"/>
                <w:w w:val="97"/>
              </w:rPr>
            </w:pPr>
            <w:hyperlink r:id="rId58">
              <w:r>
                <w:rPr>
                  <w:rFonts w:ascii="Arial" w:cs="Arial" w:eastAsia="Arial" w:hAnsi="Arial"/>
                  <w:sz w:val="18"/>
                  <w:szCs w:val="18"/>
                  <w:color w:val="0000FF"/>
                  <w:w w:val="97"/>
                </w:rPr>
                <w:t>Second Amended and Restated Certificate of</w:t>
              </w:r>
            </w:hyperlink>
          </w:p>
        </w:tc>
        <w:tc>
          <w:tcPr>
            <w:tcW w:w="960" w:type="dxa"/>
            <w:vAlign w:val="bottom"/>
          </w:tcPr>
          <w:p>
            <w:pPr>
              <w:ind w:left="300"/>
              <w:spacing w:after="0"/>
              <w:rPr>
                <w:sz w:val="20"/>
                <w:szCs w:val="20"/>
                <w:color w:val="auto"/>
              </w:rPr>
            </w:pPr>
            <w:r>
              <w:rPr>
                <w:rFonts w:ascii="Arial" w:cs="Arial" w:eastAsia="Arial" w:hAnsi="Arial"/>
                <w:sz w:val="18"/>
                <w:szCs w:val="18"/>
                <w:color w:val="auto"/>
              </w:rPr>
              <w:t>8-K</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001-40950</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60" w:type="dxa"/>
            <w:vAlign w:val="bottom"/>
          </w:tcPr>
          <w:p>
            <w:pPr>
              <w:jc w:val="center"/>
              <w:ind w:left="330"/>
              <w:spacing w:after="0"/>
              <w:rPr>
                <w:sz w:val="20"/>
                <w:szCs w:val="20"/>
                <w:color w:val="auto"/>
              </w:rPr>
            </w:pPr>
            <w:r>
              <w:rPr>
                <w:rFonts w:ascii="Arial" w:cs="Arial" w:eastAsia="Arial" w:hAnsi="Arial"/>
                <w:sz w:val="18"/>
                <w:szCs w:val="18"/>
                <w:color w:val="auto"/>
                <w:w w:val="91"/>
              </w:rPr>
              <w:t>10/25/21</w:t>
            </w:r>
          </w:p>
        </w:tc>
        <w:tc>
          <w:tcPr>
            <w:tcW w:w="0" w:type="dxa"/>
            <w:vAlign w:val="bottom"/>
          </w:tcPr>
          <w:p>
            <w:pPr>
              <w:spacing w:after="0"/>
              <w:rPr>
                <w:sz w:val="1"/>
                <w:szCs w:val="1"/>
                <w:color w:val="auto"/>
              </w:rPr>
            </w:pPr>
          </w:p>
        </w:tc>
      </w:tr>
      <w:tr>
        <w:trPr>
          <w:trHeight w:val="155"/>
        </w:trPr>
        <w:tc>
          <w:tcPr>
            <w:tcW w:w="10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Incorporation.</w:t>
              </w:r>
            </w:hyperlink>
          </w:p>
        </w:tc>
        <w:tc>
          <w:tcPr>
            <w:tcW w:w="2220" w:type="dxa"/>
            <w:vAlign w:val="bottom"/>
            <w:tcBorders>
              <w:top w:val="single" w:sz="8" w:color="0000FF"/>
            </w:tcBorders>
            <w:gridSpan w:val="11"/>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gridSpan w:val="14"/>
          </w:tcPr>
          <w:p>
            <w:pPr>
              <w:spacing w:after="0"/>
              <w:rPr>
                <w:rFonts w:ascii="Arial" w:cs="Arial" w:eastAsia="Arial" w:hAnsi="Arial"/>
                <w:sz w:val="18"/>
                <w:szCs w:val="18"/>
                <w:color w:val="0000FF"/>
              </w:rPr>
            </w:pPr>
            <w:hyperlink r:id="rId59">
              <w:r>
                <w:rPr>
                  <w:rFonts w:ascii="Arial" w:cs="Arial" w:eastAsia="Arial" w:hAnsi="Arial"/>
                  <w:sz w:val="18"/>
                  <w:szCs w:val="18"/>
                  <w:color w:val="0000FF"/>
                </w:rPr>
                <w:t>Amended and Restated Bylaws.</w:t>
              </w:r>
            </w:hyperlink>
          </w:p>
        </w:tc>
        <w:tc>
          <w:tcPr>
            <w:tcW w:w="960" w:type="dxa"/>
            <w:vAlign w:val="bottom"/>
          </w:tcPr>
          <w:p>
            <w:pPr>
              <w:ind w:left="300"/>
              <w:spacing w:after="0"/>
              <w:rPr>
                <w:sz w:val="20"/>
                <w:szCs w:val="20"/>
                <w:color w:val="auto"/>
              </w:rPr>
            </w:pPr>
            <w:r>
              <w:rPr>
                <w:rFonts w:ascii="Arial" w:cs="Arial" w:eastAsia="Arial" w:hAnsi="Arial"/>
                <w:sz w:val="18"/>
                <w:szCs w:val="18"/>
                <w:color w:val="auto"/>
              </w:rPr>
              <w:t>8-K</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001-40950</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60" w:type="dxa"/>
            <w:vAlign w:val="bottom"/>
          </w:tcPr>
          <w:p>
            <w:pPr>
              <w:jc w:val="center"/>
              <w:ind w:left="330"/>
              <w:spacing w:after="0"/>
              <w:rPr>
                <w:sz w:val="20"/>
                <w:szCs w:val="20"/>
                <w:color w:val="auto"/>
              </w:rPr>
            </w:pPr>
            <w:r>
              <w:rPr>
                <w:rFonts w:ascii="Arial" w:cs="Arial" w:eastAsia="Arial" w:hAnsi="Arial"/>
                <w:sz w:val="18"/>
                <w:szCs w:val="18"/>
                <w:color w:val="auto"/>
                <w:w w:val="91"/>
              </w:rPr>
              <w:t>10/25/21</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gridSpan w:val="14"/>
          </w:tcPr>
          <w:p>
            <w:pPr>
              <w:spacing w:after="0"/>
              <w:rPr>
                <w:rFonts w:ascii="Arial" w:cs="Arial" w:eastAsia="Arial" w:hAnsi="Arial"/>
                <w:sz w:val="18"/>
                <w:szCs w:val="18"/>
                <w:color w:val="0000FF"/>
              </w:rPr>
            </w:pPr>
            <w:hyperlink r:id="rId60">
              <w:r>
                <w:rPr>
                  <w:rFonts w:ascii="Arial" w:cs="Arial" w:eastAsia="Arial" w:hAnsi="Arial"/>
                  <w:sz w:val="18"/>
                  <w:szCs w:val="18"/>
                  <w:color w:val="0000FF"/>
                </w:rPr>
                <w:t>Specimen Common Stock Certificate of The</w:t>
              </w:r>
            </w:hyperlink>
          </w:p>
        </w:tc>
        <w:tc>
          <w:tcPr>
            <w:tcW w:w="960" w:type="dxa"/>
            <w:vAlign w:val="bottom"/>
            <w:vMerge w:val="restart"/>
          </w:tcPr>
          <w:p>
            <w:pPr>
              <w:ind w:left="300"/>
              <w:spacing w:after="0"/>
              <w:rPr>
                <w:sz w:val="20"/>
                <w:szCs w:val="20"/>
                <w:color w:val="auto"/>
              </w:rPr>
            </w:pPr>
            <w:r>
              <w:rPr>
                <w:rFonts w:ascii="Arial" w:cs="Arial" w:eastAsia="Arial" w:hAnsi="Arial"/>
                <w:sz w:val="18"/>
                <w:szCs w:val="18"/>
                <w:color w:val="auto"/>
              </w:rPr>
              <w:t>S-1</w:t>
            </w: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color w:val="auto"/>
              </w:rPr>
              <w:t>333-29825</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1060" w:type="dxa"/>
            <w:vAlign w:val="bottom"/>
            <w:vMerge w:val="restart"/>
          </w:tcPr>
          <w:p>
            <w:pPr>
              <w:jc w:val="center"/>
              <w:ind w:left="330"/>
              <w:spacing w:after="0"/>
              <w:rPr>
                <w:sz w:val="20"/>
                <w:szCs w:val="20"/>
                <w:color w:val="auto"/>
              </w:rPr>
            </w:pPr>
            <w:r>
              <w:rPr>
                <w:rFonts w:ascii="Arial" w:cs="Arial" w:eastAsia="Arial" w:hAnsi="Arial"/>
                <w:sz w:val="18"/>
                <w:szCs w:val="18"/>
                <w:color w:val="auto"/>
                <w:w w:val="93"/>
              </w:rPr>
              <w:t>9/27/21</w:t>
            </w:r>
          </w:p>
        </w:tc>
        <w:tc>
          <w:tcPr>
            <w:tcW w:w="0" w:type="dxa"/>
            <w:vAlign w:val="bottom"/>
          </w:tcPr>
          <w:p>
            <w:pPr>
              <w:spacing w:after="0"/>
              <w:rPr>
                <w:sz w:val="1"/>
                <w:szCs w:val="1"/>
                <w:color w:val="auto"/>
              </w:rPr>
            </w:pPr>
          </w:p>
        </w:tc>
      </w:tr>
      <w:tr>
        <w:trPr>
          <w:trHeight w:val="156"/>
        </w:trPr>
        <w:tc>
          <w:tcPr>
            <w:tcW w:w="18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60">
              <w:r>
                <w:rPr>
                  <w:rFonts w:ascii="Arial" w:cs="Arial" w:eastAsia="Arial" w:hAnsi="Arial"/>
                  <w:sz w:val="16"/>
                  <w:szCs w:val="16"/>
                  <w:color w:val="0000FF"/>
                </w:rPr>
                <w:t>Vita Coco Company, Inc.</w:t>
              </w:r>
            </w:hyperlink>
          </w:p>
        </w:tc>
        <w:tc>
          <w:tcPr>
            <w:tcW w:w="1380" w:type="dxa"/>
            <w:vAlign w:val="bottom"/>
            <w:tcBorders>
              <w:top w:val="single" w:sz="8" w:color="0000FF"/>
            </w:tcBorders>
            <w:gridSpan w:val="8"/>
          </w:tcPr>
          <w:p>
            <w:pPr>
              <w:spacing w:after="0"/>
              <w:rPr>
                <w:sz w:val="13"/>
                <w:szCs w:val="13"/>
                <w:color w:val="auto"/>
              </w:rPr>
            </w:pPr>
          </w:p>
        </w:tc>
        <w:tc>
          <w:tcPr>
            <w:tcW w:w="340" w:type="dxa"/>
            <w:vAlign w:val="bottom"/>
            <w:gridSpan w:val="2"/>
          </w:tcPr>
          <w:p>
            <w:pPr>
              <w:spacing w:after="0"/>
              <w:rPr>
                <w:sz w:val="13"/>
                <w:szCs w:val="13"/>
                <w:color w:val="auto"/>
              </w:rPr>
            </w:pPr>
          </w:p>
        </w:tc>
        <w:tc>
          <w:tcPr>
            <w:tcW w:w="9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gridSpan w:val="14"/>
          </w:tcPr>
          <w:p>
            <w:pPr>
              <w:spacing w:after="0"/>
              <w:rPr>
                <w:rFonts w:ascii="Arial" w:cs="Arial" w:eastAsia="Arial" w:hAnsi="Arial"/>
                <w:sz w:val="18"/>
                <w:szCs w:val="18"/>
                <w:color w:val="0000FF"/>
              </w:rPr>
            </w:pPr>
            <w:hyperlink r:id="rId61">
              <w:r>
                <w:rPr>
                  <w:rFonts w:ascii="Arial" w:cs="Arial" w:eastAsia="Arial" w:hAnsi="Arial"/>
                  <w:sz w:val="18"/>
                  <w:szCs w:val="18"/>
                  <w:color w:val="0000FF"/>
                </w:rPr>
                <w:t>Registration Rights Agreement, by and</w:t>
              </w:r>
            </w:hyperlink>
          </w:p>
        </w:tc>
        <w:tc>
          <w:tcPr>
            <w:tcW w:w="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14"/>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among The Vita Coco Company, Inc. and</w:t>
              </w:r>
            </w:hyperlink>
          </w:p>
        </w:tc>
        <w:tc>
          <w:tcPr>
            <w:tcW w:w="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00" w:type="dxa"/>
            <w:vAlign w:val="bottom"/>
            <w:tcBorders>
              <w:top w:val="single" w:sz="8" w:color="0000FF"/>
            </w:tcBorders>
            <w:gridSpan w:val="8"/>
          </w:tcPr>
          <w:p>
            <w:pPr>
              <w:spacing w:after="0" w:line="169"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certain security holders of The Vita Coco</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80" w:type="dxa"/>
            <w:vAlign w:val="bottom"/>
            <w:tcBorders>
              <w:top w:val="single" w:sz="8" w:color="0000FF"/>
            </w:tcBorders>
            <w:gridSpan w:val="7"/>
          </w:tcPr>
          <w:p>
            <w:pPr>
              <w:spacing w:after="0" w:line="156"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Company, Inc., dated as of October 20,</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960" w:type="dxa"/>
            <w:vAlign w:val="bottom"/>
            <w:vMerge w:val="restart"/>
          </w:tcPr>
          <w:p>
            <w:pPr>
              <w:ind w:left="300"/>
              <w:spacing w:after="0"/>
              <w:rPr>
                <w:sz w:val="20"/>
                <w:szCs w:val="20"/>
                <w:color w:val="auto"/>
              </w:rPr>
            </w:pPr>
            <w:r>
              <w:rPr>
                <w:rFonts w:ascii="Arial" w:cs="Arial" w:eastAsia="Arial" w:hAnsi="Arial"/>
                <w:sz w:val="18"/>
                <w:szCs w:val="18"/>
                <w:color w:val="auto"/>
              </w:rPr>
              <w:t>8-K</w:t>
            </w: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color w:val="auto"/>
              </w:rPr>
              <w:t>001-40950</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vMerge w:val="restart"/>
          </w:tcPr>
          <w:p>
            <w:pPr>
              <w:jc w:val="center"/>
              <w:ind w:left="330"/>
              <w:spacing w:after="0"/>
              <w:rPr>
                <w:sz w:val="20"/>
                <w:szCs w:val="20"/>
                <w:color w:val="auto"/>
              </w:rPr>
            </w:pPr>
            <w:r>
              <w:rPr>
                <w:rFonts w:ascii="Arial" w:cs="Arial" w:eastAsia="Arial" w:hAnsi="Arial"/>
                <w:sz w:val="18"/>
                <w:szCs w:val="18"/>
                <w:color w:val="auto"/>
                <w:w w:val="91"/>
              </w:rPr>
              <w:t>10/25/21</w:t>
            </w:r>
          </w:p>
        </w:tc>
        <w:tc>
          <w:tcPr>
            <w:tcW w:w="0" w:type="dxa"/>
            <w:vAlign w:val="bottom"/>
          </w:tcPr>
          <w:p>
            <w:pPr>
              <w:spacing w:after="0"/>
              <w:rPr>
                <w:sz w:val="1"/>
                <w:szCs w:val="1"/>
                <w:color w:val="auto"/>
              </w:rPr>
            </w:pPr>
          </w:p>
        </w:tc>
      </w:tr>
      <w:tr>
        <w:trPr>
          <w:trHeight w:val="156"/>
        </w:trPr>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61">
              <w:r>
                <w:rPr>
                  <w:rFonts w:ascii="Arial" w:cs="Arial" w:eastAsia="Arial" w:hAnsi="Arial"/>
                  <w:sz w:val="16"/>
                  <w:szCs w:val="16"/>
                  <w:color w:val="0000FF"/>
                  <w:w w:val="99"/>
                </w:rPr>
                <w:t>2021.</w:t>
              </w:r>
            </w:hyperlink>
          </w:p>
        </w:tc>
        <w:tc>
          <w:tcPr>
            <w:tcW w:w="6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gridSpan w:val="14"/>
          </w:tcPr>
          <w:p>
            <w:pPr>
              <w:spacing w:after="0"/>
              <w:rPr>
                <w:rFonts w:ascii="Arial" w:cs="Arial" w:eastAsia="Arial" w:hAnsi="Arial"/>
                <w:sz w:val="18"/>
                <w:szCs w:val="18"/>
                <w:color w:val="0000FF"/>
              </w:rPr>
            </w:pPr>
            <w:hyperlink r:id="rId62">
              <w:r>
                <w:rPr>
                  <w:rFonts w:ascii="Arial" w:cs="Arial" w:eastAsia="Arial" w:hAnsi="Arial"/>
                  <w:sz w:val="18"/>
                  <w:szCs w:val="18"/>
                  <w:color w:val="0000FF"/>
                </w:rPr>
                <w:t>Investor Rights Agreement, among The Vita</w:t>
              </w:r>
            </w:hyperlink>
          </w:p>
        </w:tc>
        <w:tc>
          <w:tcPr>
            <w:tcW w:w="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0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Coco Company, Inc., Verlinvest Beverages</w:t>
              </w:r>
            </w:hyperlink>
          </w:p>
        </w:tc>
        <w:tc>
          <w:tcPr>
            <w:tcW w:w="36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SA, Michael Kirban and Ira Liran, dated as</w:t>
              </w:r>
            </w:hyperlink>
          </w:p>
        </w:tc>
        <w:tc>
          <w:tcPr>
            <w:tcW w:w="20" w:type="dxa"/>
            <w:vAlign w:val="bottom"/>
            <w:tcBorders>
              <w:bottom w:val="single" w:sz="8" w:color="0000FF"/>
            </w:tcBorders>
          </w:tcPr>
          <w:p>
            <w:pPr>
              <w:spacing w:after="0"/>
              <w:rPr>
                <w:sz w:val="14"/>
                <w:szCs w:val="14"/>
                <w:color w:val="auto"/>
              </w:rPr>
            </w:pPr>
          </w:p>
        </w:tc>
        <w:tc>
          <w:tcPr>
            <w:tcW w:w="440" w:type="dxa"/>
            <w:vAlign w:val="bottom"/>
            <w:gridSpan w:val="4"/>
          </w:tcPr>
          <w:p>
            <w:pPr>
              <w:spacing w:after="0"/>
              <w:rPr>
                <w:sz w:val="14"/>
                <w:szCs w:val="14"/>
                <w:color w:val="auto"/>
              </w:rPr>
            </w:pPr>
          </w:p>
        </w:tc>
        <w:tc>
          <w:tcPr>
            <w:tcW w:w="960" w:type="dxa"/>
            <w:vAlign w:val="bottom"/>
            <w:vMerge w:val="restart"/>
          </w:tcPr>
          <w:p>
            <w:pPr>
              <w:ind w:left="300"/>
              <w:spacing w:after="0"/>
              <w:rPr>
                <w:sz w:val="20"/>
                <w:szCs w:val="20"/>
                <w:color w:val="auto"/>
              </w:rPr>
            </w:pPr>
            <w:r>
              <w:rPr>
                <w:rFonts w:ascii="Arial" w:cs="Arial" w:eastAsia="Arial" w:hAnsi="Arial"/>
                <w:sz w:val="18"/>
                <w:szCs w:val="18"/>
                <w:color w:val="auto"/>
              </w:rPr>
              <w:t>8-K</w:t>
            </w: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color w:val="auto"/>
              </w:rPr>
              <w:t>001-40950</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vMerge w:val="restart"/>
          </w:tcPr>
          <w:p>
            <w:pPr>
              <w:jc w:val="center"/>
              <w:ind w:left="330"/>
              <w:spacing w:after="0"/>
              <w:rPr>
                <w:sz w:val="20"/>
                <w:szCs w:val="20"/>
                <w:color w:val="auto"/>
              </w:rPr>
            </w:pPr>
            <w:r>
              <w:rPr>
                <w:rFonts w:ascii="Arial" w:cs="Arial" w:eastAsia="Arial" w:hAnsi="Arial"/>
                <w:sz w:val="18"/>
                <w:szCs w:val="18"/>
                <w:color w:val="auto"/>
                <w:w w:val="91"/>
              </w:rPr>
              <w:t>10/25/21</w:t>
            </w:r>
          </w:p>
        </w:tc>
        <w:tc>
          <w:tcPr>
            <w:tcW w:w="0" w:type="dxa"/>
            <w:vAlign w:val="bottom"/>
          </w:tcPr>
          <w:p>
            <w:pPr>
              <w:spacing w:after="0"/>
              <w:rPr>
                <w:sz w:val="1"/>
                <w:szCs w:val="1"/>
                <w:color w:val="auto"/>
              </w:rPr>
            </w:pPr>
          </w:p>
        </w:tc>
      </w:tr>
      <w:tr>
        <w:trPr>
          <w:trHeight w:val="155"/>
        </w:trPr>
        <w:tc>
          <w:tcPr>
            <w:tcW w:w="3120" w:type="dxa"/>
            <w:vAlign w:val="bottom"/>
            <w:gridSpan w:val="10"/>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of October 20, 2021.</w:t>
              </w:r>
            </w:hyperlink>
          </w:p>
        </w:tc>
        <w:tc>
          <w:tcPr>
            <w:tcW w:w="440" w:type="dxa"/>
            <w:vAlign w:val="bottom"/>
            <w:gridSpan w:val="4"/>
          </w:tcPr>
          <w:p>
            <w:pPr>
              <w:spacing w:after="0"/>
              <w:rPr>
                <w:sz w:val="13"/>
                <w:szCs w:val="13"/>
                <w:color w:val="auto"/>
              </w:rPr>
            </w:pPr>
          </w:p>
        </w:tc>
        <w:tc>
          <w:tcPr>
            <w:tcW w:w="9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Chief Executive Officer</w:t>
      </w:r>
    </w:p>
    <w:p>
      <w:pPr>
        <w:spacing w:after="0"/>
        <w:rPr>
          <w:sz w:val="20"/>
          <w:szCs w:val="20"/>
          <w:color w:val="auto"/>
        </w:rPr>
      </w:pPr>
      <w:r>
        <w:rPr>
          <w:rFonts w:ascii="Arial" w:cs="Arial" w:eastAsia="Arial" w:hAnsi="Arial"/>
          <w:sz w:val="18"/>
          <w:szCs w:val="18"/>
          <w:u w:val="single" w:color="auto"/>
          <w:color w:val="0000FF"/>
        </w:rPr>
        <w:t>pursuant to Rule 13a-14(a)/15d-14(a).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Chief Financial Officer</w:t>
      </w:r>
    </w:p>
    <w:p>
      <w:pPr>
        <w:spacing w:after="0"/>
        <w:rPr>
          <w:sz w:val="20"/>
          <w:szCs w:val="20"/>
          <w:color w:val="auto"/>
        </w:rPr>
      </w:pPr>
      <w:r>
        <w:rPr>
          <w:rFonts w:ascii="Arial" w:cs="Arial" w:eastAsia="Arial" w:hAnsi="Arial"/>
          <w:sz w:val="18"/>
          <w:szCs w:val="18"/>
          <w:u w:val="single" w:color="auto"/>
          <w:color w:val="0000FF"/>
        </w:rPr>
        <w:t>pursuant to Rule 13a-14(a)/15d-14(a).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Chief Executive Officer</w:t>
      </w:r>
    </w:p>
    <w:p>
      <w:pPr>
        <w:spacing w:after="0"/>
        <w:rPr>
          <w:sz w:val="20"/>
          <w:szCs w:val="20"/>
          <w:color w:val="auto"/>
        </w:rPr>
      </w:pPr>
      <w:r>
        <w:rPr>
          <w:rFonts w:ascii="Arial" w:cs="Arial" w:eastAsia="Arial" w:hAnsi="Arial"/>
          <w:sz w:val="18"/>
          <w:szCs w:val="18"/>
          <w:u w:val="single" w:color="auto"/>
          <w:color w:val="0000FF"/>
        </w:rPr>
        <w:t>pursuant to 18 U.S.C. Section 1350.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Chief Financial Officer</w:t>
      </w:r>
    </w:p>
    <w:p>
      <w:pPr>
        <w:spacing w:after="0"/>
        <w:rPr>
          <w:sz w:val="20"/>
          <w:szCs w:val="20"/>
          <w:color w:val="auto"/>
        </w:rPr>
      </w:pPr>
      <w:r>
        <w:rPr>
          <w:rFonts w:ascii="Arial" w:cs="Arial" w:eastAsia="Arial" w:hAnsi="Arial"/>
          <w:sz w:val="18"/>
          <w:szCs w:val="18"/>
          <w:u w:val="single" w:color="auto"/>
          <w:color w:val="0000FF"/>
        </w:rPr>
        <w:t>pursuant to 18 U.S.C. Section 1350.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Document—the</w:t>
      </w:r>
    </w:p>
    <w:p>
      <w:pPr>
        <w:spacing w:after="0" w:line="219" w:lineRule="auto"/>
        <w:rPr>
          <w:sz w:val="20"/>
          <w:szCs w:val="20"/>
          <w:color w:val="auto"/>
        </w:rPr>
      </w:pPr>
      <w:r>
        <w:rPr>
          <w:rFonts w:ascii="Arial" w:cs="Arial" w:eastAsia="Arial" w:hAnsi="Arial"/>
          <w:sz w:val="18"/>
          <w:szCs w:val="18"/>
          <w:color w:val="auto"/>
        </w:rPr>
        <w:t>instance document does not appear in the</w:t>
      </w:r>
    </w:p>
    <w:p>
      <w:pPr>
        <w:spacing w:after="0" w:line="203" w:lineRule="auto"/>
        <w:rPr>
          <w:sz w:val="20"/>
          <w:szCs w:val="20"/>
          <w:color w:val="auto"/>
        </w:rPr>
      </w:pPr>
      <w:r>
        <w:rPr>
          <w:rFonts w:ascii="Arial" w:cs="Arial" w:eastAsia="Arial" w:hAnsi="Arial"/>
          <w:sz w:val="18"/>
          <w:szCs w:val="18"/>
          <w:color w:val="auto"/>
        </w:rPr>
        <w:t>Interactive Data File because its XBRL tags</w:t>
      </w:r>
    </w:p>
    <w:p>
      <w:pPr>
        <w:spacing w:after="0" w:line="204" w:lineRule="auto"/>
        <w:rPr>
          <w:sz w:val="20"/>
          <w:szCs w:val="20"/>
          <w:color w:val="auto"/>
        </w:rPr>
      </w:pPr>
      <w:r>
        <w:rPr>
          <w:rFonts w:ascii="Arial" w:cs="Arial" w:eastAsia="Arial" w:hAnsi="Arial"/>
          <w:sz w:val="18"/>
          <w:szCs w:val="18"/>
          <w:color w:val="auto"/>
        </w:rPr>
        <w:t>are embedded within the Inline XBRL</w:t>
      </w:r>
    </w:p>
    <w:p>
      <w:pPr>
        <w:spacing w:after="0"/>
        <w:rPr>
          <w:sz w:val="20"/>
          <w:szCs w:val="20"/>
          <w:color w:val="auto"/>
        </w:rPr>
      </w:pPr>
      <w:r>
        <w:rPr>
          <w:rFonts w:ascii="Arial" w:cs="Arial" w:eastAsia="Arial" w:hAnsi="Arial"/>
          <w:sz w:val="18"/>
          <w:szCs w:val="18"/>
          <w:color w:val="auto"/>
        </w:rPr>
        <w:t>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w:t>
      </w:r>
    </w:p>
    <w:p>
      <w:pPr>
        <w:spacing w:after="0"/>
        <w:rPr>
          <w:sz w:val="20"/>
          <w:szCs w:val="20"/>
          <w:color w:val="auto"/>
        </w:rPr>
      </w:pPr>
      <w:r>
        <w:rPr>
          <w:rFonts w:ascii="Arial" w:cs="Arial" w:eastAsia="Arial" w:hAnsi="Arial"/>
          <w:sz w:val="18"/>
          <w:szCs w:val="18"/>
          <w:color w:val="auto"/>
        </w:rPr>
        <w:t>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w:t>
      </w:r>
    </w:p>
    <w:p>
      <w:pPr>
        <w:spacing w:after="0"/>
        <w:rPr>
          <w:sz w:val="20"/>
          <w:szCs w:val="20"/>
          <w:color w:val="auto"/>
        </w:rPr>
      </w:pPr>
      <w:r>
        <w:rPr>
          <w:rFonts w:ascii="Arial" w:cs="Arial" w:eastAsia="Arial" w:hAnsi="Arial"/>
          <w:sz w:val="18"/>
          <w:szCs w:val="18"/>
          <w:color w:val="auto"/>
        </w:rPr>
        <w:t>Calculation Linkbase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w:t>
      </w:r>
    </w:p>
    <w:p>
      <w:pPr>
        <w:spacing w:after="0"/>
        <w:rPr>
          <w:sz w:val="20"/>
          <w:szCs w:val="20"/>
          <w:color w:val="auto"/>
        </w:rPr>
      </w:pPr>
      <w:r>
        <w:rPr>
          <w:rFonts w:ascii="Arial" w:cs="Arial" w:eastAsia="Arial" w:hAnsi="Arial"/>
          <w:sz w:val="18"/>
          <w:szCs w:val="18"/>
          <w:color w:val="auto"/>
        </w:rPr>
        <w:t>Definition Linkbase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w:t>
      </w:r>
    </w:p>
    <w:p>
      <w:pPr>
        <w:spacing w:after="0"/>
        <w:rPr>
          <w:sz w:val="20"/>
          <w:szCs w:val="20"/>
          <w:color w:val="auto"/>
        </w:rPr>
      </w:pPr>
      <w:r>
        <w:rPr>
          <w:rFonts w:ascii="Arial" w:cs="Arial" w:eastAsia="Arial" w:hAnsi="Arial"/>
          <w:sz w:val="18"/>
          <w:szCs w:val="18"/>
          <w:color w:val="auto"/>
        </w:rPr>
        <w:t>Linkbase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w:t>
      </w:r>
    </w:p>
    <w:p>
      <w:pPr>
        <w:spacing w:after="0"/>
        <w:rPr>
          <w:sz w:val="20"/>
          <w:szCs w:val="20"/>
          <w:color w:val="auto"/>
        </w:rPr>
      </w:pPr>
      <w:r>
        <w:rPr>
          <w:rFonts w:ascii="Arial" w:cs="Arial" w:eastAsia="Arial" w:hAnsi="Arial"/>
          <w:sz w:val="18"/>
          <w:szCs w:val="18"/>
          <w:color w:val="auto"/>
        </w:rPr>
        <w:t>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1" w:lineRule="exact"/>
        <w:rPr>
          <w:sz w:val="20"/>
          <w:szCs w:val="20"/>
          <w:color w:val="auto"/>
        </w:rPr>
      </w:pPr>
    </w:p>
    <w:p>
      <w:pPr>
        <w:sectPr>
          <w:pgSz w:w="11900" w:h="16838" w:orient="portrait"/>
          <w:cols w:equalWidth="0" w:num="3">
            <w:col w:w="700" w:space="640"/>
            <w:col w:w="8200" w:space="480"/>
            <w:col w:w="1220"/>
          </w:cols>
          <w:pgMar w:left="320" w:top="121"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Cover Page Interactive Data File (formatted</w:t>
      </w:r>
    </w:p>
    <w:p>
      <w:pPr>
        <w:ind w:left="1340"/>
        <w:spacing w:after="0" w:line="219" w:lineRule="auto"/>
        <w:rPr>
          <w:sz w:val="20"/>
          <w:szCs w:val="20"/>
          <w:color w:val="auto"/>
        </w:rPr>
      </w:pPr>
      <w:r>
        <w:rPr>
          <w:rFonts w:ascii="Arial" w:cs="Arial" w:eastAsia="Arial" w:hAnsi="Arial"/>
          <w:sz w:val="18"/>
          <w:szCs w:val="18"/>
          <w:color w:val="auto"/>
        </w:rPr>
        <w:t>as Inline XBRL and contained in Exhibit</w:t>
      </w:r>
    </w:p>
    <w:p>
      <w:pPr>
        <w:ind w:left="2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101)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680" w:type="dxa"/>
            <w:vAlign w:val="bottom"/>
            <w:gridSpan w:val="2"/>
          </w:tcPr>
          <w:p>
            <w:pPr>
              <w:ind w:left="1900"/>
              <w:spacing w:after="0"/>
              <w:rPr>
                <w:sz w:val="20"/>
                <w:szCs w:val="20"/>
                <w:color w:val="auto"/>
              </w:rPr>
            </w:pPr>
            <w:r>
              <w:rPr>
                <w:rFonts w:ascii="Arial" w:cs="Arial" w:eastAsia="Arial" w:hAnsi="Arial"/>
                <w:sz w:val="18"/>
                <w:szCs w:val="18"/>
                <w:color w:val="auto"/>
              </w:rPr>
              <w:t>THE VITA COCO COMPANY, INC.</w:t>
            </w:r>
          </w:p>
        </w:tc>
      </w:tr>
      <w:tr>
        <w:trPr>
          <w:trHeight w:val="500"/>
        </w:trPr>
        <w:tc>
          <w:tcPr>
            <w:tcW w:w="3520" w:type="dxa"/>
            <w:vAlign w:val="bottom"/>
          </w:tcPr>
          <w:p>
            <w:pPr>
              <w:spacing w:after="0"/>
              <w:rPr>
                <w:sz w:val="20"/>
                <w:szCs w:val="20"/>
                <w:color w:val="auto"/>
              </w:rPr>
            </w:pPr>
            <w:r>
              <w:rPr>
                <w:rFonts w:ascii="Arial" w:cs="Arial" w:eastAsia="Arial" w:hAnsi="Arial"/>
                <w:sz w:val="18"/>
                <w:szCs w:val="18"/>
                <w:color w:val="auto"/>
              </w:rPr>
              <w:t>Date: August 11, 2022</w:t>
            </w:r>
          </w:p>
        </w:tc>
        <w:tc>
          <w:tcPr>
            <w:tcW w:w="2340" w:type="dxa"/>
            <w:vAlign w:val="bottom"/>
          </w:tcPr>
          <w:p>
            <w:pPr>
              <w:ind w:left="190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Martin Roper</w:t>
            </w:r>
          </w:p>
        </w:tc>
      </w:tr>
      <w:tr>
        <w:trPr>
          <w:trHeight w:val="218"/>
        </w:trPr>
        <w:tc>
          <w:tcPr>
            <w:tcW w:w="3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7"/>
              </w:rPr>
              <w:t>Martin Roper</w:t>
            </w:r>
          </w:p>
        </w:tc>
      </w:tr>
      <w:tr>
        <w:trPr>
          <w:trHeight w:val="234"/>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and Director</w:t>
            </w:r>
          </w:p>
        </w:tc>
      </w:tr>
      <w:tr>
        <w:trPr>
          <w:trHeight w:val="230"/>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99"/>
        </w:trPr>
        <w:tc>
          <w:tcPr>
            <w:tcW w:w="3520" w:type="dxa"/>
            <w:vAlign w:val="bottom"/>
          </w:tcPr>
          <w:p>
            <w:pPr>
              <w:spacing w:after="0"/>
              <w:rPr>
                <w:sz w:val="20"/>
                <w:szCs w:val="20"/>
                <w:color w:val="auto"/>
              </w:rPr>
            </w:pPr>
            <w:r>
              <w:rPr>
                <w:rFonts w:ascii="Arial" w:cs="Arial" w:eastAsia="Arial" w:hAnsi="Arial"/>
                <w:sz w:val="18"/>
                <w:szCs w:val="18"/>
                <w:color w:val="auto"/>
              </w:rPr>
              <w:t>Date: August 11, 2022</w:t>
            </w:r>
          </w:p>
        </w:tc>
        <w:tc>
          <w:tcPr>
            <w:tcW w:w="2340" w:type="dxa"/>
            <w:vAlign w:val="bottom"/>
          </w:tcPr>
          <w:p>
            <w:pPr>
              <w:ind w:left="190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Kevin Benmoussa</w:t>
            </w:r>
          </w:p>
        </w:tc>
      </w:tr>
      <w:tr>
        <w:trPr>
          <w:trHeight w:val="218"/>
        </w:trPr>
        <w:tc>
          <w:tcPr>
            <w:tcW w:w="3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8"/>
              </w:rPr>
              <w:t>Kevin Benmoussa</w:t>
            </w:r>
          </w:p>
        </w:tc>
      </w:tr>
      <w:tr>
        <w:trPr>
          <w:trHeight w:val="234"/>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ind w:left="6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Roper,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Vita Coco Company,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August 11, 2022</w:t>
            </w:r>
          </w:p>
        </w:tc>
        <w:tc>
          <w:tcPr>
            <w:tcW w:w="7700" w:type="dxa"/>
            <w:vAlign w:val="bottom"/>
            <w:gridSpan w:val="2"/>
          </w:tcPr>
          <w:p>
            <w:pPr>
              <w:ind w:left="1880"/>
              <w:spacing w:after="0"/>
              <w:rPr>
                <w:sz w:val="20"/>
                <w:szCs w:val="20"/>
                <w:color w:val="auto"/>
              </w:rPr>
            </w:pPr>
            <w:r>
              <w:rPr>
                <w:rFonts w:ascii="Arial" w:cs="Arial" w:eastAsia="Arial" w:hAnsi="Arial"/>
                <w:sz w:val="18"/>
                <w:szCs w:val="18"/>
                <w:color w:val="auto"/>
              </w:rPr>
              <w:t>By:  /s/ Martin Roper</w:t>
            </w:r>
          </w:p>
        </w:tc>
      </w:tr>
      <w:tr>
        <w:trPr>
          <w:trHeight w:val="222"/>
        </w:trPr>
        <w:tc>
          <w:tcPr>
            <w:tcW w:w="35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Martin Roper</w:t>
            </w:r>
          </w:p>
        </w:tc>
      </w:tr>
      <w:tr>
        <w:trPr>
          <w:trHeight w:val="230"/>
        </w:trPr>
        <w:tc>
          <w:tcPr>
            <w:tcW w:w="35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4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Kevin Benmoussa,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Vita Coco Company, Inc.;</w:t>
      </w:r>
    </w:p>
    <w:p>
      <w:pPr>
        <w:spacing w:after="0" w:line="225" w:lineRule="exact"/>
        <w:rPr>
          <w:rFonts w:ascii="Arial" w:cs="Arial" w:eastAsia="Arial" w:hAnsi="Arial"/>
          <w:sz w:val="18"/>
          <w:szCs w:val="18"/>
          <w:color w:val="auto"/>
        </w:rPr>
      </w:pPr>
    </w:p>
    <w:p>
      <w:pPr>
        <w:jc w:val="both"/>
        <w:ind w:left="660" w:right="10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980" w:right="40" w:hanging="324"/>
        <w:spacing w:after="0" w:line="263" w:lineRule="auto"/>
        <w:tabs>
          <w:tab w:leader="none" w:pos="9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980" w:right="520" w:hanging="324"/>
        <w:spacing w:after="0" w:line="342"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60" w:hanging="324"/>
        <w:spacing w:after="0" w:line="342"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Date: August 11, 2022</w:t>
            </w:r>
          </w:p>
        </w:tc>
        <w:tc>
          <w:tcPr>
            <w:tcW w:w="7700" w:type="dxa"/>
            <w:vAlign w:val="bottom"/>
            <w:gridSpan w:val="2"/>
          </w:tcPr>
          <w:p>
            <w:pPr>
              <w:ind w:left="1880"/>
              <w:spacing w:after="0"/>
              <w:rPr>
                <w:sz w:val="20"/>
                <w:szCs w:val="20"/>
                <w:color w:val="auto"/>
              </w:rPr>
            </w:pPr>
            <w:r>
              <w:rPr>
                <w:rFonts w:ascii="Arial" w:cs="Arial" w:eastAsia="Arial" w:hAnsi="Arial"/>
                <w:sz w:val="18"/>
                <w:szCs w:val="18"/>
                <w:color w:val="auto"/>
              </w:rPr>
              <w:t>By:  /s/ Kevin Benmoussa</w:t>
            </w:r>
          </w:p>
        </w:tc>
      </w:tr>
      <w:tr>
        <w:trPr>
          <w:trHeight w:val="222"/>
        </w:trPr>
        <w:tc>
          <w:tcPr>
            <w:tcW w:w="3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Kevin Benmoussa</w:t>
            </w:r>
          </w:p>
        </w:tc>
      </w:tr>
      <w:tr>
        <w:trPr>
          <w:trHeight w:val="230"/>
        </w:trPr>
        <w:tc>
          <w:tcPr>
            <w:tcW w:w="35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20"/>
          </w:cols>
          <w:pgMar w:left="320" w:top="1147"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280" w:firstLine="486"/>
        <w:spacing w:after="0" w:line="263" w:lineRule="auto"/>
        <w:rPr>
          <w:sz w:val="20"/>
          <w:szCs w:val="20"/>
          <w:color w:val="auto"/>
        </w:rPr>
      </w:pPr>
      <w:r>
        <w:rPr>
          <w:rFonts w:ascii="Arial" w:cs="Arial" w:eastAsia="Arial" w:hAnsi="Arial"/>
          <w:sz w:val="18"/>
          <w:szCs w:val="18"/>
          <w:color w:val="auto"/>
        </w:rPr>
        <w:t>In connection with the Quarterly Report on Form 10-Q of The Vita Coco Company, Inc. (the “Company”) for the period ended June 30, 2022 as filed with the Securities and Exchange Commission on the date hereof (the “Report”), I, Martin Roper, certify, pursuant to 18 U.S.C. § 1350, as adopted pursuant to § 906 of the Sarbanes-Oxley Act of 2002, that, to the best of my knowledge:</w:t>
      </w:r>
    </w:p>
    <w:p>
      <w:pPr>
        <w:spacing w:after="0" w:line="184"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August 11,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Martin Roper</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Martin Roper</w:t>
            </w:r>
          </w:p>
        </w:tc>
      </w:tr>
      <w:tr>
        <w:trPr>
          <w:trHeight w:val="229"/>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4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Quarterly Report on Form 10-Q of The Vita Coco Company, Inc. (the “Company”) for the period ended June 30, 2022 as filed with the Securities and Exchange Commission on the date hereof (the “Report”), I, Kevin Benmoussa, certify, pursuant to 18 U.S.C. § 1350, as adopted pursuant to § 906 of the Sarbanes-Oxley Act of 2002, that, to the best of my knowledge:</w:t>
      </w:r>
    </w:p>
    <w:p>
      <w:pPr>
        <w:spacing w:after="0" w:line="184"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August 11,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Kevin Benmoussa</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Kevin Benmoussa</w:t>
            </w:r>
          </w:p>
        </w:tc>
      </w:tr>
      <w:tr>
        <w:trPr>
          <w:trHeight w:val="229"/>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3"/>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lvl w:ilvl="1">
      <w:lvlJc w:val="left"/>
      <w:lvlText w:val="(%2)"/>
      <w:numFmt w:val="decimal"/>
      <w:start w:val="1"/>
    </w:lvl>
  </w:abstractNum>
  <w:abstractNum w:abstractNumId="14">
    <w:nsid w:val="62BBD95A"/>
    <w:multiLevelType w:val="hybridMultilevel"/>
    <w:lvl w:ilvl="0">
      <w:lvlJc w:val="left"/>
      <w:lvlText w:val="%1."/>
      <w:numFmt w:val="decimal"/>
      <w:start w:val="14"/>
    </w:lvl>
    <w:lvl w:ilvl="1">
      <w:lvlJc w:val="left"/>
      <w:lvlText w:val="%2"/>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58" Type="http://schemas.openxmlformats.org/officeDocument/2006/relationships/hyperlink" Target="https://www.sec.gov/Archives/edgar/data/0001482981/000119312521306737/d222890dex31.htm" TargetMode="External"/><Relationship Id="rId59" Type="http://schemas.openxmlformats.org/officeDocument/2006/relationships/hyperlink" Target="https://www.sec.gov/Archives/edgar/data/0001482981/000119312521306737/d222890dex32.htm" TargetMode="External"/><Relationship Id="rId60" Type="http://schemas.openxmlformats.org/officeDocument/2006/relationships/hyperlink" Target="https://www.sec.gov/Archives/edgar/data/0001482981/000119312521284306/d197386dex41.htm" TargetMode="External"/><Relationship Id="rId61" Type="http://schemas.openxmlformats.org/officeDocument/2006/relationships/hyperlink" Target="https://www.sec.gov/Archives/edgar/data/0001482981/000119312521306737/d222890dex101.htm" TargetMode="External"/><Relationship Id="rId62" Type="http://schemas.openxmlformats.org/officeDocument/2006/relationships/hyperlink" Target="https://www.sec.gov/Archives/edgar/data/0001482981/000119312521306737/d22289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2022-08-11T16:20:48Z</dcterms:created>
  <dcterms:modified xsi:type="dcterms:W3CDTF">2022-08-11T16:20:48Z</dcterms:modified>
</cp:coreProperties>
</file>