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3,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The Vita Coco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001-40950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11-3713156</w:t>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111 Fifth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10003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include area code) (212) 206-0763</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08" w:type="dxa"/>
        <w:jc w:val="left"/>
        <w:tblInd w:w="0" w:type="dxa"/>
        <w:tblLayout w:type="fixed"/>
        <w:tblCellMar>
          <w:top w:w="28" w:type="dxa"/>
          <w:left w:w="28" w:type="dxa"/>
          <w:bottom w:w="28" w:type="dxa"/>
          <w:right w:w="28" w:type="dxa"/>
        </w:tblCellMar>
      </w:tblPr>
      <w:tblGrid>
        <w:gridCol w:w="1323"/>
        <w:gridCol w:w="1160"/>
        <w:gridCol w:w="1176"/>
        <w:gridCol w:w="109"/>
        <w:gridCol w:w="109"/>
        <w:gridCol w:w="109"/>
        <w:gridCol w:w="235"/>
        <w:gridCol w:w="235"/>
        <w:gridCol w:w="236"/>
        <w:gridCol w:w="109"/>
        <w:gridCol w:w="109"/>
        <w:gridCol w:w="109"/>
        <w:gridCol w:w="816"/>
        <w:gridCol w:w="816"/>
        <w:gridCol w:w="1157"/>
      </w:tblGrid>
      <w:tr>
        <w:trPr/>
        <w:tc>
          <w:tcPr>
            <w:tcW w:w="13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COCO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360" w:after="283"/>
        <w:jc w:val="left"/>
        <w:rPr/>
      </w:pPr>
      <w:r>
        <w:rPr/>
      </w:r>
    </w:p>
    <w:p>
      <w:pPr>
        <w:pStyle w:val="TextBody"/>
        <w:bidi w:val="0"/>
        <w:spacing w:lineRule="auto" w:line="268" w:before="0" w:after="0"/>
        <w:jc w:val="left"/>
        <w:rPr/>
      </w:pPr>
      <w:r>
        <w:rPr>
          <w:rFonts w:ascii="Times New Roman;serif" w:hAnsi="Times New Roman;serif"/>
          <w:b w:val="false"/>
          <w:color w:val="000000"/>
          <w:sz w:val="20"/>
        </w:rPr>
        <w:t>On June 3, 2026,</w:t>
      </w:r>
      <w:r>
        <w:rPr>
          <w:color w:val="000000"/>
          <w:shd w:fill="FFFFFF" w:val="clear"/>
        </w:rPr>
        <w:t xml:space="preserve"> </w:t>
      </w:r>
      <w:r>
        <w:rPr>
          <w:rFonts w:ascii="Times New Roman;serif" w:hAnsi="Times New Roman;serif"/>
          <w:b w:val="false"/>
          <w:color w:val="000000"/>
          <w:sz w:val="20"/>
          <w:shd w:fill="FFFFFF" w:val="clear"/>
        </w:rPr>
        <w:t xml:space="preserve">The Vita Coco Company, Inc. (the “Company”) held its Annual Meeting of Stockholders. Holders of the Company’s common stock were entitled to one vote per share held as of the close of business on </w:t>
      </w:r>
      <w:r>
        <w:rPr>
          <w:rFonts w:ascii="Times New Roman;serif" w:hAnsi="Times New Roman;serif"/>
          <w:b w:val="false"/>
          <w:color w:val="000000"/>
          <w:sz w:val="20"/>
        </w:rPr>
        <w:t>April 7, 2026</w:t>
      </w:r>
      <w:r>
        <w:rPr>
          <w:color w:val="000000"/>
          <w:shd w:fill="FFFFFF" w:val="clear"/>
        </w:rPr>
        <w:t xml:space="preserve"> </w:t>
      </w:r>
      <w:r>
        <w:rPr>
          <w:rFonts w:ascii="Times New Roman;serif" w:hAnsi="Times New Roman;serif"/>
          <w:b w:val="false"/>
          <w:color w:val="000000"/>
          <w:sz w:val="20"/>
          <w:shd w:fill="FFFFFF" w:val="clear"/>
        </w:rPr>
        <w:t xml:space="preserve">(the “Record Date”). A total of </w:t>
      </w:r>
      <w:r>
        <w:rPr>
          <w:rFonts w:ascii="Times New Roman;serif" w:hAnsi="Times New Roman;serif"/>
          <w:b w:val="false"/>
          <w:color w:val="000000"/>
          <w:sz w:val="20"/>
        </w:rPr>
        <w:t xml:space="preserve">50,426,796 </w:t>
      </w:r>
      <w:r>
        <w:rPr>
          <w:rFonts w:ascii="Times New Roman;serif" w:hAnsi="Times New Roman;serif"/>
          <w:b w:val="false"/>
          <w:color w:val="000000"/>
          <w:sz w:val="20"/>
          <w:shd w:fill="FFFFFF" w:val="clear"/>
        </w:rPr>
        <w:t xml:space="preserve">shares of the Company’s common stock were present in person or represented by proxy at the meeting, representing approximately 88.49 percent of the voting power of the Company’s common stock as of the Record Date.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are the voting results for the proposals considered and voted upon at the meeting, each of which were described in the Company’s Definitive Proxy Statement, filed with the Securities and Exchange Commission on April 22,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Item 1 – Election of three Class II directors for a term of office expiring on the date of the annual meeting of stockholders in 2029 and until their respective successors have been duly elected and qualified.</w:t>
      </w:r>
    </w:p>
    <w:p>
      <w:pPr>
        <w:pStyle w:val="TextBody"/>
        <w:bidi w:val="0"/>
        <w:spacing w:before="0" w:after="0"/>
        <w:jc w:val="left"/>
        <w:rPr/>
      </w:pPr>
      <w:r>
        <w:rPr/>
      </w:r>
    </w:p>
    <w:tbl>
      <w:tblPr>
        <w:tblW w:w="5791" w:type="dxa"/>
        <w:jc w:val="left"/>
        <w:tblInd w:w="0" w:type="dxa"/>
        <w:tblLayout w:type="fixed"/>
        <w:tblCellMar>
          <w:top w:w="28" w:type="dxa"/>
          <w:left w:w="28" w:type="dxa"/>
          <w:bottom w:w="28" w:type="dxa"/>
          <w:right w:w="28" w:type="dxa"/>
        </w:tblCellMar>
      </w:tblPr>
      <w:tblGrid>
        <w:gridCol w:w="607"/>
        <w:gridCol w:w="535"/>
        <w:gridCol w:w="537"/>
        <w:gridCol w:w="344"/>
        <w:gridCol w:w="344"/>
        <w:gridCol w:w="348"/>
        <w:gridCol w:w="370"/>
        <w:gridCol w:w="370"/>
        <w:gridCol w:w="371"/>
        <w:gridCol w:w="574"/>
        <w:gridCol w:w="574"/>
        <w:gridCol w:w="817"/>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FOR</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WITHHELD</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w:t>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Shelley Broader</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46,642,326</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90,044</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3,694,426</w:t>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Michael Kirban</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43,819,117</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2,913,253</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3,694,426</w:t>
            </w:r>
          </w:p>
        </w:tc>
      </w:tr>
      <w:tr>
        <w:trPr/>
        <w:tc>
          <w:tcPr>
            <w:tcW w:w="167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Kenneth Sadowsky</w:t>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37,756,765</w:t>
            </w:r>
          </w:p>
        </w:tc>
        <w:tc>
          <w:tcPr>
            <w:tcW w:w="111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8,975,605</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3,694,426</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Item 2 – Ratification of the appointment of Deloitte &amp; Touche LLP as the Company’s independent registered public accounting firm for the fiscal year ending December 31, 2026.</w:t>
      </w:r>
    </w:p>
    <w:p>
      <w:pPr>
        <w:pStyle w:val="TextBody"/>
        <w:bidi w:val="0"/>
        <w:spacing w:before="0" w:after="0"/>
        <w:jc w:val="left"/>
        <w:rPr/>
      </w:pPr>
      <w:r>
        <w:rPr/>
      </w:r>
    </w:p>
    <w:tbl>
      <w:tblPr>
        <w:tblW w:w="4230" w:type="dxa"/>
        <w:jc w:val="left"/>
        <w:tblInd w:w="0" w:type="dxa"/>
        <w:tblLayout w:type="fixed"/>
        <w:tblCellMar>
          <w:top w:w="28" w:type="dxa"/>
          <w:left w:w="28" w:type="dxa"/>
          <w:bottom w:w="28" w:type="dxa"/>
          <w:right w:w="28" w:type="dxa"/>
        </w:tblCellMar>
      </w:tblPr>
      <w:tblGrid>
        <w:gridCol w:w="380"/>
        <w:gridCol w:w="333"/>
        <w:gridCol w:w="338"/>
        <w:gridCol w:w="479"/>
        <w:gridCol w:w="479"/>
        <w:gridCol w:w="481"/>
        <w:gridCol w:w="509"/>
        <w:gridCol w:w="509"/>
        <w:gridCol w:w="722"/>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FOR</w:t>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AGAINST</w:t>
            </w:r>
          </w:p>
        </w:tc>
        <w:tc>
          <w:tcPr>
            <w:tcW w:w="17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ABSTAINED</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50,014,018</w:t>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401,208</w:t>
            </w:r>
          </w:p>
        </w:tc>
        <w:tc>
          <w:tcPr>
            <w:tcW w:w="1740"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11,570</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broker non-votes with respect to this proposal.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Item 3 – Advisory vote on executive compensation.</w:t>
      </w:r>
    </w:p>
    <w:p>
      <w:pPr>
        <w:pStyle w:val="TextBody"/>
        <w:bidi w:val="0"/>
        <w:spacing w:before="0" w:after="0"/>
        <w:jc w:val="left"/>
        <w:rPr/>
      </w:pPr>
      <w:r>
        <w:rPr/>
      </w:r>
    </w:p>
    <w:tbl>
      <w:tblPr>
        <w:tblW w:w="6149" w:type="dxa"/>
        <w:jc w:val="left"/>
        <w:tblInd w:w="0" w:type="dxa"/>
        <w:tblLayout w:type="fixed"/>
        <w:tblCellMar>
          <w:top w:w="28" w:type="dxa"/>
          <w:left w:w="28" w:type="dxa"/>
          <w:bottom w:w="28" w:type="dxa"/>
          <w:right w:w="28" w:type="dxa"/>
        </w:tblCellMar>
      </w:tblPr>
      <w:tblGrid>
        <w:gridCol w:w="380"/>
        <w:gridCol w:w="333"/>
        <w:gridCol w:w="338"/>
        <w:gridCol w:w="479"/>
        <w:gridCol w:w="479"/>
        <w:gridCol w:w="481"/>
        <w:gridCol w:w="564"/>
        <w:gridCol w:w="564"/>
        <w:gridCol w:w="566"/>
        <w:gridCol w:w="574"/>
        <w:gridCol w:w="574"/>
        <w:gridCol w:w="817"/>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FOR</w:t>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AGAINST</w:t>
            </w:r>
          </w:p>
        </w:tc>
        <w:tc>
          <w:tcPr>
            <w:tcW w:w="169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Votes ABSTAINED</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BROKER NON-VOTE</w:t>
            </w:r>
          </w:p>
        </w:tc>
      </w:tr>
      <w:tr>
        <w:trPr/>
        <w:tc>
          <w:tcPr>
            <w:tcW w:w="1051"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44,532,948</w:t>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2,168,378</w:t>
            </w:r>
          </w:p>
        </w:tc>
        <w:tc>
          <w:tcPr>
            <w:tcW w:w="169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31,044</w:t>
            </w:r>
          </w:p>
        </w:tc>
        <w:tc>
          <w:tcPr>
            <w:tcW w:w="196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3,694,426</w:t>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Based on the foregoing votes, </w:t>
      </w:r>
      <w:r>
        <w:rPr>
          <w:rFonts w:ascii="Times New Roman;serif" w:hAnsi="Times New Roman;serif"/>
          <w:b w:val="false"/>
          <w:color w:val="000000"/>
          <w:sz w:val="20"/>
        </w:rPr>
        <w:t>Shelley Broader, Michael Kirban and Kenneth Sadowsky</w:t>
      </w:r>
      <w:r>
        <w:rPr>
          <w:color w:val="000000"/>
          <w:shd w:fill="FFFFFF" w:val="clear"/>
        </w:rPr>
        <w:t xml:space="preserve"> </w:t>
      </w:r>
      <w:r>
        <w:rPr>
          <w:rFonts w:ascii="Times New Roman;serif" w:hAnsi="Times New Roman;serif"/>
          <w:b w:val="false"/>
          <w:color w:val="000000"/>
          <w:sz w:val="20"/>
          <w:shd w:fill="FFFFFF" w:val="clear"/>
        </w:rPr>
        <w:t xml:space="preserve">were elected and Items 2 and 3 were approved.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052" w:type="dxa"/>
        <w:jc w:val="left"/>
        <w:tblInd w:w="0" w:type="dxa"/>
        <w:tblLayout w:type="fixed"/>
        <w:tblCellMar>
          <w:top w:w="28" w:type="dxa"/>
          <w:left w:w="28" w:type="dxa"/>
          <w:bottom w:w="28" w:type="dxa"/>
          <w:right w:w="28" w:type="dxa"/>
        </w:tblCellMar>
      </w:tblPr>
      <w:tblGrid>
        <w:gridCol w:w="591"/>
        <w:gridCol w:w="520"/>
        <w:gridCol w:w="523"/>
        <w:gridCol w:w="478"/>
        <w:gridCol w:w="478"/>
        <w:gridCol w:w="478"/>
        <w:gridCol w:w="871"/>
        <w:gridCol w:w="871"/>
        <w:gridCol w:w="124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41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VITA COCO COMPANY, INC.</w:t>
            </w:r>
          </w:p>
        </w:tc>
      </w:tr>
      <w:tr>
        <w:trPr/>
        <w:tc>
          <w:tcPr>
            <w:tcW w:w="16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8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June 4, 2026</w:t>
            </w:r>
          </w:p>
        </w:tc>
        <w:tc>
          <w:tcPr>
            <w:tcW w:w="1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Alison Klein</w:t>
            </w:r>
          </w:p>
        </w:tc>
      </w:tr>
      <w:tr>
        <w:trPr/>
        <w:tc>
          <w:tcPr>
            <w:tcW w:w="16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Alison Klein</w:t>
            </w:r>
          </w:p>
        </w:tc>
      </w:tr>
      <w:tr>
        <w:trPr/>
        <w:tc>
          <w:tcPr>
            <w:tcW w:w="16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General Counsel &amp;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3545</Characters>
  <CharactersWithSpaces>4094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