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76" w:before="0" w:after="333"/>
        <w:rPr/>
      </w:pPr>
      <w:hyperlink w:anchor="i78118c72a6ae46f0adba80439a321894_7">
        <w:r>
          <w:rPr>
            <w:rStyle w:val="InternetLink"/>
            <w:rFonts w:ascii="Times New Roman;sans-serif" w:hAnsi="Times New Roman;sans-serif"/>
            <w:b/>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16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(Mark One) </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QUARTERLY REPORT PURSUANT TO SECTION 13 OR 15(d) OF THE SECURITIES EXCHANGE ACT OF 1934 </w:t>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2022</w:t>
      </w:r>
    </w:p>
    <w:p>
      <w:pPr>
        <w:pStyle w:val="TextBody"/>
        <w:spacing w:lineRule="auto" w:line="288" w:before="240" w:after="283"/>
        <w:jc w:val="center"/>
        <w:rPr/>
      </w:pPr>
      <w:r>
        <w:rPr>
          <w:rFonts w:ascii="Times New Roman;sans-serif" w:hAnsi="Times New Roman;sans-serif"/>
          <w:b/>
          <w:color w:val="000000"/>
          <w:sz w:val="20"/>
        </w:rPr>
        <w:t>OR</w:t>
      </w:r>
      <w:r>
        <w:rPr>
          <w:color w:val="000000"/>
        </w:rPr>
        <w:t xml:space="preserve"> </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TRANSITION REPORT PURSUANT TO SECTION 13 OR 15(d) OF THE SECURITIES EXCHANGE ACT OF 1934 </w:t>
            </w:r>
          </w:p>
        </w:tc>
      </w:tr>
    </w:tbl>
    <w:p>
      <w:pPr>
        <w:pStyle w:val="TextBody"/>
        <w:spacing w:lineRule="auto" w:line="288" w:before="240" w:after="283"/>
        <w:jc w:val="center"/>
        <w:rPr/>
      </w:pPr>
      <w:r>
        <w:rPr>
          <w:rFonts w:ascii="Times New Roman;sans-serif" w:hAnsi="Times New Roman;sans-serif"/>
          <w:b/>
          <w:color w:val="000000"/>
          <w:sz w:val="20"/>
        </w:rPr>
        <w:t xml:space="preserve">For the transition period from </w:t>
      </w:r>
      <w:r>
        <w:rPr>
          <w:rFonts w:ascii="Times New Roman;sans-serif" w:hAnsi="Times New Roman;sans-serif"/>
          <w:b w:val="false"/>
          <w:color w:val="000000"/>
          <w:sz w:val="20"/>
        </w:rPr>
        <w:t xml:space="preserve">____________ </w:t>
      </w:r>
      <w:r>
        <w:rPr>
          <w:rFonts w:ascii="Times New Roman;sans-serif" w:hAnsi="Times New Roman;sans-serif"/>
          <w:b/>
          <w:color w:val="000000"/>
          <w:sz w:val="20"/>
        </w:rPr>
        <w:t xml:space="preserve">to </w:t>
      </w:r>
      <w:r>
        <w:rPr>
          <w:rFonts w:ascii="Times New Roman;sans-serif" w:hAnsi="Times New Roman;sans-serif"/>
          <w:b w:val="false"/>
          <w:color w:val="000000"/>
          <w:sz w:val="20"/>
        </w:rPr>
        <w:t>____________</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001-40950</w:t>
      </w:r>
    </w:p>
    <w:p>
      <w:pPr>
        <w:pStyle w:val="TextBody"/>
        <w:spacing w:lineRule="auto" w:line="288" w:before="16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spacing w:lineRule="auto" w:line="288" w:before="160" w:after="283"/>
        <w:jc w:val="center"/>
        <w:rPr>
          <w:rFonts w:ascii="Times New Roman;sans-serif" w:hAnsi="Times New Roman;sans-serif"/>
          <w:b/>
          <w:color w:val="000000"/>
          <w:sz w:val="48"/>
        </w:rPr>
      </w:pPr>
      <w:r>
        <w:rPr>
          <w:rFonts w:ascii="Times New Roman;sans-serif" w:hAnsi="Times New Roman;sans-serif"/>
          <w:b/>
          <w:color w:val="000000"/>
          <w:sz w:val="48"/>
        </w:rPr>
        <w:t>The Vita Coco Company,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w:t>
      </w:r>
    </w:p>
    <w:tbl>
      <w:tblPr>
        <w:tblW w:w="4736" w:type="dxa"/>
        <w:jc w:val="left"/>
        <w:tblInd w:w="0" w:type="dxa"/>
        <w:tblCellMar>
          <w:top w:w="28" w:type="dxa"/>
          <w:left w:w="28" w:type="dxa"/>
          <w:bottom w:w="28" w:type="dxa"/>
          <w:right w:w="28" w:type="dxa"/>
        </w:tblCellMar>
      </w:tblPr>
      <w:tblGrid>
        <w:gridCol w:w="1058"/>
        <w:gridCol w:w="927"/>
        <w:gridCol w:w="940"/>
        <w:gridCol w:w="109"/>
        <w:gridCol w:w="109"/>
        <w:gridCol w:w="109"/>
        <w:gridCol w:w="433"/>
        <w:gridCol w:w="433"/>
        <w:gridCol w:w="618"/>
      </w:tblGrid>
      <w:tr>
        <w:trPr/>
        <w:tc>
          <w:tcPr>
            <w:tcW w:w="1058"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11-3713156</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250 Park Avenue South</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Seventh Floor</w:t>
            </w:r>
          </w:p>
          <w:p>
            <w:pPr>
              <w:pStyle w:val="TableContents"/>
              <w:spacing w:lineRule="auto" w:line="276" w:before="0" w:after="2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10003</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(212) 206-0763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former address and former fiscal year, if changed since last report) </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17" w:type="dxa"/>
        <w:jc w:val="left"/>
        <w:tblInd w:w="0" w:type="dxa"/>
        <w:tblCellMar>
          <w:top w:w="28" w:type="dxa"/>
          <w:left w:w="28" w:type="dxa"/>
          <w:bottom w:w="28" w:type="dxa"/>
          <w:right w:w="28" w:type="dxa"/>
        </w:tblCellMar>
      </w:tblPr>
      <w:tblGrid>
        <w:gridCol w:w="1356"/>
        <w:gridCol w:w="1189"/>
        <w:gridCol w:w="1205"/>
        <w:gridCol w:w="109"/>
        <w:gridCol w:w="109"/>
        <w:gridCol w:w="109"/>
        <w:gridCol w:w="274"/>
        <w:gridCol w:w="274"/>
        <w:gridCol w:w="276"/>
        <w:gridCol w:w="109"/>
        <w:gridCol w:w="109"/>
        <w:gridCol w:w="109"/>
        <w:gridCol w:w="816"/>
        <w:gridCol w:w="816"/>
        <w:gridCol w:w="1157"/>
      </w:tblGrid>
      <w:tr>
        <w:trPr/>
        <w:tc>
          <w:tcPr>
            <w:tcW w:w="1356"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7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spacing w:lineRule="auto" w:line="288" w:before="240" w:after="283"/>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240" w:after="283"/>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spacing w:lineRule="auto" w:line="288" w:before="240" w:after="283"/>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xml:space="preserve"> </w:t>
      </w:r>
    </w:p>
    <w:tbl>
      <w:tblPr>
        <w:tblW w:w="5334" w:type="dxa"/>
        <w:jc w:val="left"/>
        <w:tblInd w:w="0" w:type="dxa"/>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240" w:after="283"/>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240" w:after="283"/>
        <w:rPr/>
      </w:pPr>
      <w:r>
        <w:rPr>
          <w:rFonts w:ascii="Times New Roman;sans-serif" w:hAnsi="Times New Roman;sans-serif"/>
          <w:b w:val="false"/>
          <w:color w:val="000000"/>
          <w:sz w:val="20"/>
        </w:rPr>
        <w:t>As of May 9, 2022, there were 55,595,663 shares of the registrant’s common stock, par value $0.01 per share, outstanding.</w:t>
      </w:r>
      <w:r>
        <w:rPr>
          <w:color w:val="000000"/>
        </w:rPr>
        <w:t xml:space="preserve">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76" w:before="0" w:after="333"/>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517"/>
        <w:gridCol w:w="455"/>
        <w:gridCol w:w="455"/>
        <w:gridCol w:w="2853"/>
        <w:gridCol w:w="2726"/>
        <w:gridCol w:w="2686"/>
        <w:gridCol w:w="149"/>
        <w:gridCol w:w="149"/>
        <w:gridCol w:w="215"/>
      </w:tblGrid>
      <w:tr>
        <w:trPr/>
        <w:tc>
          <w:tcPr>
            <w:tcW w:w="51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2853" w:type="dxa"/>
            <w:tcBorders/>
            <w:shd w:fill="auto" w:val="clear"/>
            <w:vAlign w:val="center"/>
          </w:tcPr>
          <w:p>
            <w:pPr>
              <w:pStyle w:val="TableContents"/>
              <w:spacing w:before="0" w:after="283"/>
              <w:rPr>
                <w:sz w:val="4"/>
                <w:szCs w:val="4"/>
              </w:rPr>
            </w:pPr>
            <w:r>
              <w:rPr>
                <w:sz w:val="4"/>
                <w:szCs w:val="4"/>
              </w:rPr>
            </w:r>
          </w:p>
        </w:tc>
        <w:tc>
          <w:tcPr>
            <w:tcW w:w="2726" w:type="dxa"/>
            <w:tcBorders/>
            <w:shd w:fill="auto" w:val="clear"/>
            <w:vAlign w:val="center"/>
          </w:tcPr>
          <w:p>
            <w:pPr>
              <w:pStyle w:val="TableContents"/>
              <w:spacing w:before="0" w:after="283"/>
              <w:rPr>
                <w:sz w:val="4"/>
                <w:szCs w:val="4"/>
              </w:rPr>
            </w:pPr>
            <w:r>
              <w:rPr>
                <w:sz w:val="4"/>
                <w:szCs w:val="4"/>
              </w:rPr>
            </w:r>
          </w:p>
        </w:tc>
        <w:tc>
          <w:tcPr>
            <w:tcW w:w="268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1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6"/>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78118c72a6ae46f0adba80439a321894_16">
              <w:r>
                <w:rPr>
                  <w:rStyle w:val="InternetLink"/>
                </w:rPr>
                <w:t xml:space="preserve">PART I </w:t>
              </w:r>
            </w:hyperlink>
            <w:hyperlink w:anchor="i78118c72a6ae46f0adba80439a321894_16">
              <w:r>
                <w:rPr>
                  <w:rStyle w:val="InternetLink"/>
                </w:rPr>
                <w:t xml:space="preserve">- </w:t>
              </w:r>
            </w:hyperlink>
            <w:hyperlink w:anchor="i78118c72a6ae46f0adba80439a321894_16">
              <w:r>
                <w:rPr>
                  <w:rStyle w:val="InternetLink"/>
                </w:rPr>
                <w:t xml:space="preserve">FINANCIAL INFORMATION </w:t>
              </w:r>
            </w:hyperlink>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78118c72a6ae46f0adba80439a321894_19">
              <w:r>
                <w:rPr>
                  <w:rStyle w:val="InternetLink"/>
                  <w:rFonts w:ascii="Times New Roman;sans-serif" w:hAnsi="Times New Roman;sans-serif"/>
                  <w:b w:val="false"/>
                  <w:strike w:val="false"/>
                  <w:dstrike w:val="false"/>
                  <w:color w:val="000000"/>
                  <w:sz w:val="20"/>
                  <w:u w:val="none"/>
                  <w:effect w:val="none"/>
                </w:rPr>
                <w:t>Item 1.</w:t>
              </w:r>
            </w:hyperlink>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19">
              <w:r>
                <w:rPr>
                  <w:rStyle w:val="InternetLink"/>
                  <w:rFonts w:ascii="Times New Roman;sans-serif" w:hAnsi="Times New Roman;sans-serif"/>
                  <w:b w:val="false"/>
                  <w:color w:val="0000FF"/>
                  <w:sz w:val="20"/>
                  <w:u w:val="single"/>
                </w:rPr>
                <w:t>Condensed Consolidated Financial Statements (unaudited)</w:t>
              </w:r>
            </w:hyperlink>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22">
              <w:r>
                <w:rPr>
                  <w:rStyle w:val="InternetLink"/>
                </w:rPr>
                <w:t xml:space="preserve">Condensed Consolidated Balance Sheets as of </w:t>
              </w:r>
            </w:hyperlink>
            <w:hyperlink w:anchor="i78118c72a6ae46f0adba80439a321894_22">
              <w:r>
                <w:rPr>
                  <w:rStyle w:val="InternetLink"/>
                </w:rPr>
                <w:t>March 31</w:t>
              </w:r>
            </w:hyperlink>
            <w:hyperlink w:anchor="i78118c72a6ae46f0adba80439a321894_22">
              <w:r>
                <w:rPr>
                  <w:rStyle w:val="InternetLink"/>
                </w:rPr>
                <w:t>, 202</w:t>
              </w:r>
            </w:hyperlink>
            <w:hyperlink w:anchor="i78118c72a6ae46f0adba80439a321894_22">
              <w:r>
                <w:rPr>
                  <w:rStyle w:val="InternetLink"/>
                </w:rPr>
                <w:t>2</w:t>
              </w:r>
            </w:hyperlink>
            <w:hyperlink w:anchor="i78118c72a6ae46f0adba80439a321894_22">
              <w:r>
                <w:rPr>
                  <w:rStyle w:val="InternetLink"/>
                </w:rPr>
                <w:t xml:space="preserve"> and December 31, 202</w:t>
              </w:r>
            </w:hyperlink>
            <w:hyperlink w:anchor="i78118c72a6ae46f0adba80439a321894_22">
              <w:r>
                <w:rPr>
                  <w:rStyle w:val="InternetLink"/>
                </w:rPr>
                <w:t>1</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22">
              <w:r>
                <w:rPr>
                  <w:rStyle w:val="InternetLink"/>
                  <w:rFonts w:ascii="Times New Roman;sans-serif" w:hAnsi="Times New Roman;sans-serif"/>
                  <w:b w:val="false"/>
                  <w:strike w:val="false"/>
                  <w:dstrike w:val="false"/>
                  <w:color w:val="000000"/>
                  <w:sz w:val="20"/>
                  <w:u w:val="none"/>
                  <w:effect w:val="none"/>
                </w:rPr>
                <w:t>2</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25">
              <w:r>
                <w:rPr>
                  <w:rStyle w:val="InternetLink"/>
                </w:rPr>
                <w:t xml:space="preserve">Condensed Consolidated Statements of Operations for the three </w:t>
              </w:r>
            </w:hyperlink>
            <w:hyperlink w:anchor="i78118c72a6ae46f0adba80439a321894_25">
              <w:r>
                <w:rPr>
                  <w:rStyle w:val="InternetLink"/>
                </w:rPr>
                <w:t xml:space="preserve">months ended </w:t>
              </w:r>
            </w:hyperlink>
            <w:hyperlink w:anchor="i78118c72a6ae46f0adba80439a321894_25">
              <w:r>
                <w:rPr>
                  <w:rStyle w:val="InternetLink"/>
                </w:rPr>
                <w:t>March</w:t>
              </w:r>
            </w:hyperlink>
            <w:hyperlink w:anchor="i78118c72a6ae46f0adba80439a321894_25">
              <w:r>
                <w:rPr>
                  <w:rStyle w:val="InternetLink"/>
                </w:rPr>
                <w:t xml:space="preserve"> 3</w:t>
              </w:r>
            </w:hyperlink>
            <w:hyperlink w:anchor="i78118c72a6ae46f0adba80439a321894_25">
              <w:r>
                <w:rPr>
                  <w:rStyle w:val="InternetLink"/>
                </w:rPr>
                <w:t>1</w:t>
              </w:r>
            </w:hyperlink>
            <w:hyperlink w:anchor="i78118c72a6ae46f0adba80439a321894_25">
              <w:r>
                <w:rPr>
                  <w:rStyle w:val="InternetLink"/>
                </w:rPr>
                <w:t>, 202</w:t>
              </w:r>
            </w:hyperlink>
            <w:hyperlink w:anchor="i78118c72a6ae46f0adba80439a321894_25">
              <w:r>
                <w:rPr>
                  <w:rStyle w:val="InternetLink"/>
                </w:rPr>
                <w:t>2</w:t>
              </w:r>
            </w:hyperlink>
            <w:hyperlink w:anchor="i78118c72a6ae46f0adba80439a321894_25">
              <w:r>
                <w:rPr>
                  <w:rStyle w:val="InternetLink"/>
                </w:rPr>
                <w:t xml:space="preserve"> and 202</w:t>
              </w:r>
            </w:hyperlink>
            <w:hyperlink w:anchor="i78118c72a6ae46f0adba80439a321894_25">
              <w:r>
                <w:rPr>
                  <w:rStyle w:val="InternetLink"/>
                </w:rPr>
                <w:t>1</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25">
              <w:r>
                <w:rPr>
                  <w:rStyle w:val="InternetLink"/>
                  <w:rFonts w:ascii="Times New Roman;sans-serif" w:hAnsi="Times New Roman;sans-serif"/>
                  <w:b w:val="false"/>
                  <w:strike w:val="false"/>
                  <w:dstrike w:val="false"/>
                  <w:color w:val="000000"/>
                  <w:sz w:val="20"/>
                  <w:u w:val="none"/>
                  <w:effect w:val="none"/>
                </w:rPr>
                <w:t>3</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28">
              <w:r>
                <w:rPr>
                  <w:rStyle w:val="InternetLink"/>
                </w:rPr>
                <w:t xml:space="preserve">Condensed Consolidated Statements of Comprehensive Income for the three </w:t>
              </w:r>
            </w:hyperlink>
            <w:hyperlink w:anchor="i78118c72a6ae46f0adba80439a321894_28">
              <w:r>
                <w:rPr>
                  <w:rStyle w:val="InternetLink"/>
                </w:rPr>
                <w:t xml:space="preserve">months ended </w:t>
              </w:r>
            </w:hyperlink>
            <w:hyperlink w:anchor="i78118c72a6ae46f0adba80439a321894_28">
              <w:r>
                <w:rPr>
                  <w:rStyle w:val="InternetLink"/>
                </w:rPr>
                <w:t>March</w:t>
              </w:r>
            </w:hyperlink>
            <w:hyperlink w:anchor="i78118c72a6ae46f0adba80439a321894_28">
              <w:r>
                <w:rPr>
                  <w:rStyle w:val="InternetLink"/>
                </w:rPr>
                <w:t xml:space="preserve"> 3</w:t>
              </w:r>
            </w:hyperlink>
            <w:hyperlink w:anchor="i78118c72a6ae46f0adba80439a321894_28">
              <w:r>
                <w:rPr>
                  <w:rStyle w:val="InternetLink"/>
                </w:rPr>
                <w:t>1</w:t>
              </w:r>
            </w:hyperlink>
            <w:hyperlink w:anchor="i78118c72a6ae46f0adba80439a321894_28">
              <w:r>
                <w:rPr>
                  <w:rStyle w:val="InternetLink"/>
                </w:rPr>
                <w:t>, 202</w:t>
              </w:r>
            </w:hyperlink>
            <w:hyperlink w:anchor="i78118c72a6ae46f0adba80439a321894_28">
              <w:r>
                <w:rPr>
                  <w:rStyle w:val="InternetLink"/>
                </w:rPr>
                <w:t>2</w:t>
              </w:r>
            </w:hyperlink>
            <w:hyperlink w:anchor="i78118c72a6ae46f0adba80439a321894_28">
              <w:r>
                <w:rPr>
                  <w:rStyle w:val="InternetLink"/>
                </w:rPr>
                <w:t xml:space="preserve"> and 202</w:t>
              </w:r>
            </w:hyperlink>
            <w:hyperlink w:anchor="i78118c72a6ae46f0adba80439a321894_28">
              <w:r>
                <w:rPr>
                  <w:rStyle w:val="InternetLink"/>
                </w:rPr>
                <w:t>1</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28">
              <w:r>
                <w:rPr>
                  <w:rStyle w:val="InternetLink"/>
                  <w:rFonts w:ascii="Times New Roman;sans-serif" w:hAnsi="Times New Roman;sans-serif"/>
                  <w:b w:val="false"/>
                  <w:strike w:val="false"/>
                  <w:dstrike w:val="false"/>
                  <w:color w:val="000000"/>
                  <w:sz w:val="20"/>
                  <w:u w:val="none"/>
                  <w:effect w:val="none"/>
                </w:rPr>
                <w:t>4</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31">
              <w:r>
                <w:rPr>
                  <w:rStyle w:val="InternetLink"/>
                </w:rPr>
                <w:t>Condensed Consolidated Statements of</w:t>
              </w:r>
            </w:hyperlink>
            <w:hyperlink w:anchor="i78118c72a6ae46f0adba80439a321894_31">
              <w:r>
                <w:rPr>
                  <w:rStyle w:val="InternetLink"/>
                </w:rPr>
                <w:t xml:space="preserve"> </w:t>
              </w:r>
            </w:hyperlink>
            <w:hyperlink w:anchor="i78118c72a6ae46f0adba80439a321894_31">
              <w:r>
                <w:rPr>
                  <w:rStyle w:val="InternetLink"/>
                </w:rPr>
                <w:t>Non</w:t>
              </w:r>
            </w:hyperlink>
            <w:hyperlink w:anchor="i78118c72a6ae46f0adba80439a321894_31">
              <w:r>
                <w:rPr>
                  <w:rStyle w:val="InternetLink"/>
                </w:rPr>
                <w:t>-</w:t>
              </w:r>
            </w:hyperlink>
            <w:hyperlink w:anchor="i78118c72a6ae46f0adba80439a321894_31">
              <w:r>
                <w:rPr>
                  <w:rStyle w:val="InternetLink"/>
                </w:rPr>
                <w:t>controlling I</w:t>
              </w:r>
            </w:hyperlink>
            <w:hyperlink w:anchor="i78118c72a6ae46f0adba80439a321894_31">
              <w:r>
                <w:rPr>
                  <w:rStyle w:val="InternetLink"/>
                </w:rPr>
                <w:t xml:space="preserve">nterest &amp; </w:t>
              </w:r>
            </w:hyperlink>
            <w:hyperlink w:anchor="i78118c72a6ae46f0adba80439a321894_31">
              <w:r>
                <w:rPr>
                  <w:rStyle w:val="InternetLink"/>
                </w:rPr>
                <w:t xml:space="preserve">Stockholders’ Equity for the </w:t>
              </w:r>
            </w:hyperlink>
            <w:hyperlink w:anchor="i78118c72a6ae46f0adba80439a321894_31">
              <w:r>
                <w:rPr>
                  <w:rStyle w:val="InternetLink"/>
                </w:rPr>
                <w:t>three</w:t>
              </w:r>
            </w:hyperlink>
            <w:hyperlink w:anchor="i78118c72a6ae46f0adba80439a321894_31">
              <w:r>
                <w:rPr>
                  <w:rStyle w:val="InternetLink"/>
                </w:rPr>
                <w:t xml:space="preserve"> months ended </w:t>
              </w:r>
            </w:hyperlink>
            <w:hyperlink w:anchor="i78118c72a6ae46f0adba80439a321894_31">
              <w:r>
                <w:rPr>
                  <w:rStyle w:val="InternetLink"/>
                </w:rPr>
                <w:t>M</w:t>
              </w:r>
            </w:hyperlink>
            <w:hyperlink w:anchor="i78118c72a6ae46f0adba80439a321894_31">
              <w:r>
                <w:rPr>
                  <w:rStyle w:val="InternetLink"/>
                </w:rPr>
                <w:t>arch 31</w:t>
              </w:r>
            </w:hyperlink>
            <w:hyperlink w:anchor="i78118c72a6ae46f0adba80439a321894_31">
              <w:r>
                <w:rPr>
                  <w:rStyle w:val="InternetLink"/>
                </w:rPr>
                <w:t>, 202</w:t>
              </w:r>
            </w:hyperlink>
            <w:hyperlink w:anchor="i78118c72a6ae46f0adba80439a321894_31">
              <w:r>
                <w:rPr>
                  <w:rStyle w:val="InternetLink"/>
                </w:rPr>
                <w:t>2</w:t>
              </w:r>
            </w:hyperlink>
            <w:hyperlink w:anchor="i78118c72a6ae46f0adba80439a321894_31">
              <w:r>
                <w:rPr>
                  <w:rStyle w:val="InternetLink"/>
                </w:rPr>
                <w:t xml:space="preserve"> and 202</w:t>
              </w:r>
            </w:hyperlink>
            <w:hyperlink w:anchor="i78118c72a6ae46f0adba80439a321894_31">
              <w:r>
                <w:rPr>
                  <w:rStyle w:val="InternetLink"/>
                </w:rPr>
                <w:t>1</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31">
              <w:r>
                <w:rPr>
                  <w:rStyle w:val="InternetLink"/>
                  <w:rFonts w:ascii="Times New Roman;sans-serif" w:hAnsi="Times New Roman;sans-serif"/>
                  <w:b w:val="false"/>
                  <w:strike w:val="false"/>
                  <w:dstrike w:val="false"/>
                  <w:color w:val="000000"/>
                  <w:sz w:val="20"/>
                  <w:u w:val="none"/>
                  <w:effect w:val="none"/>
                </w:rPr>
                <w:t>5</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34">
              <w:r>
                <w:rPr>
                  <w:rStyle w:val="InternetLink"/>
                </w:rPr>
                <w:t xml:space="preserve">Condensed Consolidated Statements of Cash Flows for the </w:t>
              </w:r>
            </w:hyperlink>
            <w:hyperlink w:anchor="i78118c72a6ae46f0adba80439a321894_34">
              <w:r>
                <w:rPr>
                  <w:rStyle w:val="InternetLink"/>
                </w:rPr>
                <w:t>three</w:t>
              </w:r>
            </w:hyperlink>
            <w:hyperlink w:anchor="i78118c72a6ae46f0adba80439a321894_34">
              <w:r>
                <w:rPr>
                  <w:rStyle w:val="InternetLink"/>
                </w:rPr>
                <w:t xml:space="preserve"> months ended </w:t>
              </w:r>
            </w:hyperlink>
            <w:hyperlink w:anchor="i78118c72a6ae46f0adba80439a321894_34">
              <w:r>
                <w:rPr>
                  <w:rStyle w:val="InternetLink"/>
                </w:rPr>
                <w:t>March 31</w:t>
              </w:r>
            </w:hyperlink>
            <w:hyperlink w:anchor="i78118c72a6ae46f0adba80439a321894_34">
              <w:r>
                <w:rPr>
                  <w:rStyle w:val="InternetLink"/>
                </w:rPr>
                <w:t>, 202</w:t>
              </w:r>
            </w:hyperlink>
            <w:hyperlink w:anchor="i78118c72a6ae46f0adba80439a321894_34">
              <w:r>
                <w:rPr>
                  <w:rStyle w:val="InternetLink"/>
                </w:rPr>
                <w:t>2</w:t>
              </w:r>
            </w:hyperlink>
            <w:hyperlink w:anchor="i78118c72a6ae46f0adba80439a321894_34">
              <w:r>
                <w:rPr>
                  <w:rStyle w:val="InternetLink"/>
                </w:rPr>
                <w:t xml:space="preserve"> and 202</w:t>
              </w:r>
            </w:hyperlink>
            <w:hyperlink w:anchor="i78118c72a6ae46f0adba80439a321894_34">
              <w:r>
                <w:rPr>
                  <w:rStyle w:val="InternetLink"/>
                </w:rPr>
                <w:t>1</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34">
              <w:r>
                <w:rPr>
                  <w:rStyle w:val="InternetLink"/>
                  <w:rFonts w:ascii="Times New Roman;sans-serif" w:hAnsi="Times New Roman;sans-serif"/>
                  <w:b w:val="false"/>
                  <w:strike w:val="false"/>
                  <w:dstrike w:val="false"/>
                  <w:color w:val="000000"/>
                  <w:sz w:val="20"/>
                  <w:u w:val="none"/>
                  <w:effect w:val="none"/>
                </w:rPr>
                <w:t>6</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37">
              <w:r>
                <w:rPr>
                  <w:rStyle w:val="InternetLink"/>
                  <w:rFonts w:ascii="Times New Roman;sans-serif" w:hAnsi="Times New Roman;sans-serif"/>
                  <w:b w:val="false"/>
                  <w:color w:val="0000FF"/>
                  <w:sz w:val="20"/>
                  <w:u w:val="single"/>
                </w:rPr>
                <w:t>Notes to Condensed Consolidated Financial Statements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37">
              <w:r>
                <w:rPr>
                  <w:rStyle w:val="InternetLink"/>
                  <w:rFonts w:ascii="Times New Roman;sans-serif" w:hAnsi="Times New Roman;sans-serif"/>
                  <w:b w:val="false"/>
                  <w:strike w:val="false"/>
                  <w:dstrike w:val="false"/>
                  <w:color w:val="000000"/>
                  <w:sz w:val="20"/>
                  <w:u w:val="none"/>
                  <w:effect w:val="none"/>
                </w:rPr>
                <w:t>7</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78118c72a6ae46f0adba80439a321894_85">
              <w:r>
                <w:rPr>
                  <w:rStyle w:val="InternetLink"/>
                  <w:rFonts w:ascii="Times New Roman;sans-serif" w:hAnsi="Times New Roman;sans-serif"/>
                  <w:b w:val="false"/>
                  <w:strike w:val="false"/>
                  <w:dstrike w:val="false"/>
                  <w:color w:val="000000"/>
                  <w:sz w:val="20"/>
                  <w:u w:val="none"/>
                  <w:effect w:val="none"/>
                </w:rPr>
                <w:t>Item 2.</w:t>
              </w:r>
            </w:hyperlink>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85">
              <w:r>
                <w:rPr>
                  <w:rStyle w:val="InternetLink"/>
                  <w:rFonts w:ascii="Times New Roman;sans-serif" w:hAnsi="Times New Roman;sans-serif"/>
                  <w:b w:val="false"/>
                  <w:strike w:val="false"/>
                  <w:dstrike w:val="false"/>
                  <w:color w:val="000000"/>
                  <w:sz w:val="20"/>
                  <w:u w:val="none"/>
                  <w:effect w:val="none"/>
                </w:rPr>
                <w:t>23</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78118c72a6ae46f0adba80439a321894_127">
              <w:r>
                <w:rPr>
                  <w:rStyle w:val="InternetLink"/>
                  <w:rFonts w:ascii="Times New Roman;sans-serif" w:hAnsi="Times New Roman;sans-serif"/>
                  <w:b w:val="false"/>
                  <w:strike w:val="false"/>
                  <w:dstrike w:val="false"/>
                  <w:color w:val="000000"/>
                  <w:sz w:val="20"/>
                  <w:u w:val="none"/>
                  <w:effect w:val="none"/>
                </w:rPr>
                <w:t>Item 3.</w:t>
              </w:r>
            </w:hyperlink>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127">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127">
              <w:r>
                <w:rPr>
                  <w:rStyle w:val="InternetLink"/>
                  <w:rFonts w:ascii="Times New Roman;sans-serif" w:hAnsi="Times New Roman;sans-serif"/>
                  <w:b w:val="false"/>
                  <w:strike w:val="false"/>
                  <w:dstrike w:val="false"/>
                  <w:color w:val="000000"/>
                  <w:sz w:val="20"/>
                  <w:u w:val="none"/>
                  <w:effect w:val="none"/>
                </w:rPr>
                <w:t>33</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78118c72a6ae46f0adba80439a321894_130">
              <w:r>
                <w:rPr>
                  <w:rStyle w:val="InternetLink"/>
                  <w:rFonts w:ascii="Times New Roman;sans-serif" w:hAnsi="Times New Roman;sans-serif"/>
                  <w:b w:val="false"/>
                  <w:strike w:val="false"/>
                  <w:dstrike w:val="false"/>
                  <w:color w:val="000000"/>
                  <w:sz w:val="20"/>
                  <w:u w:val="none"/>
                  <w:effect w:val="none"/>
                </w:rPr>
                <w:t>Item 4.</w:t>
              </w:r>
            </w:hyperlink>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130">
              <w:r>
                <w:rPr>
                  <w:rStyle w:val="InternetLink"/>
                  <w:rFonts w:ascii="Times New Roman;sans-serif" w:hAnsi="Times New Roman;sans-serif"/>
                  <w:b w:val="false"/>
                  <w:color w:val="0000FF"/>
                  <w:sz w:val="20"/>
                  <w:u w:val="single"/>
                </w:rPr>
                <w:t>Controls and Procedures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130">
              <w:r>
                <w:rPr>
                  <w:rStyle w:val="InternetLink"/>
                  <w:rFonts w:ascii="Times New Roman;sans-serif" w:hAnsi="Times New Roman;sans-serif"/>
                  <w:b w:val="false"/>
                  <w:strike w:val="false"/>
                  <w:dstrike w:val="false"/>
                  <w:color w:val="000000"/>
                  <w:sz w:val="20"/>
                  <w:u w:val="none"/>
                  <w:effect w:val="none"/>
                </w:rPr>
                <w:t>34</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6"/>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78118c72a6ae46f0adba80439a321894_133">
              <w:r>
                <w:rPr>
                  <w:rStyle w:val="InternetLink"/>
                </w:rPr>
                <w:t xml:space="preserve">PART II </w:t>
              </w:r>
            </w:hyperlink>
            <w:hyperlink w:anchor="i78118c72a6ae46f0adba80439a321894_133">
              <w:r>
                <w:rPr>
                  <w:rStyle w:val="InternetLink"/>
                </w:rPr>
                <w:t xml:space="preserve">- </w:t>
              </w:r>
            </w:hyperlink>
            <w:hyperlink w:anchor="i78118c72a6ae46f0adba80439a321894_133">
              <w:r>
                <w:rPr>
                  <w:rStyle w:val="InternetLink"/>
                </w:rPr>
                <w:t xml:space="preserve">OTHER INFORMATION </w:t>
              </w:r>
            </w:hyperlink>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78118c72a6ae46f0adba80439a321894_136">
              <w:r>
                <w:rPr>
                  <w:rStyle w:val="InternetLink"/>
                  <w:rFonts w:ascii="Times New Roman;sans-serif" w:hAnsi="Times New Roman;sans-serif"/>
                  <w:b w:val="false"/>
                  <w:strike w:val="false"/>
                  <w:dstrike w:val="false"/>
                  <w:color w:val="000000"/>
                  <w:sz w:val="20"/>
                  <w:u w:val="none"/>
                  <w:effect w:val="none"/>
                </w:rPr>
                <w:t>Item 1.</w:t>
              </w:r>
            </w:hyperlink>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136">
              <w:r>
                <w:rPr>
                  <w:rStyle w:val="InternetLink"/>
                  <w:rFonts w:ascii="Times New Roman;sans-serif" w:hAnsi="Times New Roman;sans-serif"/>
                  <w:b w:val="false"/>
                  <w:color w:val="0000FF"/>
                  <w:sz w:val="20"/>
                  <w:u w:val="single"/>
                </w:rPr>
                <w:t>Legal Proceedings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136">
              <w:r>
                <w:rPr>
                  <w:rStyle w:val="InternetLink"/>
                  <w:rFonts w:ascii="Times New Roman;sans-serif" w:hAnsi="Times New Roman;sans-serif"/>
                  <w:b w:val="false"/>
                  <w:strike w:val="false"/>
                  <w:dstrike w:val="false"/>
                  <w:color w:val="000000"/>
                  <w:sz w:val="20"/>
                  <w:u w:val="none"/>
                  <w:effect w:val="none"/>
                </w:rPr>
                <w:t>35</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78118c72a6ae46f0adba80439a321894_139">
              <w:r>
                <w:rPr>
                  <w:rStyle w:val="InternetLink"/>
                  <w:rFonts w:ascii="Times New Roman;sans-serif" w:hAnsi="Times New Roman;sans-serif"/>
                  <w:b w:val="false"/>
                  <w:strike w:val="false"/>
                  <w:dstrike w:val="false"/>
                  <w:color w:val="000000"/>
                  <w:sz w:val="20"/>
                  <w:u w:val="none"/>
                  <w:effect w:val="none"/>
                </w:rPr>
                <w:t>Item 1A.</w:t>
              </w:r>
            </w:hyperlink>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139">
              <w:r>
                <w:rPr>
                  <w:rStyle w:val="InternetLink"/>
                  <w:rFonts w:ascii="Times New Roman;sans-serif" w:hAnsi="Times New Roman;sans-serif"/>
                  <w:b w:val="false"/>
                  <w:color w:val="0000FF"/>
                  <w:sz w:val="20"/>
                  <w:u w:val="single"/>
                </w:rPr>
                <w:t>Risk Factors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139">
              <w:r>
                <w:rPr>
                  <w:rStyle w:val="InternetLink"/>
                  <w:rFonts w:ascii="Times New Roman;sans-serif" w:hAnsi="Times New Roman;sans-serif"/>
                  <w:b w:val="false"/>
                  <w:strike w:val="false"/>
                  <w:dstrike w:val="false"/>
                  <w:color w:val="000000"/>
                  <w:sz w:val="20"/>
                  <w:u w:val="none"/>
                  <w:effect w:val="none"/>
                </w:rPr>
                <w:t>35</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78118c72a6ae46f0adba80439a321894_142">
              <w:r>
                <w:rPr>
                  <w:rStyle w:val="InternetLink"/>
                  <w:rFonts w:ascii="Times New Roman;sans-serif" w:hAnsi="Times New Roman;sans-serif"/>
                  <w:b w:val="false"/>
                  <w:strike w:val="false"/>
                  <w:dstrike w:val="false"/>
                  <w:color w:val="000000"/>
                  <w:sz w:val="20"/>
                  <w:u w:val="none"/>
                  <w:effect w:val="none"/>
                </w:rPr>
                <w:t>Item 2.</w:t>
              </w:r>
            </w:hyperlink>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142">
              <w:r>
                <w:rPr>
                  <w:rStyle w:val="InternetLink"/>
                  <w:rFonts w:ascii="Times New Roman;sans-serif" w:hAnsi="Times New Roman;sans-serif"/>
                  <w:b w:val="false"/>
                  <w:color w:val="0000FF"/>
                  <w:sz w:val="20"/>
                  <w:u w:val="single"/>
                </w:rPr>
                <w:t>Unregistered Sales of Equity Securities and Use of Proceeds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142">
              <w:r>
                <w:rPr>
                  <w:rStyle w:val="InternetLink"/>
                  <w:rFonts w:ascii="Times New Roman;sans-serif" w:hAnsi="Times New Roman;sans-serif"/>
                  <w:b w:val="false"/>
                  <w:strike w:val="false"/>
                  <w:dstrike w:val="false"/>
                  <w:color w:val="000000"/>
                  <w:sz w:val="20"/>
                  <w:u w:val="none"/>
                  <w:effect w:val="none"/>
                </w:rPr>
                <w:t>35</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78118c72a6ae46f0adba80439a321894_145">
              <w:r>
                <w:rPr>
                  <w:rStyle w:val="InternetLink"/>
                  <w:rFonts w:ascii="Times New Roman;sans-serif" w:hAnsi="Times New Roman;sans-serif"/>
                  <w:b w:val="false"/>
                  <w:strike w:val="false"/>
                  <w:dstrike w:val="false"/>
                  <w:color w:val="000000"/>
                  <w:sz w:val="20"/>
                  <w:u w:val="none"/>
                  <w:effect w:val="none"/>
                </w:rPr>
                <w:t>Item 3.</w:t>
              </w:r>
            </w:hyperlink>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145">
              <w:r>
                <w:rPr>
                  <w:rStyle w:val="InternetLink"/>
                  <w:rFonts w:ascii="Times New Roman;sans-serif" w:hAnsi="Times New Roman;sans-serif"/>
                  <w:b w:val="false"/>
                  <w:color w:val="0000FF"/>
                  <w:sz w:val="20"/>
                  <w:u w:val="single"/>
                </w:rPr>
                <w:t>Defaults Upon Senior Securities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145">
              <w:r>
                <w:rPr>
                  <w:rStyle w:val="InternetLink"/>
                  <w:rFonts w:ascii="Times New Roman;sans-serif" w:hAnsi="Times New Roman;sans-serif"/>
                  <w:b w:val="false"/>
                  <w:strike w:val="false"/>
                  <w:dstrike w:val="false"/>
                  <w:color w:val="000000"/>
                  <w:sz w:val="20"/>
                  <w:u w:val="none"/>
                  <w:effect w:val="none"/>
                </w:rPr>
                <w:t>35</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78118c72a6ae46f0adba80439a321894_148">
              <w:r>
                <w:rPr>
                  <w:rStyle w:val="InternetLink"/>
                  <w:rFonts w:ascii="Times New Roman;sans-serif" w:hAnsi="Times New Roman;sans-serif"/>
                  <w:b w:val="false"/>
                  <w:strike w:val="false"/>
                  <w:dstrike w:val="false"/>
                  <w:color w:val="000000"/>
                  <w:sz w:val="20"/>
                  <w:u w:val="none"/>
                  <w:effect w:val="none"/>
                </w:rPr>
                <w:t>Item 4.</w:t>
              </w:r>
            </w:hyperlink>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148">
              <w:r>
                <w:rPr>
                  <w:rStyle w:val="InternetLink"/>
                  <w:rFonts w:ascii="Times New Roman;sans-serif" w:hAnsi="Times New Roman;sans-serif"/>
                  <w:b w:val="false"/>
                  <w:color w:val="0000FF"/>
                  <w:sz w:val="20"/>
                  <w:u w:val="single"/>
                </w:rPr>
                <w:t>Mine Safety Disclosures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148">
              <w:r>
                <w:rPr>
                  <w:rStyle w:val="InternetLink"/>
                  <w:rFonts w:ascii="Times New Roman;sans-serif" w:hAnsi="Times New Roman;sans-serif"/>
                  <w:b w:val="false"/>
                  <w:strike w:val="false"/>
                  <w:dstrike w:val="false"/>
                  <w:color w:val="000000"/>
                  <w:sz w:val="20"/>
                  <w:u w:val="none"/>
                  <w:effect w:val="none"/>
                </w:rPr>
                <w:t>35</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78118c72a6ae46f0adba80439a321894_151">
              <w:r>
                <w:rPr>
                  <w:rStyle w:val="InternetLink"/>
                  <w:rFonts w:ascii="Times New Roman;sans-serif" w:hAnsi="Times New Roman;sans-serif"/>
                  <w:b w:val="false"/>
                  <w:strike w:val="false"/>
                  <w:dstrike w:val="false"/>
                  <w:color w:val="000000"/>
                  <w:sz w:val="20"/>
                  <w:u w:val="none"/>
                  <w:effect w:val="none"/>
                </w:rPr>
                <w:t>Item 5.</w:t>
              </w:r>
            </w:hyperlink>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151">
              <w:r>
                <w:rPr>
                  <w:rStyle w:val="InternetLink"/>
                  <w:rFonts w:ascii="Times New Roman;sans-serif" w:hAnsi="Times New Roman;sans-serif"/>
                  <w:b w:val="false"/>
                  <w:color w:val="0000FF"/>
                  <w:sz w:val="20"/>
                  <w:u w:val="single"/>
                </w:rPr>
                <w:t>Other Information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151">
              <w:r>
                <w:rPr>
                  <w:rStyle w:val="InternetLink"/>
                  <w:rFonts w:ascii="Times New Roman;sans-serif" w:hAnsi="Times New Roman;sans-serif"/>
                  <w:b w:val="false"/>
                  <w:strike w:val="false"/>
                  <w:dstrike w:val="false"/>
                  <w:color w:val="000000"/>
                  <w:sz w:val="20"/>
                  <w:u w:val="none"/>
                  <w:effect w:val="none"/>
                </w:rPr>
                <w:t>35</w:t>
              </w:r>
            </w:hyperlink>
          </w:p>
        </w:tc>
      </w:tr>
      <w:tr>
        <w:trPr/>
        <w:tc>
          <w:tcPr>
            <w:tcW w:w="142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78118c72a6ae46f0adba80439a321894_154">
              <w:r>
                <w:rPr>
                  <w:rStyle w:val="InternetLink"/>
                  <w:rFonts w:ascii="Times New Roman;sans-serif" w:hAnsi="Times New Roman;sans-serif"/>
                  <w:b w:val="false"/>
                  <w:strike w:val="false"/>
                  <w:dstrike w:val="false"/>
                  <w:color w:val="000000"/>
                  <w:sz w:val="20"/>
                  <w:u w:val="none"/>
                  <w:effect w:val="none"/>
                </w:rPr>
                <w:t>Item 6.</w:t>
              </w:r>
            </w:hyperlink>
          </w:p>
        </w:tc>
        <w:tc>
          <w:tcPr>
            <w:tcW w:w="826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78118c72a6ae46f0adba80439a321894_154">
              <w:r>
                <w:rPr>
                  <w:rStyle w:val="InternetLink"/>
                  <w:rFonts w:ascii="Times New Roman;sans-serif" w:hAnsi="Times New Roman;sans-serif"/>
                  <w:b w:val="false"/>
                  <w:color w:val="0000FF"/>
                  <w:sz w:val="20"/>
                  <w:u w:val="single"/>
                </w:rPr>
                <w:t>Exhibits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154">
              <w:r>
                <w:rPr>
                  <w:rStyle w:val="InternetLink"/>
                  <w:rFonts w:ascii="Times New Roman;sans-serif" w:hAnsi="Times New Roman;sans-serif"/>
                  <w:b w:val="false"/>
                  <w:strike w:val="false"/>
                  <w:dstrike w:val="false"/>
                  <w:color w:val="000000"/>
                  <w:sz w:val="20"/>
                  <w:u w:val="none"/>
                  <w:effect w:val="none"/>
                </w:rPr>
                <w:t>36</w:t>
              </w:r>
            </w:hyperlink>
          </w:p>
        </w:tc>
      </w:tr>
      <w:tr>
        <w:trPr/>
        <w:tc>
          <w:tcPr>
            <w:tcW w:w="9692"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78118c72a6ae46f0adba80439a321894_157">
              <w:r>
                <w:rPr>
                  <w:rStyle w:val="InternetLink"/>
                  <w:rFonts w:ascii="Times New Roman;sans-serif" w:hAnsi="Times New Roman;sans-serif"/>
                  <w:b w:val="false"/>
                  <w:color w:val="0000FF"/>
                  <w:sz w:val="20"/>
                  <w:u w:val="single"/>
                </w:rPr>
                <w:t xml:space="preserve">Signatures </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78118c72a6ae46f0adba80439a321894_157">
              <w:r>
                <w:rPr>
                  <w:rStyle w:val="InternetLink"/>
                  <w:rFonts w:ascii="Times New Roman;sans-serif" w:hAnsi="Times New Roman;sans-serif"/>
                  <w:b w:val="false"/>
                  <w:strike w:val="false"/>
                  <w:dstrike w:val="false"/>
                  <w:color w:val="000000"/>
                  <w:sz w:val="20"/>
                  <w:u w:val="none"/>
                  <w:effect w:val="none"/>
                </w:rPr>
                <w:t>37</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333"/>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FORWARD-LOOKING STATEMENTS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plans, market growth and our objectives for future operations.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II, Item 1A. “Risk Factors” in this Quarterly Report on Form 10-Q for the quarter ended March 31, 2022.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used in this Quarterly Report on Form 10-Q, unless otherwise stated or the context requires otherwise, the terms “Vita Coco,” the “company,” “we,” “us,” and “our” refer to The Vita Coco Company, Inc. and its consolidated subsidiaries.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76" w:before="0" w:after="333"/>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VITA COCO COMPANY,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(UNAUDITED)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(Amounts in thousands, except share data) </w:t>
      </w:r>
    </w:p>
    <w:tbl>
      <w:tblPr>
        <w:tblW w:w="10205" w:type="dxa"/>
        <w:jc w:val="center"/>
        <w:tblInd w:w="0" w:type="dxa"/>
        <w:tblCellMar>
          <w:top w:w="28" w:type="dxa"/>
          <w:left w:w="28" w:type="dxa"/>
          <w:bottom w:w="28" w:type="dxa"/>
          <w:right w:w="28" w:type="dxa"/>
        </w:tblCellMar>
      </w:tblPr>
      <w:tblGrid>
        <w:gridCol w:w="2959"/>
        <w:gridCol w:w="2391"/>
        <w:gridCol w:w="2364"/>
        <w:gridCol w:w="196"/>
        <w:gridCol w:w="736"/>
        <w:gridCol w:w="109"/>
        <w:gridCol w:w="109"/>
        <w:gridCol w:w="109"/>
        <w:gridCol w:w="109"/>
        <w:gridCol w:w="202"/>
        <w:gridCol w:w="760"/>
        <w:gridCol w:w="161"/>
      </w:tblGrid>
      <w:tr>
        <w:trPr/>
        <w:tc>
          <w:tcPr>
            <w:tcW w:w="2959" w:type="dxa"/>
            <w:tcBorders/>
            <w:shd w:fill="auto" w:val="clear"/>
            <w:vAlign w:val="center"/>
          </w:tcPr>
          <w:p>
            <w:pPr>
              <w:pStyle w:val="TableContents"/>
              <w:spacing w:before="0" w:after="283"/>
              <w:rPr>
                <w:sz w:val="4"/>
                <w:szCs w:val="4"/>
              </w:rPr>
            </w:pPr>
            <w:r>
              <w:rPr>
                <w:sz w:val="4"/>
                <w:szCs w:val="4"/>
              </w:rPr>
            </w:r>
          </w:p>
        </w:tc>
        <w:tc>
          <w:tcPr>
            <w:tcW w:w="2391" w:type="dxa"/>
            <w:tcBorders/>
            <w:shd w:fill="auto" w:val="clear"/>
            <w:vAlign w:val="center"/>
          </w:tcPr>
          <w:p>
            <w:pPr>
              <w:pStyle w:val="TableContents"/>
              <w:spacing w:before="0" w:after="283"/>
              <w:rPr>
                <w:sz w:val="4"/>
                <w:szCs w:val="4"/>
              </w:rPr>
            </w:pPr>
            <w:r>
              <w:rPr>
                <w:sz w:val="4"/>
                <w:szCs w:val="4"/>
              </w:rPr>
            </w:r>
          </w:p>
        </w:tc>
        <w:tc>
          <w:tcPr>
            <w:tcW w:w="23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28,690 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of $1,128 at March 31, 2022, and $1,301 at December 31, 2021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75,360 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advances, 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advances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197,484 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28,338 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expenses and other current liabilities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42,399 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current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7)</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500,000,000 shares authorized; 61,791,427 and 61,764,582 shares issued at March 31, 2022 and December 31, 2021, respectively 55,585,227 and 55,558,382 shares outstanding at March 31, 2022 and December 31, 2021,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134,730 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47,369 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6,206,200 shares at cost as of March 31, 2022, and 6,206,200 shares at cost as of December 31, 2021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(58,928)</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 attributable to The Vita Coco Company, Inc.</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771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vAlign w:val="center"/>
          </w:tcPr>
          <w:p>
            <w:pPr>
              <w:pStyle w:val="TableContents"/>
              <w:spacing w:before="0" w:after="283"/>
              <w:rPr>
                <w:sz w:val="4"/>
                <w:szCs w:val="4"/>
              </w:rPr>
            </w:pPr>
            <w:r>
              <w:rPr>
                <w:sz w:val="4"/>
                <w:szCs w:val="4"/>
              </w:rPr>
            </w:r>
          </w:p>
        </w:tc>
      </w:tr>
      <w:tr>
        <w:trPr/>
        <w:tc>
          <w:tcPr>
            <w:tcW w:w="77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197,484 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76" w:before="0" w:after="333"/>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VITA COCO COMPANY,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(UNAUDITED) </w:t>
      </w:r>
    </w:p>
    <w:p>
      <w:pPr>
        <w:pStyle w:val="TextBody"/>
        <w:spacing w:lineRule="auto" w:line="288" w:before="0" w:after="0"/>
        <w:jc w:val="center"/>
        <w:rPr/>
      </w:pPr>
      <w:r>
        <w:rPr>
          <w:rFonts w:ascii="Times New Roman;sans-serif" w:hAnsi="Times New Roman;sans-serif"/>
          <w:b/>
          <w:color w:val="000000"/>
          <w:sz w:val="20"/>
        </w:rPr>
        <w:t>(Amounts in thousands, except for share and per share data)</w:t>
      </w:r>
      <w:r>
        <w:rPr>
          <w:color w:val="000000"/>
        </w:rPr>
        <w:t xml:space="preserve"> </w:t>
      </w:r>
    </w:p>
    <w:tbl>
      <w:tblPr>
        <w:tblW w:w="10205" w:type="dxa"/>
        <w:jc w:val="left"/>
        <w:tblInd w:w="0" w:type="dxa"/>
        <w:tblCellMar>
          <w:top w:w="28" w:type="dxa"/>
          <w:left w:w="28" w:type="dxa"/>
          <w:bottom w:w="28" w:type="dxa"/>
          <w:right w:w="28" w:type="dxa"/>
        </w:tblCellMar>
      </w:tblPr>
      <w:tblGrid>
        <w:gridCol w:w="2206"/>
        <w:gridCol w:w="1919"/>
        <w:gridCol w:w="1928"/>
        <w:gridCol w:w="109"/>
        <w:gridCol w:w="109"/>
        <w:gridCol w:w="174"/>
        <w:gridCol w:w="174"/>
        <w:gridCol w:w="174"/>
        <w:gridCol w:w="174"/>
        <w:gridCol w:w="343"/>
        <w:gridCol w:w="1155"/>
        <w:gridCol w:w="174"/>
        <w:gridCol w:w="109"/>
        <w:gridCol w:w="109"/>
        <w:gridCol w:w="109"/>
        <w:gridCol w:w="244"/>
        <w:gridCol w:w="837"/>
        <w:gridCol w:w="158"/>
      </w:tblGrid>
      <w:tr>
        <w:trPr/>
        <w:tc>
          <w:tcPr>
            <w:tcW w:w="2206" w:type="dxa"/>
            <w:tcBorders/>
            <w:shd w:fill="auto" w:val="clear"/>
            <w:vAlign w:val="center"/>
          </w:tcPr>
          <w:p>
            <w:pPr>
              <w:pStyle w:val="TableContents"/>
              <w:spacing w:before="0" w:after="283"/>
              <w:rPr>
                <w:sz w:val="4"/>
                <w:szCs w:val="4"/>
              </w:rPr>
            </w:pPr>
            <w:r>
              <w:rPr>
                <w:sz w:val="4"/>
                <w:szCs w:val="4"/>
              </w:rPr>
            </w:r>
          </w:p>
        </w:tc>
        <w:tc>
          <w:tcPr>
            <w:tcW w:w="1919"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66" w:type="dxa"/>
            <w:gridSpan w:val="6"/>
            <w:tcBorders/>
            <w:shd w:fill="auto" w:val="clear"/>
          </w:tcPr>
          <w:p>
            <w:pPr>
              <w:pStyle w:val="TableContents"/>
              <w:spacing w:before="0" w:after="283"/>
              <w:rPr>
                <w:sz w:val="4"/>
                <w:szCs w:val="4"/>
              </w:rPr>
            </w:pPr>
            <w:r>
              <w:rPr>
                <w:sz w:val="4"/>
                <w:szCs w:val="4"/>
              </w:rPr>
            </w:r>
          </w:p>
        </w:tc>
      </w:tr>
      <w:tr>
        <w:trPr/>
        <w:tc>
          <w:tcPr>
            <w:tcW w:w="6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77,385 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derivative instruments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Vita Coco Company,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Vita Coco Company, Inc.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7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55,561,896 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53,811,092 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55,700,388 </w:t>
            </w:r>
          </w:p>
        </w:tc>
        <w:tc>
          <w:tcPr>
            <w:tcW w:w="1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54,138,192 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accompanying notes to the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76" w:before="0" w:after="333"/>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VITA COCO COMPANY,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INCOME (UNAUDITED)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10205" w:type="dxa"/>
        <w:jc w:val="left"/>
        <w:tblInd w:w="0" w:type="dxa"/>
        <w:tblCellMar>
          <w:top w:w="28" w:type="dxa"/>
          <w:left w:w="28" w:type="dxa"/>
          <w:bottom w:w="28" w:type="dxa"/>
          <w:right w:w="28" w:type="dxa"/>
        </w:tblCellMar>
      </w:tblPr>
      <w:tblGrid>
        <w:gridCol w:w="2277"/>
        <w:gridCol w:w="1999"/>
        <w:gridCol w:w="2018"/>
        <w:gridCol w:w="109"/>
        <w:gridCol w:w="109"/>
        <w:gridCol w:w="188"/>
        <w:gridCol w:w="188"/>
        <w:gridCol w:w="188"/>
        <w:gridCol w:w="188"/>
        <w:gridCol w:w="366"/>
        <w:gridCol w:w="1071"/>
        <w:gridCol w:w="188"/>
        <w:gridCol w:w="109"/>
        <w:gridCol w:w="109"/>
        <w:gridCol w:w="109"/>
        <w:gridCol w:w="211"/>
        <w:gridCol w:w="616"/>
        <w:gridCol w:w="162"/>
      </w:tblGrid>
      <w:tr>
        <w:trPr/>
        <w:tc>
          <w:tcPr>
            <w:tcW w:w="2277"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16" w:type="dxa"/>
            <w:gridSpan w:val="6"/>
            <w:tcBorders/>
            <w:shd w:fill="auto" w:val="clear"/>
          </w:tcPr>
          <w:p>
            <w:pPr>
              <w:pStyle w:val="TableContents"/>
              <w:spacing w:before="0" w:after="283"/>
              <w:rPr>
                <w:sz w:val="4"/>
                <w:szCs w:val="4"/>
              </w:rPr>
            </w:pPr>
            <w:r>
              <w:rPr>
                <w:sz w:val="4"/>
                <w:szCs w:val="4"/>
              </w:rPr>
            </w:r>
          </w:p>
        </w:tc>
      </w:tr>
      <w:tr>
        <w:trPr/>
        <w:tc>
          <w:tcPr>
            <w:tcW w:w="6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including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64" w:type="dxa"/>
            <w:gridSpan w:val="3"/>
            <w:tcBorders/>
            <w:shd w:fill="auto" w:val="clear"/>
            <w:vAlign w:val="center"/>
          </w:tcPr>
          <w:p>
            <w:pPr>
              <w:pStyle w:val="TableContents"/>
              <w:spacing w:before="0" w:after="283"/>
              <w:rPr>
                <w:sz w:val="4"/>
                <w:szCs w:val="4"/>
              </w:rPr>
            </w:pPr>
            <w:r>
              <w:rPr>
                <w:sz w:val="4"/>
                <w:szCs w:val="4"/>
              </w:rPr>
            </w:r>
          </w:p>
        </w:tc>
        <w:tc>
          <w:tcPr>
            <w:tcW w:w="16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9"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 attributable to noncontrolling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attributable to The Vita Coco Company,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accompanying notes to the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76" w:before="360" w:after="283"/>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VITA COCO COMPANY,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NON-CONTROLLING INTERESTS AND STOCKHOLDERS’ EQUITY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shares)</w:t>
      </w:r>
    </w:p>
    <w:tbl>
      <w:tblPr>
        <w:tblW w:w="17018" w:type="dxa"/>
        <w:jc w:val="center"/>
        <w:tblInd w:w="0" w:type="dxa"/>
        <w:tblCellMar>
          <w:top w:w="28" w:type="dxa"/>
          <w:left w:w="28" w:type="dxa"/>
          <w:bottom w:w="28" w:type="dxa"/>
          <w:right w:w="28" w:type="dxa"/>
        </w:tblCellMar>
      </w:tblPr>
      <w:tblGrid>
        <w:gridCol w:w="310"/>
        <w:gridCol w:w="272"/>
        <w:gridCol w:w="274"/>
        <w:gridCol w:w="353"/>
        <w:gridCol w:w="353"/>
        <w:gridCol w:w="151"/>
        <w:gridCol w:w="109"/>
        <w:gridCol w:w="109"/>
        <w:gridCol w:w="109"/>
        <w:gridCol w:w="166"/>
        <w:gridCol w:w="346"/>
        <w:gridCol w:w="109"/>
        <w:gridCol w:w="109"/>
        <w:gridCol w:w="109"/>
        <w:gridCol w:w="109"/>
        <w:gridCol w:w="323"/>
        <w:gridCol w:w="323"/>
        <w:gridCol w:w="151"/>
        <w:gridCol w:w="109"/>
        <w:gridCol w:w="109"/>
        <w:gridCol w:w="109"/>
        <w:gridCol w:w="182"/>
        <w:gridCol w:w="314"/>
        <w:gridCol w:w="120"/>
        <w:gridCol w:w="109"/>
        <w:gridCol w:w="109"/>
        <w:gridCol w:w="109"/>
        <w:gridCol w:w="353"/>
        <w:gridCol w:w="353"/>
        <w:gridCol w:w="151"/>
        <w:gridCol w:w="109"/>
        <w:gridCol w:w="109"/>
        <w:gridCol w:w="109"/>
        <w:gridCol w:w="166"/>
        <w:gridCol w:w="346"/>
        <w:gridCol w:w="109"/>
        <w:gridCol w:w="109"/>
        <w:gridCol w:w="109"/>
        <w:gridCol w:w="109"/>
        <w:gridCol w:w="166"/>
        <w:gridCol w:w="556"/>
        <w:gridCol w:w="109"/>
        <w:gridCol w:w="109"/>
        <w:gridCol w:w="109"/>
        <w:gridCol w:w="109"/>
        <w:gridCol w:w="166"/>
        <w:gridCol w:w="481"/>
        <w:gridCol w:w="109"/>
        <w:gridCol w:w="109"/>
        <w:gridCol w:w="109"/>
        <w:gridCol w:w="109"/>
        <w:gridCol w:w="166"/>
        <w:gridCol w:w="496"/>
        <w:gridCol w:w="109"/>
        <w:gridCol w:w="109"/>
        <w:gridCol w:w="109"/>
        <w:gridCol w:w="109"/>
        <w:gridCol w:w="250"/>
        <w:gridCol w:w="500"/>
        <w:gridCol w:w="166"/>
        <w:gridCol w:w="109"/>
        <w:gridCol w:w="109"/>
        <w:gridCol w:w="109"/>
        <w:gridCol w:w="646"/>
        <w:gridCol w:w="151"/>
        <w:gridCol w:w="327"/>
        <w:gridCol w:w="166"/>
        <w:gridCol w:w="481"/>
        <w:gridCol w:w="109"/>
        <w:gridCol w:w="327"/>
        <w:gridCol w:w="166"/>
        <w:gridCol w:w="556"/>
        <w:gridCol w:w="109"/>
        <w:gridCol w:w="327"/>
        <w:gridCol w:w="166"/>
        <w:gridCol w:w="406"/>
        <w:gridCol w:w="109"/>
        <w:gridCol w:w="327"/>
        <w:gridCol w:w="166"/>
        <w:gridCol w:w="556"/>
        <w:gridCol w:w="154"/>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br/>
              <w:t>with Exit</w:t>
              <w:br/>
              <w:t>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Loan to </w:t>
              <w:br/>
              <w:t xml:space="preserve">Shareholder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Other</w:t>
              <w:br/>
              <w:t xml:space="preserve">Comprehensive </w:t>
              <w:br/>
              <w:t xml:space="preserve">Income / (Loss)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Treasury 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Shareholders’</w:t>
              <w:br/>
              <w:t>Equity</w:t>
              <w:br/>
              <w:t>Attributable</w:t>
              <w:br/>
              <w:t>to The Vita</w:t>
              <w:br/>
              <w:t xml:space="preserve">Coco </w:t>
              <w:br/>
              <w:t xml:space="preserve">Company, Inc.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w:t>
              <w:br/>
              <w:t>controlling</w:t>
              <w:br/>
              <w:t>Interest in</w:t>
              <w:br/>
              <w:t>Subsidiary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 xml:space="preserve">Shareholders’ </w:t>
              <w:br/>
              <w:t xml:space="preserve">Equity </w:t>
            </w:r>
          </w:p>
        </w:tc>
      </w:tr>
      <w:tr>
        <w:trPr/>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2"/>
              </w:rPr>
            </w:pPr>
            <w:r>
              <w:rPr>
                <w:rFonts w:ascii="Times New Roman;sans-serif" w:hAnsi="Times New Roman;sans-serif"/>
                <w:b/>
                <w:color w:val="000000"/>
                <w:sz w:val="12"/>
              </w:rPr>
              <w:t>Balance at December 31, 2020</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51,086,945</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8,113,105</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81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59,200,050</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100,849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(17,700)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28,354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(949)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1,014,195</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(8,925)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102,221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102,299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Purchase of treasury stock</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5,192,005 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(50,003)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(50,003)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(50,003)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Loan to Shareholder</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Stock-based compensation</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Exercise of stock options</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1,365 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1,365 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currency translation adjustment</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at March 31, 2021</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51,088,310</w:t>
            </w: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511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8,113,105</w:t>
            </w: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14"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81</w:t>
            </w: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59,201,415</w:t>
            </w: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592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101,345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(17,726)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29,999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(932)</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6,206,200</w:t>
            </w: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(58,928)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54,350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73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54,423</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 at December 31, 2021</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53,651,477</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8,113,105</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81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61,764,582</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618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134,730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47,369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(616)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6,206,200</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(58,928)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123,173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123,173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Net income</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Stock-based compensation</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2,386 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Exercise of stock options</w:t>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26,845 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26,845 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Foreign currency translation adjustment</w:t>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color w:val="000000"/>
                <w:sz w:val="12"/>
              </w:rPr>
            </w:pPr>
            <w:r>
              <w:rPr>
                <w:rFonts w:ascii="Times New Roman;sans-serif" w:hAnsi="Times New Roman;sans-serif"/>
                <w:b/>
                <w:color w:val="000000"/>
                <w:sz w:val="12"/>
              </w:rPr>
              <w:t>Balance at March 31, 2022</w:t>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53,678,322</w:t>
            </w:r>
            <w:r>
              <w:rPr>
                <w:color w:val="000000"/>
              </w:rPr>
              <w:t> </w:t>
            </w:r>
          </w:p>
        </w:tc>
        <w:tc>
          <w:tcPr>
            <w:tcW w:w="151"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4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537</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8,113,105</w:t>
            </w:r>
            <w:r>
              <w:rPr>
                <w:color w:val="000000"/>
              </w:rPr>
              <w:t> </w:t>
            </w:r>
          </w:p>
        </w:tc>
        <w:tc>
          <w:tcPr>
            <w:tcW w:w="151"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14"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81</w:t>
            </w:r>
            <w:r>
              <w:rPr>
                <w:color w:val="000000"/>
              </w:rPr>
              <w:t> </w:t>
            </w:r>
          </w:p>
        </w:tc>
        <w:tc>
          <w:tcPr>
            <w:tcW w:w="120"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61,791,427</w:t>
            </w:r>
            <w:r>
              <w:rPr>
                <w:color w:val="000000"/>
              </w:rPr>
              <w:t> </w:t>
            </w:r>
          </w:p>
        </w:tc>
        <w:tc>
          <w:tcPr>
            <w:tcW w:w="151"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34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618</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137,267</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8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9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49,596</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00"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(870)</w:t>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6,206,200</w:t>
            </w:r>
            <w:r>
              <w:rPr>
                <w:color w:val="000000"/>
              </w:rPr>
              <w:t> </w:t>
            </w:r>
          </w:p>
        </w:tc>
        <w:tc>
          <w:tcPr>
            <w:tcW w:w="151"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8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2"/>
              </w:rPr>
            </w:pPr>
            <w:r>
              <w:rPr>
                <w:rFonts w:ascii="Times New Roman;sans-serif" w:hAnsi="Times New Roman;sans-serif"/>
                <w:b/>
                <w:color w:val="000000"/>
                <w:sz w:val="12"/>
              </w:rPr>
              <w:t>(58,928)</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127,683</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40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w:t>
            </w:r>
          </w:p>
        </w:tc>
        <w:tc>
          <w:tcPr>
            <w:tcW w:w="55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2"/>
              </w:rPr>
              <w:t>127,683</w:t>
            </w:r>
            <w:r>
              <w:rPr>
                <w:color w:val="000000"/>
              </w:rPr>
              <w:t>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VITA COCO COMPANY,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(UNAUDITED)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9459" w:type="dxa"/>
        <w:jc w:val="left"/>
        <w:tblInd w:w="0" w:type="dxa"/>
        <w:tblCellMar>
          <w:top w:w="28" w:type="dxa"/>
          <w:left w:w="28" w:type="dxa"/>
          <w:bottom w:w="28" w:type="dxa"/>
          <w:right w:w="28" w:type="dxa"/>
        </w:tblCellMar>
      </w:tblPr>
      <w:tblGrid>
        <w:gridCol w:w="2533"/>
        <w:gridCol w:w="2228"/>
        <w:gridCol w:w="2244"/>
        <w:gridCol w:w="211"/>
        <w:gridCol w:w="721"/>
        <w:gridCol w:w="109"/>
        <w:gridCol w:w="109"/>
        <w:gridCol w:w="109"/>
        <w:gridCol w:w="109"/>
        <w:gridCol w:w="211"/>
        <w:gridCol w:w="721"/>
        <w:gridCol w:w="154"/>
      </w:tblGrid>
      <w:tr>
        <w:trPr/>
        <w:tc>
          <w:tcPr>
            <w:tcW w:w="2533" w:type="dxa"/>
            <w:tcBorders/>
            <w:shd w:fill="auto" w:val="clear"/>
            <w:vAlign w:val="center"/>
          </w:tcPr>
          <w:p>
            <w:pPr>
              <w:pStyle w:val="TableContents"/>
              <w:spacing w:before="0" w:after="283"/>
              <w:rPr>
                <w:sz w:val="4"/>
                <w:szCs w:val="4"/>
              </w:rPr>
            </w:pPr>
            <w:r>
              <w:rPr>
                <w:sz w:val="4"/>
                <w:szCs w:val="4"/>
              </w:rPr>
            </w:r>
          </w:p>
        </w:tc>
        <w:tc>
          <w:tcPr>
            <w:tcW w:w="2228" w:type="dxa"/>
            <w:tcBorders/>
            <w:shd w:fill="auto" w:val="clear"/>
            <w:vAlign w:val="center"/>
          </w:tcPr>
          <w:p>
            <w:pPr>
              <w:pStyle w:val="TableContents"/>
              <w:spacing w:before="0" w:after="283"/>
              <w:rPr>
                <w:sz w:val="4"/>
                <w:szCs w:val="4"/>
              </w:rPr>
            </w:pPr>
            <w:r>
              <w:rPr>
                <w:sz w:val="4"/>
                <w:szCs w:val="4"/>
              </w:rPr>
            </w:r>
          </w:p>
        </w:tc>
        <w:tc>
          <w:tcPr>
            <w:tcW w:w="22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required to reconcile net income to cash flows from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derivative instruments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net supplier advances, and 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options/warrants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credit facility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(paid) on notes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to acquire treasury stock</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the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VITA COCO COMPANY,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and per share amounts)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 xml:space="preserve">1. </w:t>
      </w:r>
      <w:r>
        <w:rPr>
          <w:rFonts w:ascii="Times New Roman;sans-serif" w:hAnsi="Times New Roman;sans-serif"/>
          <w:b/>
          <w:i/>
          <w:color w:val="000000"/>
          <w:sz w:val="20"/>
        </w:rPr>
        <w:t>NATURE OF BUSINESS AND BASIS OF PRESENTATION</w:t>
      </w:r>
    </w:p>
    <w:p>
      <w:pPr>
        <w:pStyle w:val="TextBody"/>
        <w:spacing w:lineRule="auto" w:line="288" w:before="120" w:after="283"/>
        <w:ind w:left="0" w:right="0" w:firstLine="540"/>
        <w:rPr/>
      </w:pPr>
      <w:r>
        <w:rPr>
          <w:rFonts w:ascii="Times New Roman;sans-serif" w:hAnsi="Times New Roman;sans-serif"/>
          <w:b w:val="false"/>
          <w:color w:val="000000"/>
          <w:sz w:val="20"/>
        </w:rPr>
        <w:t xml:space="preserve">The Vita Coco Company, Inc. and subsidiaries (formerly known as All Market Inc.) (the “Company”) develops, markets, and distributes various coconut water products under the brand name </w:t>
      </w:r>
      <w:r>
        <w:rPr>
          <w:rFonts w:ascii="Times New Roman;sans-serif" w:hAnsi="Times New Roman;sans-serif"/>
          <w:b w:val="false"/>
          <w:i/>
          <w:color w:val="000000"/>
          <w:sz w:val="20"/>
        </w:rPr>
        <w:t xml:space="preserve">Vita Coco </w:t>
      </w:r>
      <w:r>
        <w:rPr>
          <w:rFonts w:ascii="Times New Roman;sans-serif" w:hAnsi="Times New Roman;sans-serif"/>
          <w:b w:val="false"/>
          <w:color w:val="000000"/>
          <w:sz w:val="20"/>
        </w:rPr>
        <w:t xml:space="preserve">and for retailers' own brands, predominantly in the United States. Other products include coconut oil, coconut milk, coconut as a commodity, natural energy drinks (under the brand name, </w:t>
      </w:r>
      <w:r>
        <w:rPr>
          <w:rFonts w:ascii="Times New Roman;sans-serif" w:hAnsi="Times New Roman;sans-serif"/>
          <w:b w:val="false"/>
          <w:i/>
          <w:color w:val="000000"/>
          <w:sz w:val="20"/>
        </w:rPr>
        <w:t>Runa</w:t>
      </w:r>
      <w:r>
        <w:rPr>
          <w:rFonts w:ascii="Times New Roman;sans-serif" w:hAnsi="Times New Roman;sans-serif"/>
          <w:b w:val="false"/>
          <w:color w:val="000000"/>
          <w:sz w:val="20"/>
        </w:rPr>
        <w:t xml:space="preserve">), water (under the brand name </w:t>
      </w:r>
      <w:r>
        <w:rPr>
          <w:rFonts w:ascii="Times New Roman;sans-serif" w:hAnsi="Times New Roman;sans-serif"/>
          <w:b w:val="false"/>
          <w:i/>
          <w:color w:val="000000"/>
          <w:sz w:val="20"/>
        </w:rPr>
        <w:t>Ever &amp; Ever</w:t>
      </w:r>
      <w:r>
        <w:rPr>
          <w:rFonts w:ascii="Times New Roman;sans-serif" w:hAnsi="Times New Roman;sans-serif"/>
          <w:b w:val="false"/>
          <w:color w:val="000000"/>
          <w:sz w:val="20"/>
        </w:rPr>
        <w:t xml:space="preserve">) and protein infused fitness drinks (under the brand name </w:t>
      </w:r>
      <w:r>
        <w:rPr>
          <w:rFonts w:ascii="Times New Roman;sans-serif" w:hAnsi="Times New Roman;sans-serif"/>
          <w:b w:val="false"/>
          <w:i/>
          <w:color w:val="000000"/>
          <w:sz w:val="20"/>
        </w:rPr>
        <w:t>PWR LIFT)</w:t>
      </w:r>
      <w:r>
        <w:rPr>
          <w:rFonts w:ascii="Times New Roman;sans-serif" w:hAnsi="Times New Roman;sans-serif"/>
          <w:b w:val="false"/>
          <w:color w:val="000000"/>
          <w:sz w:val="20"/>
        </w:rPr>
        <w:t xml:space="preserve">. </w:t>
      </w:r>
    </w:p>
    <w:p>
      <w:pPr>
        <w:pStyle w:val="TextBody"/>
        <w:spacing w:lineRule="auto" w:line="288" w:before="240" w:after="283"/>
        <w:ind w:left="0" w:right="0" w:firstLine="540"/>
        <w:rPr/>
      </w:pPr>
      <w:r>
        <w:rPr>
          <w:rFonts w:ascii="Times New Roman;sans-serif" w:hAnsi="Times New Roman;sans-serif"/>
          <w:b w:val="false"/>
          <w:color w:val="000000"/>
          <w:sz w:val="20"/>
        </w:rPr>
        <w:t xml:space="preserve">The Company was incorporated in Delaware on January 17, 2007. In 2018, the Company purchased certain assets and liabilities of </w:t>
      </w:r>
      <w:r>
        <w:rPr>
          <w:rFonts w:ascii="Times New Roman;sans-serif" w:hAnsi="Times New Roman;sans-serif"/>
          <w:b w:val="false"/>
          <w:i/>
          <w:color w:val="000000"/>
          <w:sz w:val="20"/>
        </w:rPr>
        <w:t>Runa</w:t>
      </w:r>
      <w:r>
        <w:rPr>
          <w:rFonts w:ascii="Times New Roman;sans-serif" w:hAnsi="Times New Roman;sans-serif"/>
          <w:b w:val="false"/>
          <w:color w:val="000000"/>
          <w:sz w:val="20"/>
        </w:rPr>
        <w:t xml:space="preserve">, which is marketed and distributed primarily in the United States. Effective as of September 9, 2021, the name of the Company was changed from All Market Inc. to The Vita Coco Company, Inc.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public benefit corporation under Section 362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nine wholly-owned subsidiaries including four wholly-owned Asian subsidiaries established between fiscal 2012 and 2015, one North American subsidiary established in 2015, as well as All Market Europe, Ltd. (AME) in the United Kingdom. AME was established in fiscal year 2009 and has 100% ownership in two European subsidiaries established in 2015. The non-controlling interest in AME represents minority stockholders’ proportionate share of the equity in AME during the fiscal year 2021, which was fully acquired by the Company as of December 31, 2021. One of the wholly-owned Asian subsidiaries, All Market Singapore Pte Ltd (AMS), has 100% ownership in one subsidiary, established in fiscal year 2018 in Ecuador.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Initial Public Offering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registration statement on Form S-1, as amended, was declared effective by the Securities and Exchange Commission ("SEC") on October 20, 2021 related to the initial public offering ("IPO" of its common stock in the prospectus dated October 20, 2021, filed with the SEC in accordance with Rule 424(b)(4) of the Securities Act on October 22, 2021 (the “Prospectus”). On October 21, 2021, the Company’s shares began trading on the NASDAQ under the ticker symbol “COCO”. On October 25, 2021, we completed our IPO by issuing 2,500,000 shares of our common stock, $0.01 par value per share, at a price to the public of $15 per share, resulting in net proceeds to us of approximately $30,000, after deducting the underwriting discount and commissions of approximately $2,000 and offering expenses of approximately $5,000. Additionally, certain selling stockholders sold an aggregate of 9,000,000 shares. On October, 27, 2021, the Company used the net proceeds from the IPO to repay the outstanding balance on the 2021 Term Loan.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 with the IPO, various agreements were amended or newly effective, which are further described in our Prospectus, which include: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The Registration Rights agreement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The Investor Rights agreement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Amendments to the employment agreements for the then co-CEOs, Mike Kirban and Martin Roper;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Adoption of the new 2021 Stock Incentive Award Plan and new grants of awards to employees and directors, which was effective in connection with the IPO; and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Adoption of a new 2021 Employee Stock Purchase Plan, which was effective in connection with the IPO.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Impact of the COVID-19 Pandemic and the Russia-Ukraine War</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Disruptions in the worldwide economy may affect our business, and the macroeconomic environment continues to be affected by the COVID-19 pandemic and the Russia-Ukraine war. As a result, the Company has seen significant cost inflation to domestic and international shipping costs and some inflationary pressures on other cost elements, only some of which have been covered by pricing actions to date. The Company is continuing to monitor the situation carefully to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understand any future potential impact on its people and business. As a result, it is not currently possible to ascertain the overall impact of COVID-19 or the Russia-Ukraine war on the Company’s business, results of operations, financial condition, or liquidity. Future events and effects related to COVID-19 or the Russia-Ukraine war cannot be determined with precision and actual results could significantly differ from estimates or forecasts.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Unaudited interim financial information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condensed consolidated interim financial statements are prepared in accordance with accounting principles generally accepted in the United States of America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2022 or for any other interim period or for any other future year. The condensed consolidated balance sheet as of March 31, 2022 is unaudited and should be read in conjunction with the audited consolidated financial statements and the related notes thereto for the fiscal year ended December 31, 2021.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there were no significant changes to the Company’s significant accounting policies as described in the Company’s audited consolidated financial statement as of and for the year ended December 31, 2021, except for the adoption of the new lease standard described in Note 2, under "Leases" and "Recently Adopted Accounting Pronouncements".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 xml:space="preserve">2. </w:t>
      </w:r>
      <w:r>
        <w:rPr>
          <w:rFonts w:ascii="Times New Roman;sans-serif" w:hAnsi="Times New Roman;sans-serif"/>
          <w:b/>
          <w:i/>
          <w:color w:val="000000"/>
          <w:sz w:val="20"/>
        </w:rPr>
        <w:t xml:space="preserve">SUMMARY OF SIGNIFICANT ACCOUNTING POLICIES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of Presentation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presented in accordance with U.S. GAAP.</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Principles of Consolidation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all the accounts of the wholly-owned subsidiaries. All intercompany accounts and transactions have been eliminated in consolidation. The non-controlling interest in consolidated subsidiaries presented in the accompanying condensed consolidated financial statements for periods prior to December 31, 2021 represents the portion of AME stockholders’ equity, which is not directly owned by the Company.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Use of Estimates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share-based compensation, assessing long-lived assets for impairment, estimating the net realizable value of inventories, the determination of accounts receivables reserve, assessing goodwill for impairment, the determination of the value of trade promotions, and assessing the realizability of deferred income taxes. Actual results could differ from those estimates.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Concentration of Credit Risk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financial institutions and any excess cash above a certain minimum balance may be invested in overnight money market treasury deposits in widely diversified accounts.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56% of total net sales for both the three months ended March 31, 2022 and 2021. In addition, the two customers in aggregate also accounted for 40% and 37% of total accounts receivable as of March 31, 2022 and December 31, 2021, respectively. The Company has not experienced credit issues with these customers.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Prior to adopting ASU 2016-02, Leases (Topic 842) (“ASC 842”) on January 1, 2022 as described in "Recently Adopted Accounting Pronouncements" within this Note, the Company applied the lease accounting guidance as issued in ASC 840. Under ASC 840, the Company classified its leases as operating or capital based on the evaluation of certain criteria that served to indicate whether the risks and rewards of ownership of the underlying asset had been transferred to the lessee. For leases that contained rent escalations or rent holidays, the Company recorded the total rent expense on a straight-line basis over the lease term and recorded the difference between the rent paid and the straight-line rent expense as deferred rent on the balance sheet. Any tenant incentives received from the lessor were recorded as a reduction to rent expense over the lease term.</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842, at the inception of an arrangement, the Company determines whether the arrangement is or contains a lease based on the unique facts and circumstances present in the arrangement, including which party controls the use of identified assets. The Company classifies leases with a term greater than one year as either operating or finance leases at the commencement date and records a right-of-use asset and current and non-current lease liabilities, as applicable on the balance sheet. The Company has elected not to recognize on the balance sheet leases with terms of one year or less, but payments are recognized as expense on a straight-line basis over the lease term. If a lease includes options to extend the lease term, the Company does not assume the option will be exercised unless there is reasonable certainty that the Company will renew based on an assessment of economic factors present at the lease commencement date.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its lease liability for each leased asset as the present value of lease payments, as defined in ASC 842, discounted using a discount rate specific to the terms of the underlying lease. The interest rate implicit in lease contracts is typically not readily determinable. As a result, the Company estimated its incremental borrowing rate for each leased asset based on the interest rate the Company would incur to borrow an amount equal to the lease payments on a collateralized basis over a similar term in a similar economic environment. The Company’s right-of-use assets are equal to the lease liability, adjusted for prepaid rent, initial direct costs, and incentives, as applicable. After lease commencement and the establishment of a right-to-use asset and operating lease liability, lease expense is recorded on a straight-line basis over the lease term. </w:t>
      </w:r>
    </w:p>
    <w:p>
      <w:pPr>
        <w:pStyle w:val="TextBody"/>
        <w:spacing w:lineRule="auto" w:line="288" w:before="120" w:after="283"/>
        <w:ind w:left="0" w:right="0" w:firstLine="540"/>
        <w:rPr/>
      </w:pPr>
      <w:r>
        <w:rPr>
          <w:rFonts w:ascii="Times New Roman;sans-serif" w:hAnsi="Times New Roman;sans-serif"/>
          <w:b w:val="false"/>
          <w:color w:val="000000"/>
          <w:sz w:val="20"/>
        </w:rPr>
        <w:t>In accordance with the guidance in ASC 842, components of a lease should be split into three categories: lease components (e.g. land, building, etc.), non-lease components (e.g. common area maintenance, consumables, etc.), and non-components (e.g. property taxes, insurance, etc.). The fixed and in-substance fixed contract consideration (including any related to non-components) must be allocated to the lease components and non-lease components based on their relative fair values. The Company elected the accounting policy available under ASC 842 to not separate lease and non-lease components for its real estate and equipment leases. Therefore, each lease component and the related non-lease components and non-components are accounted for together as a single component. Variable costs associated with the lease, such as maintenance and utilities, are not included in the measurement of right-to-use assets and lease liabilities but rather expensed when the events determining the amount of variable consideration to be paid have occurred</w:t>
      </w:r>
      <w:r>
        <w:rPr>
          <w:rFonts w:ascii="Times New Roman;sans-serif" w:hAnsi="Times New Roman;sans-serif"/>
          <w:b w:val="false"/>
          <w:color w:val="000000"/>
          <w:sz w:val="22"/>
        </w:rPr>
        <w: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Refer to Note 15, Leases, for additional discussion.</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Adopted Accounting Pronouncements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Financial Accounting Standards Board ("FASB") issued ASC 842, which was amended by subsequent ASUs, to enhance the comparability and usefulness of financial reporting around leasing activity. The new standard supersedes the existing authoritative literature for lease accounting under ASC 840, with a focus on applying a “right-of-use model.” The guidance for leases under ASC 842 results in a right-of-use asset (“ROU asset”) and lease liability being reported on the balance sheet for leases with a lease term greater than twelve months. In June 2020, the FASB issued ASU 2020-05, Revenue from Contracts with Customers (Topic 606) and Leases (Topic 842): Effective Dates for certain Entities, which deferred the effective date of ASU 2016-02 for certain entities. ASC 842 is effective for the Company, as an Emerging Growth Company (“EGC”), for annual reporting periods beginning after December 15, 2021 and for interim periods beginning after December 15, 2022. The Company adopted the standard on January 1, 2022 using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alternative modified retrospective transition approach in accordance with ASU 2018-11, Leases (Topic 842): Targeted Improvements, where the adoption date represents the initial date of application. </w:t>
      </w:r>
    </w:p>
    <w:p>
      <w:pPr>
        <w:pStyle w:val="TextBody"/>
        <w:spacing w:before="0" w:after="0"/>
        <w:ind w:left="0" w:right="0" w:firstLine="540"/>
        <w:jc w:val="both"/>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part of its adoption, the Company elected to apply the package of practical expedients requiring no reassessment of whether any expired or existing contracts are or contain leases, the lease classification of any expired or existing leases, or the capitalization of initial direct costs for any existing leases. Additionally, the Company elected the practical expedient that permits the exclusion of leases considered to be short-term.</w:t>
      </w:r>
    </w:p>
    <w:p>
      <w:pPr>
        <w:pStyle w:val="TextBody"/>
        <w:spacing w:before="0" w:after="0"/>
        <w:ind w:left="0" w:right="0" w:firstLine="720"/>
        <w:jc w:val="both"/>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alternative modified retrospective transition approach, the reported results for 2022 reflect the application of ASC 842 guidance, whereas comparative periods and the respective disclosures prior to the adoption of ASC 842 are presented using the legacy guidance of ASC 840. As a result of adopting the new standard, the Company recognized right-of-use assets and lease liabilities of $1,866 and $2,097, respectively, on the Company’s consolidated balance sheet as of January 1, 2022. The difference of $231 between the operating lease right-of-use assets and operating lease liabilities represents reclassification of deferred rent liability from other liabilities to operating lease right-to-use assets at the adoption date. The adoption of the standard did not have a material impact on the Company’s consolidated statements of operations, or consolidated statements of cash flows. </w:t>
      </w:r>
    </w:p>
    <w:p>
      <w:pPr>
        <w:pStyle w:val="TextBody"/>
        <w:spacing w:before="0" w:after="0"/>
        <w:ind w:left="0" w:right="0" w:firstLine="720"/>
        <w:jc w:val="both"/>
        <w:rPr/>
      </w:pPr>
      <w:r>
        <w:rPr/>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Issued Accounting Pronouncements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company with less than $1.07 billion of revenue during the last fiscal year, the Company qualifies as an “emerging growth company” as defined in the Jumpstart Our Business Startups Act. This classification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pStyle w:val="TextBody"/>
        <w:spacing w:before="120" w:after="283"/>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 xml:space="preserve">3. </w:t>
      </w:r>
      <w:r>
        <w:rPr>
          <w:rFonts w:ascii="Times New Roman;sans-serif" w:hAnsi="Times New Roman;sans-serif"/>
          <w:b/>
          <w:i/>
          <w:color w:val="000000"/>
          <w:sz w:val="20"/>
        </w:rPr>
        <w:t>REVENUE RECOGNITION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are accounted for in accordance with ASC 606. The Company disaggregates revenue into the following product categories: </w:t>
      </w:r>
    </w:p>
    <w:p>
      <w:pPr>
        <w:pStyle w:val="TextBody"/>
        <w:spacing w:lineRule="auto" w:line="288" w:before="120" w:after="283"/>
        <w:ind w:left="0" w:right="0" w:hanging="360"/>
        <w:rPr/>
      </w:pPr>
      <w:r>
        <w:rPr>
          <w:color w:val="000000"/>
        </w:rPr>
        <w:t>•</w:t>
      </w:r>
      <w:r>
        <w:rPr>
          <w:rFonts w:ascii="Times New Roman;sans-serif" w:hAnsi="Times New Roman;sans-serif"/>
          <w:b/>
          <w:i/>
          <w:color w:val="000000"/>
          <w:sz w:val="20"/>
        </w:rPr>
        <w:t>Vita Coco Coconut Water</w:t>
      </w:r>
      <w:r>
        <w:rPr>
          <w:color w:val="000000"/>
        </w:rPr>
        <w:t>—</w:t>
      </w:r>
      <w:r>
        <w:rPr>
          <w:rFonts w:ascii="Times New Roman;sans-serif" w:hAnsi="Times New Roman;sans-serif"/>
          <w:b w:val="false"/>
          <w:color w:val="000000"/>
          <w:sz w:val="20"/>
        </w:rPr>
        <w:t xml:space="preserve">This product category consists of all branded coconut water product offerings under the </w:t>
      </w:r>
      <w:r>
        <w:rPr>
          <w:rFonts w:ascii="Times New Roman;sans-serif" w:hAnsi="Times New Roman;sans-serif"/>
          <w:b w:val="false"/>
          <w:i/>
          <w:color w:val="000000"/>
          <w:sz w:val="20"/>
        </w:rPr>
        <w:t xml:space="preserve">Vita Coco </w:t>
      </w:r>
      <w:r>
        <w:rPr>
          <w:rFonts w:ascii="Times New Roman;sans-serif" w:hAnsi="Times New Roman;sans-serif"/>
          <w:b w:val="false"/>
          <w:color w:val="000000"/>
          <w:sz w:val="20"/>
        </w:rPr>
        <w:t xml:space="preserve">labels, where the 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 </w:t>
      </w:r>
    </w:p>
    <w:p>
      <w:pPr>
        <w:pStyle w:val="TextBody"/>
        <w:spacing w:lineRule="auto" w:line="288" w:before="120" w:after="283"/>
        <w:ind w:left="0" w:right="0" w:hanging="360"/>
        <w:rPr/>
      </w:pPr>
      <w:r>
        <w:rPr>
          <w:color w:val="000000"/>
        </w:rPr>
        <w:t>•</w:t>
      </w:r>
      <w:r>
        <w:rPr>
          <w:rFonts w:ascii="Times New Roman;sans-serif" w:hAnsi="Times New Roman;sans-serif"/>
          <w:b/>
          <w:i/>
          <w:color w:val="000000"/>
          <w:sz w:val="20"/>
        </w:rPr>
        <w:t>Private Label</w:t>
      </w:r>
      <w:r>
        <w:rPr>
          <w:color w:val="000000"/>
        </w:rPr>
        <w:t>—</w:t>
      </w:r>
      <w:r>
        <w:rPr>
          <w:rFonts w:ascii="Times New Roman;sans-serif" w:hAnsi="Times New Roman;sans-serif"/>
          <w:b w:val="false"/>
          <w:color w:val="000000"/>
          <w:sz w:val="20"/>
        </w:rPr>
        <w:t xml:space="preserve">This product category consists of all private label product offerings, which includes coconut water and oil.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 </w:t>
      </w:r>
    </w:p>
    <w:p>
      <w:pPr>
        <w:pStyle w:val="TextBody"/>
        <w:spacing w:lineRule="auto" w:line="288" w:before="120" w:after="283"/>
        <w:ind w:left="0" w:right="0" w:hanging="360"/>
        <w:rPr/>
      </w:pPr>
      <w:r>
        <w:rPr>
          <w:color w:val="000000"/>
        </w:rPr>
        <w:t>•</w:t>
      </w:r>
      <w:r>
        <w:rPr>
          <w:rFonts w:ascii="Times New Roman;sans-serif" w:hAnsi="Times New Roman;sans-serif"/>
          <w:b/>
          <w:i/>
          <w:color w:val="000000"/>
          <w:sz w:val="20"/>
        </w:rPr>
        <w:t>Other</w:t>
      </w:r>
      <w:r>
        <w:rPr>
          <w:color w:val="000000"/>
        </w:rPr>
        <w:t>—</w:t>
      </w:r>
      <w:r>
        <w:rPr>
          <w:rFonts w:ascii="Times New Roman;sans-serif" w:hAnsi="Times New Roman;sans-serif"/>
          <w:b w:val="false"/>
          <w:color w:val="000000"/>
          <w:sz w:val="20"/>
        </w:rPr>
        <w:t xml:space="preserve">This product category consists of all other products, which includes </w:t>
      </w:r>
      <w:r>
        <w:rPr>
          <w:rFonts w:ascii="Times New Roman;sans-serif" w:hAnsi="Times New Roman;sans-serif"/>
          <w:b w:val="false"/>
          <w:i/>
          <w:color w:val="000000"/>
          <w:sz w:val="20"/>
        </w:rPr>
        <w:t xml:space="preserve">Runa, Ever &amp; Ever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PWR LIFT </w:t>
      </w:r>
      <w:r>
        <w:rPr>
          <w:rFonts w:ascii="Times New Roman;sans-serif" w:hAnsi="Times New Roman;sans-serif"/>
          <w:b w:val="false"/>
          <w:color w:val="000000"/>
          <w:sz w:val="20"/>
        </w:rPr>
        <w:t xml:space="preserve">product offerings and </w:t>
      </w:r>
      <w:r>
        <w:rPr>
          <w:rFonts w:ascii="Times New Roman;sans-serif" w:hAnsi="Times New Roman;sans-serif"/>
          <w:b w:val="false"/>
          <w:i/>
          <w:color w:val="000000"/>
          <w:sz w:val="20"/>
        </w:rPr>
        <w:t xml:space="preserve">Vita Coco </w:t>
      </w:r>
      <w:r>
        <w:rPr>
          <w:rFonts w:ascii="Times New Roman;sans-serif" w:hAnsi="Times New Roman;sans-serif"/>
          <w:b w:val="false"/>
          <w:color w:val="000000"/>
          <w:sz w:val="20"/>
        </w:rPr>
        <w:t xml:space="preserve">product extensions beyond coconut water, such as </w:t>
      </w:r>
      <w:r>
        <w:rPr>
          <w:rFonts w:ascii="Times New Roman;sans-serif" w:hAnsi="Times New Roman;sans-serif"/>
          <w:b w:val="false"/>
          <w:i/>
          <w:color w:val="000000"/>
          <w:sz w:val="20"/>
        </w:rPr>
        <w:t>Vita Coco Sparkling</w:t>
      </w:r>
      <w:r>
        <w:rPr>
          <w:rFonts w:ascii="Times New Roman;sans-serif" w:hAnsi="Times New Roman;sans-serif"/>
          <w:b w:val="false"/>
          <w:color w:val="000000"/>
          <w:sz w:val="20"/>
        </w:rPr>
        <w:t xml:space="preserve">, coconut milk products, and other revenue transactions (e.g., bulk product sales). For these products, control is transferred upon customer receipt, at which point the Company recognizes the transaction price for the product as revenue.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excludes from revenues all taxes assessed by a governmental authority that are imposed on the sale of its products and collected from customers.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Disaggregation of Revenue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net revenue by product type and reportable segment:</w:t>
      </w:r>
    </w:p>
    <w:tbl>
      <w:tblPr>
        <w:tblW w:w="6076" w:type="dxa"/>
        <w:jc w:val="left"/>
        <w:tblInd w:w="0" w:type="dxa"/>
        <w:tblCellMar>
          <w:top w:w="28" w:type="dxa"/>
          <w:left w:w="28" w:type="dxa"/>
          <w:bottom w:w="28" w:type="dxa"/>
          <w:right w:w="28" w:type="dxa"/>
        </w:tblCellMar>
      </w:tblPr>
      <w:tblGrid>
        <w:gridCol w:w="803"/>
        <w:gridCol w:w="707"/>
        <w:gridCol w:w="709"/>
        <w:gridCol w:w="211"/>
        <w:gridCol w:w="721"/>
        <w:gridCol w:w="109"/>
        <w:gridCol w:w="109"/>
        <w:gridCol w:w="109"/>
        <w:gridCol w:w="109"/>
        <w:gridCol w:w="216"/>
        <w:gridCol w:w="738"/>
        <w:gridCol w:w="112"/>
        <w:gridCol w:w="109"/>
        <w:gridCol w:w="109"/>
        <w:gridCol w:w="109"/>
        <w:gridCol w:w="212"/>
        <w:gridCol w:w="727"/>
        <w:gridCol w:w="157"/>
      </w:tblGrid>
      <w:tr>
        <w:trPr/>
        <w:tc>
          <w:tcPr>
            <w:tcW w:w="8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Americas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 Coco Coconut Water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Label</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076" w:type="dxa"/>
        <w:jc w:val="left"/>
        <w:tblInd w:w="0" w:type="dxa"/>
        <w:tblCellMar>
          <w:top w:w="28" w:type="dxa"/>
          <w:left w:w="28" w:type="dxa"/>
          <w:bottom w:w="28" w:type="dxa"/>
          <w:right w:w="28" w:type="dxa"/>
        </w:tblCellMar>
      </w:tblPr>
      <w:tblGrid>
        <w:gridCol w:w="803"/>
        <w:gridCol w:w="707"/>
        <w:gridCol w:w="709"/>
        <w:gridCol w:w="211"/>
        <w:gridCol w:w="721"/>
        <w:gridCol w:w="109"/>
        <w:gridCol w:w="109"/>
        <w:gridCol w:w="109"/>
        <w:gridCol w:w="109"/>
        <w:gridCol w:w="216"/>
        <w:gridCol w:w="738"/>
        <w:gridCol w:w="112"/>
        <w:gridCol w:w="109"/>
        <w:gridCol w:w="109"/>
        <w:gridCol w:w="109"/>
        <w:gridCol w:w="212"/>
        <w:gridCol w:w="727"/>
        <w:gridCol w:w="157"/>
      </w:tblGrid>
      <w:tr>
        <w:trPr/>
        <w:tc>
          <w:tcPr>
            <w:tcW w:w="8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2021</w:t>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Americas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 Coco Coconut Water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Label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4. INVENTORY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w:t>
      </w:r>
    </w:p>
    <w:tbl>
      <w:tblPr>
        <w:tblW w:w="5012" w:type="dxa"/>
        <w:jc w:val="left"/>
        <w:tblInd w:w="0" w:type="dxa"/>
        <w:tblCellMar>
          <w:top w:w="28" w:type="dxa"/>
          <w:left w:w="28" w:type="dxa"/>
          <w:bottom w:w="28" w:type="dxa"/>
          <w:right w:w="28" w:type="dxa"/>
        </w:tblCellMar>
      </w:tblPr>
      <w:tblGrid>
        <w:gridCol w:w="906"/>
        <w:gridCol w:w="798"/>
        <w:gridCol w:w="801"/>
        <w:gridCol w:w="211"/>
        <w:gridCol w:w="721"/>
        <w:gridCol w:w="109"/>
        <w:gridCol w:w="109"/>
        <w:gridCol w:w="109"/>
        <w:gridCol w:w="109"/>
        <w:gridCol w:w="221"/>
        <w:gridCol w:w="757"/>
        <w:gridCol w:w="161"/>
      </w:tblGrid>
      <w:tr>
        <w:trPr/>
        <w:tc>
          <w:tcPr>
            <w:tcW w:w="90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packaging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75,360 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5. GOODWILL AND INTANGIBLE ASSETS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 consist of the following:</w:t>
      </w:r>
    </w:p>
    <w:tbl>
      <w:tblPr>
        <w:tblW w:w="3289" w:type="dxa"/>
        <w:jc w:val="left"/>
        <w:tblInd w:w="0" w:type="dxa"/>
        <w:tblCellMar>
          <w:top w:w="28" w:type="dxa"/>
          <w:left w:w="28" w:type="dxa"/>
          <w:bottom w:w="28" w:type="dxa"/>
          <w:right w:w="28" w:type="dxa"/>
        </w:tblCellMar>
      </w:tblPr>
      <w:tblGrid>
        <w:gridCol w:w="321"/>
        <w:gridCol w:w="282"/>
        <w:gridCol w:w="283"/>
        <w:gridCol w:w="211"/>
        <w:gridCol w:w="616"/>
        <w:gridCol w:w="109"/>
        <w:gridCol w:w="109"/>
        <w:gridCol w:w="109"/>
        <w:gridCol w:w="109"/>
        <w:gridCol w:w="245"/>
        <w:gridCol w:w="716"/>
        <w:gridCol w:w="179"/>
      </w:tblGrid>
      <w:tr>
        <w:trPr/>
        <w:tc>
          <w:tcPr>
            <w:tcW w:w="3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pPr>
      <w:r>
        <w:rPr>
          <w:rFonts w:ascii="Times New Roman;sans-serif" w:hAnsi="Times New Roman;sans-serif"/>
          <w:b w:val="false"/>
          <w:color w:val="000000"/>
          <w:sz w:val="20"/>
        </w:rPr>
        <w:t xml:space="preserve">All of the Company’s goodwill is associated with the acquisition of </w:t>
      </w:r>
      <w:r>
        <w:rPr>
          <w:rFonts w:ascii="Times New Roman;sans-serif" w:hAnsi="Times New Roman;sans-serif"/>
          <w:b w:val="false"/>
          <w:i/>
          <w:color w:val="000000"/>
          <w:sz w:val="20"/>
        </w:rPr>
        <w:t>Runa</w:t>
      </w:r>
      <w:r>
        <w:rPr>
          <w:rFonts w:ascii="Times New Roman;sans-serif" w:hAnsi="Times New Roman;sans-serif"/>
          <w:b w:val="false"/>
          <w:color w:val="000000"/>
          <w:sz w:val="20"/>
        </w:rPr>
        <w:t>, which was acquired in June 2018. The goodwill is allocated to the Americas reporting unit and is tax deductible.</w:t>
      </w:r>
      <w:r>
        <w:rPr>
          <w:color w:val="000000"/>
        </w:rPr>
        <w:t xml:space="preserve"> </w:t>
      </w:r>
    </w:p>
    <w:tbl>
      <w:tblPr>
        <w:tblW w:w="10205" w:type="dxa"/>
        <w:jc w:val="left"/>
        <w:tblInd w:w="0" w:type="dxa"/>
        <w:tblCellMar>
          <w:top w:w="28" w:type="dxa"/>
          <w:left w:w="28" w:type="dxa"/>
          <w:bottom w:w="28" w:type="dxa"/>
          <w:right w:w="28" w:type="dxa"/>
        </w:tblCellMar>
      </w:tblPr>
      <w:tblGrid>
        <w:gridCol w:w="932"/>
        <w:gridCol w:w="718"/>
        <w:gridCol w:w="720"/>
        <w:gridCol w:w="211"/>
        <w:gridCol w:w="721"/>
        <w:gridCol w:w="109"/>
        <w:gridCol w:w="109"/>
        <w:gridCol w:w="109"/>
        <w:gridCol w:w="109"/>
        <w:gridCol w:w="243"/>
        <w:gridCol w:w="729"/>
        <w:gridCol w:w="127"/>
        <w:gridCol w:w="109"/>
        <w:gridCol w:w="109"/>
        <w:gridCol w:w="109"/>
        <w:gridCol w:w="211"/>
        <w:gridCol w:w="616"/>
        <w:gridCol w:w="109"/>
        <w:gridCol w:w="109"/>
        <w:gridCol w:w="109"/>
        <w:gridCol w:w="109"/>
        <w:gridCol w:w="211"/>
        <w:gridCol w:w="721"/>
        <w:gridCol w:w="109"/>
        <w:gridCol w:w="109"/>
        <w:gridCol w:w="109"/>
        <w:gridCol w:w="109"/>
        <w:gridCol w:w="243"/>
        <w:gridCol w:w="729"/>
        <w:gridCol w:w="127"/>
        <w:gridCol w:w="109"/>
        <w:gridCol w:w="109"/>
        <w:gridCol w:w="109"/>
        <w:gridCol w:w="211"/>
        <w:gridCol w:w="616"/>
        <w:gridCol w:w="157"/>
      </w:tblGrid>
      <w:tr>
        <w:trPr/>
        <w:tc>
          <w:tcPr>
            <w:tcW w:w="932"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 xml:space="preserve">Amortization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 xml:space="preserve">Amortization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(2,187)</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relationships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subject to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pPr>
      <w:r>
        <w:rPr>
          <w:rFonts w:ascii="Times New Roman;sans-serif" w:hAnsi="Times New Roman;sans-serif"/>
          <w:b w:val="false"/>
          <w:color w:val="000000"/>
          <w:sz w:val="20"/>
        </w:rPr>
        <w:t xml:space="preserve">All the intangible assets, net as of March 31, 2022 and December 31, 2021 were associated with the acquisition of </w:t>
      </w:r>
      <w:r>
        <w:rPr>
          <w:rFonts w:ascii="Times New Roman;sans-serif" w:hAnsi="Times New Roman;sans-serif"/>
          <w:b w:val="false"/>
          <w:i/>
          <w:color w:val="000000"/>
          <w:sz w:val="20"/>
        </w:rPr>
        <w:t>Runa</w:t>
      </w:r>
      <w:r>
        <w:rPr>
          <w:rFonts w:ascii="Times New Roman;sans-serif" w:hAnsi="Times New Roman;sans-serif"/>
          <w:b w:val="false"/>
          <w:color w:val="000000"/>
          <w:sz w:val="20"/>
        </w:rPr>
        <w:t xml:space="preserve">, which was acquired in June 2018.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of $305 associated with intangible assets was recorded for both the three months ended March 31, 2022 and 2021, which were included in selling, general and administrative expenses on the condensed consolidated statements of operations.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2022, the estimated future expense for amortizable intangible assets is as follows:</w:t>
      </w:r>
    </w:p>
    <w:tbl>
      <w:tblPr>
        <w:tblW w:w="5781" w:type="dxa"/>
        <w:jc w:val="left"/>
        <w:tblInd w:w="0" w:type="dxa"/>
        <w:tblCellMar>
          <w:top w:w="28" w:type="dxa"/>
          <w:left w:w="28" w:type="dxa"/>
          <w:bottom w:w="28" w:type="dxa"/>
          <w:right w:w="28" w:type="dxa"/>
        </w:tblCellMar>
      </w:tblPr>
      <w:tblGrid>
        <w:gridCol w:w="1739"/>
        <w:gridCol w:w="1526"/>
        <w:gridCol w:w="1535"/>
        <w:gridCol w:w="211"/>
        <w:gridCol w:w="616"/>
        <w:gridCol w:w="154"/>
      </w:tblGrid>
      <w:tr>
        <w:trPr/>
        <w:tc>
          <w:tcPr>
            <w:tcW w:w="1739" w:type="dxa"/>
            <w:tcBorders/>
            <w:shd w:fill="auto" w:val="clear"/>
            <w:vAlign w:val="center"/>
          </w:tcPr>
          <w:p>
            <w:pPr>
              <w:pStyle w:val="TableContents"/>
              <w:spacing w:before="0" w:after="283"/>
              <w:rPr>
                <w:sz w:val="4"/>
                <w:szCs w:val="4"/>
              </w:rPr>
            </w:pPr>
            <w:r>
              <w:rPr>
                <w:sz w:val="4"/>
                <w:szCs w:val="4"/>
              </w:rPr>
            </w:r>
          </w:p>
        </w:tc>
        <w:tc>
          <w:tcPr>
            <w:tcW w:w="1526"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Quarter ending March 31, 2022,</w:t>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 (excluding the three months ended March 31, 2022)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 xml:space="preserve">6. </w:t>
      </w:r>
      <w:r>
        <w:rPr>
          <w:rFonts w:ascii="Times New Roman;sans-serif" w:hAnsi="Times New Roman;sans-serif"/>
          <w:b/>
          <w:i/>
          <w:color w:val="000000"/>
          <w:sz w:val="20"/>
        </w:rPr>
        <w:t xml:space="preserve">DEBT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table below details the outstanding balances on the Company’s credit facility and notes payable as of March 31, 2022 and December 31, 2021:</w:t>
      </w:r>
    </w:p>
    <w:tbl>
      <w:tblPr>
        <w:tblW w:w="4277" w:type="dxa"/>
        <w:jc w:val="left"/>
        <w:tblInd w:w="0" w:type="dxa"/>
        <w:tblCellMar>
          <w:top w:w="28" w:type="dxa"/>
          <w:left w:w="28" w:type="dxa"/>
          <w:bottom w:w="28" w:type="dxa"/>
          <w:right w:w="28" w:type="dxa"/>
        </w:tblCellMar>
      </w:tblPr>
      <w:tblGrid>
        <w:gridCol w:w="641"/>
        <w:gridCol w:w="562"/>
        <w:gridCol w:w="567"/>
        <w:gridCol w:w="211"/>
        <w:gridCol w:w="721"/>
        <w:gridCol w:w="109"/>
        <w:gridCol w:w="109"/>
        <w:gridCol w:w="109"/>
        <w:gridCol w:w="109"/>
        <w:gridCol w:w="311"/>
        <w:gridCol w:w="599"/>
        <w:gridCol w:w="229"/>
      </w:tblGrid>
      <w:tr>
        <w:trPr/>
        <w:tc>
          <w:tcPr>
            <w:tcW w:w="641"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2020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loans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68</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9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76</w:t>
            </w:r>
            <w:r>
              <w:rPr>
                <w:color w:val="000000"/>
              </w:rPr>
              <w:t> </w:t>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Non-current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2020 Credit Facility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no outstanding borrowings under its 2020 Credit Facility. As of March 31, 2022, $12,000 was outstanding, and $48,000 undrawn and available under its 2020 Credit Facility. The 2020 Credit Facility is collateralized by substantially all of the Company’s assets. Borrowings under the 2020 Credit Facility bear interest at a rate per annum equal to, at our option, either (a) adjusted LIBOR (or current LIBOR replacement rate), which shall not be less than 0.0%, plus the applicable rate or (b) base rate (determined by reference to the greatest of the prime rate published by Wells Fargo, the federal funds effective rate plus 1.5% and one-month LIBOR (or current LIBOR replacement) plus 1.5%). The applicable rate for LIBOR borrowings under the 2020 Credit Facility is subject to step-downs based on our total net leverage ratio (as defined in the credit agreement) for the immediately preceding fiscal quarter. In addition, the Company is currently subject to an unused commitment fee ranging from 0.05% and 0.20% on the unused amount of the line of credit, with the rate being based on the Company’s leverage ratio (as defined in the credit agreement). The maturity date on the 2020 Credit Facility is May 12, 2026.</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Interest expense and unused commitment fee for the 2020 Credit Facility amounted to $26 and $79 for the three months ended March 31, 2022 and 2021, respectively.</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March 31, 2022, the Company was compliant with all financial covenants.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pPr>
      <w:r>
        <w:rPr>
          <w:rFonts w:ascii="Times New Roman;sans-serif" w:hAnsi="Times New Roman;sans-serif"/>
          <w:b/>
          <w:color w:val="000000"/>
          <w:sz w:val="20"/>
        </w:rPr>
        <w:t xml:space="preserve">7. </w:t>
      </w:r>
      <w:r>
        <w:rPr>
          <w:rFonts w:ascii="Times New Roman;sans-serif" w:hAnsi="Times New Roman;sans-serif"/>
          <w:b/>
          <w:i/>
          <w:color w:val="000000"/>
          <w:sz w:val="20"/>
        </w:rPr>
        <w:t xml:space="preserve">COMMITMENTS AND CONTINGENCIES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Contingencies: </w:t>
      </w:r>
    </w:p>
    <w:p>
      <w:pPr>
        <w:pStyle w:val="TextBody"/>
        <w:spacing w:lineRule="auto" w:line="288" w:before="120" w:after="283"/>
        <w:ind w:left="0" w:right="0" w:firstLine="540"/>
        <w:rPr/>
      </w:pPr>
      <w:r>
        <w:rPr>
          <w:rFonts w:ascii="Times New Roman;sans-serif" w:hAnsi="Times New Roman;sans-serif"/>
          <w:b/>
          <w:i/>
          <w:color w:val="000000"/>
          <w:sz w:val="20"/>
        </w:rPr>
        <w:t>Litigation</w:t>
      </w:r>
      <w:r>
        <w:rPr>
          <w:color w:val="000000"/>
        </w:rPr>
        <w:t>—</w:t>
      </w:r>
      <w:r>
        <w:rPr>
          <w:rFonts w:ascii="Times New Roman;sans-serif" w:hAnsi="Times New Roman;sans-serif"/>
          <w:b w:val="false"/>
          <w:color w:val="000000"/>
          <w:sz w:val="20"/>
        </w:rPr>
        <w:t xml:space="preserve">The Company may engage in various litigation matters in the ordinary course of business. The Company intends to vigorously defend itself in such matters, based upon the advice of legal counsel, and is of the opinion that the resolution of these matters will not have a material effect on the condensed consolidated financial statements. For any cases for which management believes that it is more likely than not that it will incur a loss, a provision for legal settlements will be recorded. As of March 31, 2022 and December 31, 2021, the Company has not recorded any liabilities relating to legal settlements. </w:t>
      </w:r>
    </w:p>
    <w:p>
      <w:pPr>
        <w:pStyle w:val="TextBody"/>
        <w:spacing w:lineRule="auto" w:line="288" w:before="240" w:after="283"/>
        <w:ind w:left="0" w:right="0" w:firstLine="540"/>
        <w:rPr/>
      </w:pPr>
      <w:r>
        <w:rPr>
          <w:rFonts w:ascii="Times New Roman;sans-serif" w:hAnsi="Times New Roman;sans-serif"/>
          <w:b/>
          <w:i/>
          <w:color w:val="000000"/>
          <w:sz w:val="20"/>
        </w:rPr>
        <w:t>Business Risk</w:t>
      </w:r>
      <w:r>
        <w:rPr>
          <w:color w:val="000000"/>
        </w:rPr>
        <w:t>—</w:t>
      </w:r>
      <w:r>
        <w:rPr>
          <w:rFonts w:ascii="Times New Roman;sans-serif" w:hAnsi="Times New Roman;sans-serif"/>
          <w:b w:val="false"/>
          <w:color w:val="000000"/>
          <w:sz w:val="20"/>
        </w:rPr>
        <w:t>The Company imports finished goods predominantly from manufacturers located in South American and Southeast Asian countries. The Company may be subject to certain business risks due to potential instability in these regions.</w:t>
      </w:r>
    </w:p>
    <w:p>
      <w:pPr>
        <w:pStyle w:val="TextBody"/>
        <w:spacing w:lineRule="auto" w:line="288" w:before="240" w:after="283"/>
        <w:ind w:left="0" w:right="0" w:firstLine="540"/>
        <w:rPr/>
      </w:pPr>
      <w:r>
        <w:rPr>
          <w:rFonts w:ascii="Times New Roman;sans-serif" w:hAnsi="Times New Roman;sans-serif"/>
          <w:b/>
          <w:i/>
          <w:color w:val="000000"/>
          <w:sz w:val="20"/>
        </w:rPr>
        <w:t>Major Customers</w:t>
      </w:r>
      <w:r>
        <w:rPr>
          <w:color w:val="000000"/>
        </w:rPr>
        <w:t>—</w:t>
      </w:r>
      <w:r>
        <w:rPr>
          <w:rFonts w:ascii="Times New Roman;sans-serif" w:hAnsi="Times New Roman;sans-serif"/>
          <w:b w:val="false"/>
          <w:color w:val="000000"/>
          <w:sz w:val="20"/>
        </w:rPr>
        <w:t>The Company’s customers that accounted for 10% or more of total net sales and total accounts receivable were as follows:</w:t>
      </w:r>
      <w:r>
        <w:rPr>
          <w:color w:val="000000"/>
        </w:rPr>
        <w:t xml:space="preserve"> </w:t>
      </w:r>
    </w:p>
    <w:tbl>
      <w:tblPr>
        <w:tblW w:w="6192" w:type="dxa"/>
        <w:jc w:val="left"/>
        <w:tblInd w:w="0" w:type="dxa"/>
        <w:tblCellMar>
          <w:top w:w="28" w:type="dxa"/>
          <w:left w:w="28" w:type="dxa"/>
          <w:bottom w:w="28" w:type="dxa"/>
          <w:right w:w="28" w:type="dxa"/>
        </w:tblCellMar>
      </w:tblPr>
      <w:tblGrid>
        <w:gridCol w:w="391"/>
        <w:gridCol w:w="344"/>
        <w:gridCol w:w="345"/>
        <w:gridCol w:w="200"/>
        <w:gridCol w:w="200"/>
        <w:gridCol w:w="498"/>
        <w:gridCol w:w="200"/>
        <w:gridCol w:w="200"/>
        <w:gridCol w:w="200"/>
        <w:gridCol w:w="200"/>
        <w:gridCol w:w="200"/>
        <w:gridCol w:w="498"/>
        <w:gridCol w:w="109"/>
        <w:gridCol w:w="109"/>
        <w:gridCol w:w="109"/>
        <w:gridCol w:w="190"/>
        <w:gridCol w:w="190"/>
        <w:gridCol w:w="474"/>
        <w:gridCol w:w="132"/>
        <w:gridCol w:w="132"/>
        <w:gridCol w:w="132"/>
        <w:gridCol w:w="231"/>
        <w:gridCol w:w="231"/>
        <w:gridCol w:w="677"/>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sales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Accounts receivable </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6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4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One of the customers acquired less than 5% ownership in the Company upon consummation of the IPO.</w:t>
      </w:r>
    </w:p>
    <w:p>
      <w:pPr>
        <w:pStyle w:val="TextBody"/>
        <w:spacing w:lineRule="auto" w:line="288" w:before="240" w:after="283"/>
        <w:ind w:left="0" w:right="0" w:firstLine="540"/>
        <w:rPr/>
      </w:pPr>
      <w:r>
        <w:rPr>
          <w:rFonts w:ascii="Times New Roman;sans-serif" w:hAnsi="Times New Roman;sans-serif"/>
          <w:b/>
          <w:i/>
          <w:color w:val="000000"/>
          <w:sz w:val="20"/>
        </w:rPr>
        <w:t>Major Suppliers</w:t>
      </w:r>
      <w:r>
        <w:rPr>
          <w:color w:val="000000"/>
        </w:rPr>
        <w:t>—</w:t>
      </w:r>
      <w:r>
        <w:rPr>
          <w:rFonts w:ascii="Times New Roman;sans-serif" w:hAnsi="Times New Roman;sans-serif"/>
          <w:b w:val="false"/>
          <w:color w:val="000000"/>
          <w:sz w:val="20"/>
        </w:rPr>
        <w:t>The Company’s suppliers that accounted for 10% or more of the Company’s purchases were as follows:</w:t>
      </w:r>
    </w:p>
    <w:tbl>
      <w:tblPr>
        <w:tblW w:w="3432" w:type="dxa"/>
        <w:jc w:val="left"/>
        <w:tblInd w:w="0" w:type="dxa"/>
        <w:tblCellMar>
          <w:top w:w="28" w:type="dxa"/>
          <w:left w:w="28" w:type="dxa"/>
          <w:bottom w:w="28" w:type="dxa"/>
          <w:right w:w="28" w:type="dxa"/>
        </w:tblCellMar>
      </w:tblPr>
      <w:tblGrid>
        <w:gridCol w:w="359"/>
        <w:gridCol w:w="315"/>
        <w:gridCol w:w="316"/>
        <w:gridCol w:w="197"/>
        <w:gridCol w:w="197"/>
        <w:gridCol w:w="491"/>
        <w:gridCol w:w="197"/>
        <w:gridCol w:w="197"/>
        <w:gridCol w:w="197"/>
        <w:gridCol w:w="197"/>
        <w:gridCol w:w="197"/>
        <w:gridCol w:w="572"/>
      </w:tblGrid>
      <w:tr>
        <w:trPr/>
        <w:tc>
          <w:tcPr>
            <w:tcW w:w="35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A</w:t>
            </w:r>
          </w:p>
        </w:tc>
        <w:tc>
          <w:tcPr>
            <w:tcW w:w="3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B</w:t>
            </w:r>
          </w:p>
        </w:tc>
        <w:tc>
          <w:tcPr>
            <w:tcW w:w="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5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 xml:space="preserve">8. </w:t>
      </w:r>
      <w:r>
        <w:rPr>
          <w:rFonts w:ascii="Times New Roman;sans-serif" w:hAnsi="Times New Roman;sans-serif"/>
          <w:b/>
          <w:i/>
          <w:color w:val="000000"/>
          <w:sz w:val="20"/>
        </w:rPr>
        <w:t xml:space="preserve">DERIVATIVE INSTRUMENTS </w:t>
      </w:r>
    </w:p>
    <w:p>
      <w:pPr>
        <w:pStyle w:val="TextBody"/>
        <w:spacing w:lineRule="auto" w:line="288" w:before="120" w:after="283"/>
        <w:ind w:left="0" w:right="0" w:firstLine="540"/>
        <w:rPr/>
      </w:pPr>
      <w:r>
        <w:rPr>
          <w:rFonts w:ascii="Times New Roman;sans-serif" w:hAnsi="Times New Roman;sans-serif"/>
          <w:b w:val="false"/>
          <w:color w:val="000000"/>
          <w:sz w:val="20"/>
        </w:rPr>
        <w:t xml:space="preserve">The Company accounts for derivative instruments in accordance with the ASC Topic 815,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 xml:space="preserve">("ASC 815"). These principles require that all derivative instruments be recognized at fair value on each balance sheet date unless they qualify for a scope exclusion as a normal purchase or sales transaction, which is accounted for under the accrual method of accounting. In addition, these principles permit derivative instruments that qualify for hedge accounting to 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March 31, 2022 and December 31, 2021, the Company did not have any derivative instruments that it had designated as fair value or cash flow hedges.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the following currency risks: </w:t>
      </w:r>
    </w:p>
    <w:p>
      <w:pPr>
        <w:pStyle w:val="TextBody"/>
        <w:spacing w:lineRule="auto" w:line="288" w:before="240" w:after="283"/>
        <w:ind w:left="0" w:right="0" w:firstLine="540"/>
        <w:rPr/>
      </w:pPr>
      <w:r>
        <w:rPr>
          <w:rFonts w:ascii="Times New Roman;sans-serif" w:hAnsi="Times New Roman;sans-serif"/>
          <w:b/>
          <w:i/>
          <w:color w:val="000000"/>
          <w:sz w:val="20"/>
        </w:rPr>
        <w:t>Inventory Purchases from Brazilian, Malaysian and Thai Manufacturers</w:t>
      </w:r>
      <w:r>
        <w:rPr>
          <w:color w:val="000000"/>
        </w:rPr>
        <w:t>—</w:t>
      </w:r>
      <w:r>
        <w:rPr>
          <w:rFonts w:ascii="Times New Roman;sans-serif" w:hAnsi="Times New Roman;sans-serif"/>
          <w:b w:val="false"/>
          <w:color w:val="000000"/>
          <w:sz w:val="20"/>
        </w:rPr>
        <w:t xml:space="preserve">In order to mitigate the currency risk on inventory purchases from its Brazilian, Malaysian and Thai manufacturers, which are settled in Brazilian Real ("BRL"), Malaysian Ringgit ("MYR") and Thai Baht ("THB"), the AMS subsidiary enters a series of forward currency swaps to buy BRL, MYR and THB. </w:t>
      </w:r>
    </w:p>
    <w:p>
      <w:pPr>
        <w:pStyle w:val="TextBody"/>
        <w:spacing w:lineRule="auto" w:line="288" w:before="240" w:after="283"/>
        <w:ind w:left="0" w:right="0" w:firstLine="540"/>
        <w:rPr/>
      </w:pPr>
      <w:r>
        <w:rPr>
          <w:rFonts w:ascii="Times New Roman;sans-serif" w:hAnsi="Times New Roman;sans-serif"/>
          <w:b/>
          <w:i/>
          <w:color w:val="000000"/>
          <w:sz w:val="20"/>
        </w:rPr>
        <w:t>Intercompany Transactions Between AME and AMS</w:t>
      </w:r>
      <w:r>
        <w:rPr>
          <w:color w:val="000000"/>
        </w:rPr>
        <w:t>—</w:t>
      </w:r>
      <w:r>
        <w:rPr>
          <w:rFonts w:ascii="Times New Roman;sans-serif" w:hAnsi="Times New Roman;sans-serif"/>
          <w:b w:val="false"/>
          <w:color w:val="000000"/>
          <w:sz w:val="20"/>
        </w:rPr>
        <w:t xml:space="preserve">In order to mitigate the currency risk on intercompany transactions between AME and AMS, AMS enters into foreign currency swaps to sell British Pounds ("GBP").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firstLine="540"/>
        <w:rPr/>
      </w:pPr>
      <w:r>
        <w:rPr>
          <w:rFonts w:ascii="Times New Roman;sans-serif" w:hAnsi="Times New Roman;sans-serif"/>
          <w:b/>
          <w:i/>
          <w:color w:val="000000"/>
          <w:sz w:val="20"/>
        </w:rPr>
        <w:t>Intercompany Transactions with Canadian Customer and Vendors</w:t>
      </w:r>
      <w:r>
        <w:rPr>
          <w:color w:val="000000"/>
        </w:rPr>
        <w:t>—</w:t>
      </w:r>
      <w:r>
        <w:rPr>
          <w:rFonts w:ascii="Times New Roman;sans-serif" w:hAnsi="Times New Roman;sans-serif"/>
          <w:b w:val="false"/>
          <w:color w:val="000000"/>
          <w:sz w:val="20"/>
        </w:rPr>
        <w:t>In order to mitigate the currency risk on transactions with Canadian customer and vendors, the Company enters into foreign currency swaps to sell Canadian Dollars ("CAD").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notional amount and fair value of all outstanding derivative instruments in the condensed consolidated balance sheets consist of the following at:</w:t>
      </w:r>
    </w:p>
    <w:tbl>
      <w:tblPr>
        <w:tblW w:w="7818" w:type="dxa"/>
        <w:jc w:val="left"/>
        <w:tblInd w:w="0" w:type="dxa"/>
        <w:tblCellMar>
          <w:top w:w="28" w:type="dxa"/>
          <w:left w:w="28" w:type="dxa"/>
          <w:bottom w:w="28" w:type="dxa"/>
          <w:right w:w="28" w:type="dxa"/>
        </w:tblCellMar>
      </w:tblPr>
      <w:tblGrid>
        <w:gridCol w:w="1126"/>
        <w:gridCol w:w="986"/>
        <w:gridCol w:w="993"/>
        <w:gridCol w:w="109"/>
        <w:gridCol w:w="109"/>
        <w:gridCol w:w="109"/>
        <w:gridCol w:w="211"/>
        <w:gridCol w:w="721"/>
        <w:gridCol w:w="109"/>
        <w:gridCol w:w="109"/>
        <w:gridCol w:w="109"/>
        <w:gridCol w:w="109"/>
        <w:gridCol w:w="211"/>
        <w:gridCol w:w="541"/>
        <w:gridCol w:w="109"/>
        <w:gridCol w:w="109"/>
        <w:gridCol w:w="109"/>
        <w:gridCol w:w="109"/>
        <w:gridCol w:w="535"/>
        <w:gridCol w:w="535"/>
        <w:gridCol w:w="760"/>
      </w:tblGrid>
      <w:tr>
        <w:trPr/>
        <w:tc>
          <w:tcPr>
            <w:tcW w:w="1126"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781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Derivatives not designated as</w:t>
              <w:br/>
              <w:t>hedging instruments under</w:t>
              <w:br/>
              <w:t>ASC 815-20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Notional</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w:t>
              <w:br/>
              <w:t xml:space="preserve">Value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Balance Sheet Location</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USD/pay GBP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BRL/sell USD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MYR/pay USD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USD/pay CAD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THB/sell USD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r>
    </w:tbl>
    <w:tbl>
      <w:tblPr>
        <w:tblW w:w="7968" w:type="dxa"/>
        <w:jc w:val="left"/>
        <w:tblInd w:w="0" w:type="dxa"/>
        <w:tblCellMar>
          <w:top w:w="28" w:type="dxa"/>
          <w:left w:w="28" w:type="dxa"/>
          <w:bottom w:w="28" w:type="dxa"/>
          <w:right w:w="28" w:type="dxa"/>
        </w:tblCellMar>
      </w:tblPr>
      <w:tblGrid>
        <w:gridCol w:w="1126"/>
        <w:gridCol w:w="986"/>
        <w:gridCol w:w="993"/>
        <w:gridCol w:w="109"/>
        <w:gridCol w:w="109"/>
        <w:gridCol w:w="109"/>
        <w:gridCol w:w="211"/>
        <w:gridCol w:w="721"/>
        <w:gridCol w:w="109"/>
        <w:gridCol w:w="109"/>
        <w:gridCol w:w="109"/>
        <w:gridCol w:w="109"/>
        <w:gridCol w:w="211"/>
        <w:gridCol w:w="691"/>
        <w:gridCol w:w="109"/>
        <w:gridCol w:w="109"/>
        <w:gridCol w:w="109"/>
        <w:gridCol w:w="109"/>
        <w:gridCol w:w="535"/>
        <w:gridCol w:w="535"/>
        <w:gridCol w:w="760"/>
      </w:tblGrid>
      <w:tr>
        <w:trPr/>
        <w:tc>
          <w:tcPr>
            <w:tcW w:w="1126"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796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Derivatives not designated as</w:t>
              <w:br/>
              <w:t>hedging instruments under</w:t>
              <w:br/>
              <w:t>ASC 815-20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Notional</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w:t>
              <w:br/>
              <w:t xml:space="preserve">Value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Balance Sheet Location</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USD/pay GBP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MYR/sell USD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BRL/sell USD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USD/pay CAD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THB/sell USD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amount and location of realized and unrealized gains and losses of the derivative instruments in the condensed consolidated statements of operations for the three months ended March 31, 2022 and 2021 are as follows:</w:t>
      </w:r>
    </w:p>
    <w:tbl>
      <w:tblPr>
        <w:tblW w:w="8664" w:type="dxa"/>
        <w:jc w:val="left"/>
        <w:tblInd w:w="0" w:type="dxa"/>
        <w:tblCellMar>
          <w:top w:w="28" w:type="dxa"/>
          <w:left w:w="28" w:type="dxa"/>
          <w:bottom w:w="28" w:type="dxa"/>
          <w:right w:w="28" w:type="dxa"/>
        </w:tblCellMar>
      </w:tblPr>
      <w:tblGrid>
        <w:gridCol w:w="1509"/>
        <w:gridCol w:w="1329"/>
        <w:gridCol w:w="1332"/>
        <w:gridCol w:w="109"/>
        <w:gridCol w:w="109"/>
        <w:gridCol w:w="109"/>
        <w:gridCol w:w="424"/>
        <w:gridCol w:w="1243"/>
        <w:gridCol w:w="223"/>
        <w:gridCol w:w="114"/>
        <w:gridCol w:w="114"/>
        <w:gridCol w:w="114"/>
        <w:gridCol w:w="386"/>
        <w:gridCol w:w="1267"/>
        <w:gridCol w:w="282"/>
      </w:tblGrid>
      <w:tr>
        <w:trPr/>
        <w:tc>
          <w:tcPr>
            <w:tcW w:w="1509"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Unrealized gain/(loss) on derivative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gain/(loss)</w:t>
              <w:br/>
              <w:t>on derivative</w:t>
              <w:br/>
              <w:t>instruments</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gain/(loss)</w:t>
              <w:br/>
              <w:t>on derivative</w:t>
              <w:br/>
              <w:t>instruments</w:t>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currency gain /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w:t>
            </w:r>
          </w:p>
        </w:tc>
        <w:tc>
          <w:tcPr>
            <w:tcW w:w="2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Foreign currency</w:t>
              <w:br/>
              <w:t>gain/(loss)</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Foreign currency</w:t>
              <w:br/>
              <w:t>gain/(loss)</w:t>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applies recurring fair value measurements to its derivative instruments in accordance with ASC Topic 820, Fair Value Measurements ("ASC 820"). In determining fair value, the Company used a market approach and incorporates the assumptions that market participants would use in pricing the asset or liability, including assumptions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about risk and/or the risks inherent in the inputs to the valuation technique. These inputs can be readily observable, market corroborated, or generally unobservable internally developed inputs.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9. FAIR VALUE MEASUREMENTS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 </w:t>
      </w:r>
    </w:p>
    <w:p>
      <w:pPr>
        <w:pStyle w:val="TextBody"/>
        <w:spacing w:lineRule="auto" w:line="288" w:before="240" w:after="283"/>
        <w:ind w:left="0" w:right="0" w:firstLine="540"/>
        <w:rPr/>
      </w:pPr>
      <w:r>
        <w:rPr>
          <w:rFonts w:ascii="Times New Roman;sans-serif" w:hAnsi="Times New Roman;sans-serif"/>
          <w:b/>
          <w:i/>
          <w:color w:val="000000"/>
          <w:sz w:val="20"/>
        </w:rPr>
        <w:t>Level 1</w:t>
      </w:r>
      <w:r>
        <w:rPr>
          <w:color w:val="000000"/>
        </w:rPr>
        <w:t>—</w:t>
      </w:r>
      <w:r>
        <w:rPr>
          <w:rFonts w:ascii="Times New Roman;sans-serif" w:hAnsi="Times New Roman;sans-serif"/>
          <w:b w:val="false"/>
          <w:color w:val="000000"/>
          <w:sz w:val="20"/>
        </w:rPr>
        <w:t xml:space="preserve">Quoted market prices in active markets for identical assets or liabilities. </w:t>
      </w:r>
    </w:p>
    <w:p>
      <w:pPr>
        <w:pStyle w:val="TextBody"/>
        <w:spacing w:lineRule="auto" w:line="288" w:before="240" w:after="283"/>
        <w:ind w:left="0" w:right="0" w:firstLine="540"/>
        <w:rPr/>
      </w:pPr>
      <w:r>
        <w:rPr>
          <w:rFonts w:ascii="Times New Roman;sans-serif" w:hAnsi="Times New Roman;sans-serif"/>
          <w:b/>
          <w:i/>
          <w:color w:val="000000"/>
          <w:sz w:val="20"/>
        </w:rPr>
        <w:t>Level 2</w:t>
      </w:r>
      <w:r>
        <w:rPr>
          <w:color w:val="000000"/>
        </w:rPr>
        <w:t>—</w:t>
      </w:r>
      <w:r>
        <w:rPr>
          <w:rFonts w:ascii="Times New Roman;sans-serif" w:hAnsi="Times New Roman;sans-serif"/>
          <w:b w:val="false"/>
          <w:color w:val="000000"/>
          <w:sz w:val="20"/>
        </w:rPr>
        <w:t xml:space="preserve">Observable inputs other than Level 1 prices, such as quoted prices for similar assets or liabilities, quoted market prices in markets that are not active, or other inputs that are observable or can be corroborated by observable market data. </w:t>
      </w:r>
    </w:p>
    <w:p>
      <w:pPr>
        <w:pStyle w:val="TextBody"/>
        <w:spacing w:lineRule="auto" w:line="288" w:before="240" w:after="283"/>
        <w:ind w:left="0" w:right="0" w:firstLine="540"/>
        <w:rPr/>
      </w:pPr>
      <w:r>
        <w:rPr>
          <w:rFonts w:ascii="Times New Roman;sans-serif" w:hAnsi="Times New Roman;sans-serif"/>
          <w:b/>
          <w:i/>
          <w:color w:val="000000"/>
          <w:sz w:val="20"/>
        </w:rPr>
        <w:t>Level 3</w:t>
      </w:r>
      <w:r>
        <w:rPr>
          <w:color w:val="000000"/>
        </w:rPr>
        <w:t>—</w:t>
      </w:r>
      <w:r>
        <w:rPr>
          <w:rFonts w:ascii="Times New Roman;sans-serif" w:hAnsi="Times New Roman;sans-serif"/>
          <w:b w:val="false"/>
          <w:color w:val="000000"/>
          <w:sz w:val="20"/>
        </w:rPr>
        <w:t xml:space="preserve">Unobservable inputs that are supported by little or no market activity and that are significant to the fair value of the assets or liabilities. This includes internally developed models and methodologies utilizing significant unobservable inputs. </w:t>
      </w:r>
    </w:p>
    <w:p>
      <w:pPr>
        <w:pStyle w:val="TextBody"/>
        <w:spacing w:lineRule="auto" w:line="288" w:before="240" w:after="283"/>
        <w:ind w:left="0" w:right="0" w:firstLine="540"/>
        <w:rPr/>
      </w:pPr>
      <w:r>
        <w:rPr>
          <w:rFonts w:ascii="Times New Roman;sans-serif" w:hAnsi="Times New Roman;sans-serif"/>
          <w:b/>
          <w:i/>
          <w:color w:val="000000"/>
          <w:sz w:val="20"/>
        </w:rPr>
        <w:t>Forward Currency Swap Contracts</w:t>
      </w:r>
      <w:r>
        <w:rPr>
          <w:color w:val="000000"/>
        </w:rPr>
        <w:t>—</w:t>
      </w:r>
      <w:r>
        <w:rPr>
          <w:rFonts w:ascii="Times New Roman;sans-serif" w:hAnsi="Times New Roman;sans-serif"/>
          <w:b w:val="false"/>
          <w:color w:val="000000"/>
          <w:sz w:val="20"/>
        </w:rPr>
        <w:t xml:space="preserve">The Company’s valuation methodology for forward currency swap contracts is based upon third-party institution data. </w:t>
      </w:r>
    </w:p>
    <w:p>
      <w:pPr>
        <w:pStyle w:val="TextBody"/>
        <w:spacing w:lineRule="auto" w:line="288" w:before="240" w:after="283"/>
        <w:ind w:left="0" w:right="0" w:firstLine="540"/>
        <w:rPr/>
      </w:pPr>
      <w:r>
        <w:rPr>
          <w:rFonts w:ascii="Times New Roman;sans-serif" w:hAnsi="Times New Roman;sans-serif"/>
          <w:b/>
          <w:i/>
          <w:color w:val="000000"/>
          <w:sz w:val="20"/>
        </w:rPr>
        <w:t>Contingent Consideration Liability</w:t>
      </w:r>
      <w:r>
        <w:rPr>
          <w:color w:val="000000"/>
        </w:rPr>
        <w:t>—</w:t>
      </w:r>
      <w:r>
        <w:rPr>
          <w:rFonts w:ascii="Times New Roman;sans-serif" w:hAnsi="Times New Roman;sans-serif"/>
          <w:b w:val="false"/>
          <w:color w:val="000000"/>
          <w:sz w:val="20"/>
        </w:rPr>
        <w:t xml:space="preserve">The Company utilized a probability weighted scenario-based model to determine the fair value of the contingent consideration.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fair value hierarchy for those assets (liabilities) measured at fair value on a recurring basis at March 31, 2022 and December 31, 2021, is as follows: </w:t>
      </w:r>
    </w:p>
    <w:tbl>
      <w:tblPr>
        <w:tblW w:w="7667" w:type="dxa"/>
        <w:jc w:val="center"/>
        <w:tblInd w:w="0" w:type="dxa"/>
        <w:tblCellMar>
          <w:top w:w="28" w:type="dxa"/>
          <w:left w:w="28" w:type="dxa"/>
          <w:bottom w:w="28" w:type="dxa"/>
          <w:right w:w="28" w:type="dxa"/>
        </w:tblCellMar>
      </w:tblPr>
      <w:tblGrid>
        <w:gridCol w:w="629"/>
        <w:gridCol w:w="554"/>
        <w:gridCol w:w="556"/>
        <w:gridCol w:w="211"/>
        <w:gridCol w:w="406"/>
        <w:gridCol w:w="109"/>
        <w:gridCol w:w="109"/>
        <w:gridCol w:w="109"/>
        <w:gridCol w:w="109"/>
        <w:gridCol w:w="310"/>
        <w:gridCol w:w="1015"/>
        <w:gridCol w:w="160"/>
        <w:gridCol w:w="109"/>
        <w:gridCol w:w="109"/>
        <w:gridCol w:w="109"/>
        <w:gridCol w:w="488"/>
        <w:gridCol w:w="939"/>
        <w:gridCol w:w="253"/>
        <w:gridCol w:w="109"/>
        <w:gridCol w:w="109"/>
        <w:gridCol w:w="109"/>
        <w:gridCol w:w="211"/>
        <w:gridCol w:w="691"/>
        <w:gridCol w:w="154"/>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Forward Currency</w:t>
              <w:br/>
              <w:t xml:space="preserve">Swaps/Contracts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w:t>
              <w:br/>
              <w:t>consideration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acquisition of the entity currently known as AMI Runa USA LLC (“Runa”), the Company was obligated to pay contingent payments to Runa’s former shareholders only if a certain revenue growth rate is achieved. Assuming the revenue growth is achieved, the former shareholders could elect for payment to be calculated based on quarterly data available between December 2021 and December 2022, as follows: 49% of the product of (a) the net revenue for the trailing 12 calendar months and (b) a specified multiple, which is contingent on the revenue growth achieved since December 31, 2017. Per the acquisition agreement, the contingent payment cannot exceed $51,500. If a certain revenue growth rate is not achieved, the Company is not required to pay any contingent payment.</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contingent consideration of $15,700 determined on the acquisition date in 2019 was initially recognized as a liability and then subsequently remeasured to fair value at each reporting date with changes in fair value recognized as a component of operating income/expenses in the accompanying condensed consolidated statements of operations.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consideration liability related to the acquisition of Runa was considered a Level 3 liability, as the fair value was determined based on significant inputs not observable in the market, and recorded within other long-term liabilities in the accompanying condensed consolidated balance sheets. The Company estimated the fair value of the contingent consideration liability based on a probability-weighted present value of various future cash payment outcomes. The technique considered the following unobservable inputs as of each valuation date: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The probability and timing of achieving the specified milestones;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Revenue performance expectations; and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Market-based discount rates.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Based on updated revenue performance expectations during the earn-out period for Runa, the Company measured the contingent consideration as zero for the periods ended, March 31, 2022 and December 31, 2021.</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any levels of the fair value hierarchy for any of the Company’s fair value measurements.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10. STOCKHOLDERS’ EQUITY </w:t>
      </w:r>
    </w:p>
    <w:p>
      <w:pPr>
        <w:pStyle w:val="TextBody"/>
        <w:spacing w:lineRule="auto" w:line="288" w:before="120" w:after="283"/>
        <w:ind w:left="0" w:right="0" w:firstLine="540"/>
        <w:rPr/>
      </w:pPr>
      <w:r>
        <w:rPr>
          <w:rFonts w:ascii="Times New Roman;sans-serif" w:hAnsi="Times New Roman;sans-serif"/>
          <w:b/>
          <w:i/>
          <w:color w:val="000000"/>
          <w:sz w:val="20"/>
        </w:rPr>
        <w:t>Common and Treasury Stock</w:t>
      </w:r>
      <w:r>
        <w:rPr>
          <w:color w:val="000000"/>
        </w:rPr>
        <w:t>—</w:t>
      </w:r>
      <w:r>
        <w:rPr>
          <w:rFonts w:ascii="Times New Roman;sans-serif" w:hAnsi="Times New Roman;sans-serif"/>
          <w:b w:val="false"/>
          <w:color w:val="000000"/>
          <w:sz w:val="20"/>
        </w:rPr>
        <w:t xml:space="preserve">Each share of common stock entitles its holder to one vote on matters required to be voted on by the stockholders of the Company and to receive dividends, when and if declared by the Company’s Board of Directors.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and December 31, 2021, the Company held 6,206,200 and 6,206,200 shares, respectively, in treasury stock. As of March 31, 2022 and December 31, 2021, the Company had 4,542,480 and 3,431,312 shares, respectively, of common stock available for issuance upon the conversion of outstanding warrants and stock options under the 2021 Incentive Award Plan, of which 3,186,238 and 2,170,975, respectively, were reserved for future issuance. In January 2021, the Company entered into a Stock Purchase Agreement with RW VC S.a.r.l, f/k/a Vita Coco S.a.r.l (the “Seller”). The Company repurchased 5,192,005 shares of its own common stock from the Seller at a purchase price of $9.63 per share, or an aggregate purchase price of approximately $50,000. The purchase price per share approximated the most recent third-party common stock valuation prepared in conjunction with the accounting of stock-based compensation discussed within this Note. </w:t>
      </w:r>
    </w:p>
    <w:p>
      <w:pPr>
        <w:pStyle w:val="TextBody"/>
        <w:spacing w:lineRule="auto" w:line="288" w:before="240" w:after="283"/>
        <w:ind w:left="0" w:right="0" w:firstLine="540"/>
        <w:rPr/>
      </w:pPr>
      <w:r>
        <w:rPr>
          <w:rFonts w:ascii="Times New Roman;sans-serif" w:hAnsi="Times New Roman;sans-serif"/>
          <w:b/>
          <w:i/>
          <w:color w:val="000000"/>
          <w:sz w:val="20"/>
        </w:rPr>
        <w:t>Non-controlling Interest</w:t>
      </w:r>
      <w:r>
        <w:rPr>
          <w:color w:val="000000"/>
        </w:rPr>
        <w:t>—</w:t>
      </w:r>
      <w:r>
        <w:rPr>
          <w:rFonts w:ascii="Times New Roman;sans-serif" w:hAnsi="Times New Roman;sans-serif"/>
          <w:b w:val="false"/>
          <w:color w:val="000000"/>
          <w:sz w:val="20"/>
        </w:rPr>
        <w:t xml:space="preserve">On December 31, 2021, the Company purchased the remaining outstanding AME shares directly from minority stockholders, resulting in a zero non-controlling interest as of December 31, 2021 and March 31, 2022. </w:t>
      </w:r>
    </w:p>
    <w:p>
      <w:pPr>
        <w:pStyle w:val="TextBody"/>
        <w:spacing w:lineRule="auto" w:line="288" w:before="240" w:after="283"/>
        <w:ind w:left="0" w:right="0" w:firstLine="540"/>
        <w:rPr/>
      </w:pPr>
      <w:r>
        <w:rPr>
          <w:rFonts w:ascii="Times New Roman;sans-serif" w:hAnsi="Times New Roman;sans-serif"/>
          <w:b/>
          <w:i/>
          <w:color w:val="000000"/>
          <w:sz w:val="20"/>
        </w:rPr>
        <w:t>Warrants</w:t>
      </w:r>
      <w:r>
        <w:rPr>
          <w:color w:val="000000"/>
        </w:rPr>
        <w:t>—</w:t>
      </w:r>
      <w:r>
        <w:rPr>
          <w:rFonts w:ascii="Times New Roman;sans-serif" w:hAnsi="Times New Roman;sans-serif"/>
          <w:b w:val="false"/>
          <w:color w:val="000000"/>
          <w:sz w:val="20"/>
        </w:rPr>
        <w:t>All service and exit warrants expired as of December 31, 2021. As such, there was no warrant activity for the three months ended March 31, 2022.</w:t>
      </w:r>
    </w:p>
    <w:p>
      <w:pPr>
        <w:pStyle w:val="TextBody"/>
        <w:spacing w:lineRule="auto" w:line="288" w:before="240" w:after="283"/>
        <w:ind w:left="0" w:right="0" w:firstLine="540"/>
        <w:rPr/>
      </w:pPr>
      <w:r>
        <w:rPr>
          <w:rFonts w:ascii="Times New Roman;sans-serif" w:hAnsi="Times New Roman;sans-serif"/>
          <w:b/>
          <w:i/>
          <w:color w:val="000000"/>
          <w:sz w:val="20"/>
        </w:rPr>
        <w:t>Stock Options</w:t>
      </w:r>
      <w:r>
        <w:rPr>
          <w:color w:val="000000"/>
        </w:rPr>
        <w:t>—</w:t>
      </w:r>
      <w:r>
        <w:rPr>
          <w:rFonts w:ascii="Times New Roman;sans-serif" w:hAnsi="Times New Roman;sans-serif"/>
          <w:b w:val="false"/>
          <w:color w:val="000000"/>
          <w:sz w:val="20"/>
        </w:rPr>
        <w:t xml:space="preserve">The stockholders of the Company approved the adoption of the Company’s 2014 Stock Option and Restricted Stock Plan (the “Stock Option Plan”). The Stock Option Plan allowed for a maximum of 8% of the sum of the Available Equity defined as the sum of (i) the total then outstanding shares of common shares and (ii) all available stock options (i.e., granted and outstanding stock options and stock options not yet granted). Under the terms of the Stock Option Plan, the Company could grant employees, directors, and consultants stock options and restricted stock awards and had the authority to establish the specific terms of each award, including exercise price, expiration, and vesting. Generally, stock options issued pursuant to the Stock Option Plan contained exercise prices no less than the fair value of the Company’s common stock on the date of grant and have a ten-year contractual term.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stockholders of the Company approved the adoption of the 2021 Incentive Award Plan, which was effective after the closing of the initial public offering discussed in Note 1. On and after closing of the offering and the effectiveness of the 2021 Incentive Award Plan, no further grants will be made under the Stock Option Plan.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stock-based compensation expense of 2,386 and 487 for the three months ended March 31, 2022 and 2021, respectively, in selling, general, and administrative expenses.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Awards with Service-based Vesting Conditions </w:t>
      </w:r>
    </w:p>
    <w:p>
      <w:pPr>
        <w:pStyle w:val="TextBody"/>
        <w:spacing w:lineRule="auto" w:line="276"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Most of the stock option awards granted under the Stock Option Plan vest based on continuous service. Generally, 50% of the stock options granted vest two years after the grant date and 50% of the stock options granted vest four years after the grant date. For options granted under the 2021 Incentive Award Plan, 25% of the stock options granted vest annually on November 27 in each of the four years after the grant date. There were no new service-based stock option awards granted during the three months ended March 31, 2022. Exercises of stock options during the three months ended March 31, 2022 are disclosed in the Condensed Consolidated Statements of Non-controlling Interests and Stockholders' Equity.</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Awards with Performance and Market-based Vesting Conditions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certain awards that contained performance-based vesting condition were modified. The modification adjusted the performance condition to allow for 50% of the performance awards to meet the criteria to vest, and no other terms were modified. Since it did not affect any terms that would affect the fair value, and only the number of awards, it is considered an improbable-to-probable modification. The impact of the modification was not material.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Restricted Stock and Restricted Stock Unit Awards ("RSUs")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and RSUs were granted under the 2021 Incentive Award Plan and primarily vest based on continuous service. Currently, there are no restricted stock or RSUs that contain any performance or market conditions. The RSUs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and (ii) the first anniversary of the date of grant.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there were 93,977 RSUs granted, which had an aggregate grant date fair value of $770.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11. INCOME TAXES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and 2021, the Company recorded $0.6 million and $0.7 million, respectively, in income tax expense in its condensed consolidated statements of operations.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and December 31, 2021, there were no liabilities for income tax uncertainties. The Company is subject to income tax examinations by the Internal Revenue Service ("IRS") and various state and location jurisdictions for the open tax years between December 31, 2018 to December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12. EARNINGS PER SHARE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Basic and diluted earnings per share were calculated as follows: </w:t>
      </w:r>
    </w:p>
    <w:tbl>
      <w:tblPr>
        <w:tblW w:w="9863" w:type="dxa"/>
        <w:jc w:val="center"/>
        <w:tblInd w:w="0" w:type="dxa"/>
        <w:tblCellMar>
          <w:top w:w="28" w:type="dxa"/>
          <w:left w:w="28" w:type="dxa"/>
          <w:bottom w:w="28" w:type="dxa"/>
          <w:right w:w="28" w:type="dxa"/>
        </w:tblCellMar>
      </w:tblPr>
      <w:tblGrid>
        <w:gridCol w:w="2411"/>
        <w:gridCol w:w="2123"/>
        <w:gridCol w:w="2141"/>
        <w:gridCol w:w="275"/>
        <w:gridCol w:w="806"/>
        <w:gridCol w:w="109"/>
        <w:gridCol w:w="109"/>
        <w:gridCol w:w="109"/>
        <w:gridCol w:w="109"/>
        <w:gridCol w:w="275"/>
        <w:gridCol w:w="806"/>
        <w:gridCol w:w="109"/>
        <w:gridCol w:w="109"/>
        <w:gridCol w:w="109"/>
        <w:gridCol w:w="109"/>
        <w:gridCol w:w="154"/>
      </w:tblGrid>
      <w:tr>
        <w:trPr/>
        <w:tc>
          <w:tcPr>
            <w:tcW w:w="2411" w:type="dxa"/>
            <w:tcBorders/>
            <w:shd w:fill="auto" w:val="clear"/>
            <w:vAlign w:val="center"/>
          </w:tcPr>
          <w:p>
            <w:pPr>
              <w:pStyle w:val="TableContents"/>
              <w:spacing w:before="0" w:after="283"/>
              <w:rPr>
                <w:sz w:val="4"/>
                <w:szCs w:val="4"/>
              </w:rPr>
            </w:pPr>
            <w:r>
              <w:rPr>
                <w:sz w:val="4"/>
                <w:szCs w:val="4"/>
              </w:rPr>
            </w:r>
          </w:p>
        </w:tc>
        <w:tc>
          <w:tcPr>
            <w:tcW w:w="2123"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spacing w:lineRule="auto" w:line="240" w:before="0" w:after="0"/>
              <w:jc w:val="center"/>
              <w:rPr>
                <w:color w:val="000000"/>
              </w:rPr>
            </w:pPr>
            <w:r>
              <w:rPr>
                <w:color w:val="000000"/>
              </w:rPr>
              <w:t> </w:t>
            </w: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Vita Coco Company, Inc.</w:t>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Denominator:</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in earnings per share—basic</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55,561,896 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53,811,092 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conversion of stock options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in earnings per share—diluted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55,700,388 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54,138,192 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share—basic</w:t>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share—diluted</w:t>
            </w:r>
          </w:p>
        </w:tc>
        <w:tc>
          <w:tcPr>
            <w:tcW w:w="2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All exit warrants expired as of December 31, 2021. Before expiration, for the three months ended March 31, 2021, the exit warrants, which expire upon a liquidity event and only vest when proceeds from a liquidity event provide an annual internal rate of return of less than 30%, were not considered in the basic and diluted earnings per share, as the contingency of a liquidity event had not occurred.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potentially dilutive securities, prior to the use of the treasury stock method, have been excluded from the computation of diluted weighted-average number of common shares outstanding, as they would be anti-dilutive: </w:t>
      </w:r>
    </w:p>
    <w:tbl>
      <w:tblPr>
        <w:tblW w:w="6267" w:type="dxa"/>
        <w:jc w:val="center"/>
        <w:tblInd w:w="0" w:type="dxa"/>
        <w:tblCellMar>
          <w:top w:w="28" w:type="dxa"/>
          <w:left w:w="28" w:type="dxa"/>
          <w:bottom w:w="28" w:type="dxa"/>
          <w:right w:w="28" w:type="dxa"/>
        </w:tblCellMar>
      </w:tblPr>
      <w:tblGrid>
        <w:gridCol w:w="1073"/>
        <w:gridCol w:w="946"/>
        <w:gridCol w:w="950"/>
        <w:gridCol w:w="488"/>
        <w:gridCol w:w="488"/>
        <w:gridCol w:w="173"/>
        <w:gridCol w:w="173"/>
        <w:gridCol w:w="173"/>
        <w:gridCol w:w="173"/>
        <w:gridCol w:w="488"/>
        <w:gridCol w:w="488"/>
        <w:gridCol w:w="173"/>
        <w:gridCol w:w="109"/>
        <w:gridCol w:w="109"/>
        <w:gridCol w:w="109"/>
        <w:gridCol w:w="154"/>
      </w:tblGrid>
      <w:tr>
        <w:trPr/>
        <w:tc>
          <w:tcPr>
            <w:tcW w:w="1073"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2,366,716 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1,725,778 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13. SEGMENT REPORTING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and reportable segments: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Americas—The Americas segment is comprised primarily of the US and Canada, and derives its revenues from the marketing and distribution of various coconut water and non-coconut water products (e.g., oil and milk). The Company’s Guayusa leaf products (Runa), aluminum bottle canned water (Ever and Ever), and protein infused fitness drink (</w:t>
      </w:r>
      <w:r>
        <w:rPr>
          <w:rFonts w:ascii="Times New Roman;sans-serif" w:hAnsi="Times New Roman;sans-serif"/>
          <w:b w:val="false"/>
          <w:i/>
          <w:color w:val="000000"/>
          <w:sz w:val="20"/>
        </w:rPr>
        <w:t>PWR LIFT</w:t>
      </w:r>
      <w:r>
        <w:rPr>
          <w:rFonts w:ascii="Times New Roman;sans-serif" w:hAnsi="Times New Roman;sans-serif"/>
          <w:b w:val="false"/>
          <w:color w:val="000000"/>
          <w:sz w:val="20"/>
        </w:rPr>
        <w:t>) are marketed only in the Americas segment.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International—The International segment is comprised primarily of Europe, Middle East, and Asia Pacific, which includes the Company’s procurement arm and derives its revenues from the marketing and distribution of various coconut water and non-coconut water products.</w:t>
      </w:r>
    </w:p>
    <w:p>
      <w:pPr>
        <w:pStyle w:val="TextBody"/>
        <w:spacing w:lineRule="auto" w:line="288" w:before="240" w:after="283"/>
        <w:ind w:left="0" w:right="0" w:firstLine="540"/>
        <w:rPr/>
      </w:pPr>
      <w:r>
        <w:rPr>
          <w:rFonts w:ascii="Times New Roman;sans-serif" w:hAnsi="Times New Roman;sans-serif"/>
          <w:b w:val="false"/>
          <w:color w:val="000000"/>
          <w:sz w:val="20"/>
        </w:rPr>
        <w:t xml:space="preserve">As of March 31, 2022, the Company’s Co-CEOs are the chief operating decision makers and evaluate segment performance primarily based on net sales and gross profit. Subsequent to March 31, 2022, there was a change in management, resulting in Martin Roper being designated as the sole CEO as discussed in Note 16, </w:t>
      </w:r>
      <w:r>
        <w:rPr>
          <w:rFonts w:ascii="Times New Roman;sans-serif" w:hAnsi="Times New Roman;sans-serif"/>
          <w:b w:val="false"/>
          <w:i/>
          <w:color w:val="000000"/>
          <w:sz w:val="20"/>
        </w:rPr>
        <w:t>Subsequent Events</w:t>
      </w:r>
      <w:r>
        <w:rPr>
          <w:rFonts w:ascii="Times New Roman;sans-serif" w:hAnsi="Times New Roman;sans-serif"/>
          <w:b w:val="false"/>
          <w:color w:val="000000"/>
          <w:sz w:val="20"/>
        </w:rPr>
        <w:t>. All intercompany transactions between the segments have been eliminated.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Information about the Company’s operations by operating segment as of March 31, 2022 and 2021 and for the three months ended March 31, 2022 and 2021 is as follows:</w:t>
      </w:r>
    </w:p>
    <w:tbl>
      <w:tblPr>
        <w:tblW w:w="3982" w:type="dxa"/>
        <w:jc w:val="left"/>
        <w:tblInd w:w="0" w:type="dxa"/>
        <w:tblCellMar>
          <w:top w:w="28" w:type="dxa"/>
          <w:left w:w="28" w:type="dxa"/>
          <w:bottom w:w="28" w:type="dxa"/>
          <w:right w:w="28" w:type="dxa"/>
        </w:tblCellMar>
      </w:tblPr>
      <w:tblGrid>
        <w:gridCol w:w="422"/>
        <w:gridCol w:w="371"/>
        <w:gridCol w:w="378"/>
        <w:gridCol w:w="211"/>
        <w:gridCol w:w="736"/>
        <w:gridCol w:w="109"/>
        <w:gridCol w:w="109"/>
        <w:gridCol w:w="109"/>
        <w:gridCol w:w="109"/>
        <w:gridCol w:w="211"/>
        <w:gridCol w:w="736"/>
        <w:gridCol w:w="109"/>
        <w:gridCol w:w="109"/>
        <w:gridCol w:w="109"/>
        <w:gridCol w:w="154"/>
      </w:tblGrid>
      <w:tr>
        <w:trPr/>
        <w:tc>
          <w:tcPr>
            <w:tcW w:w="422"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96,448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75,450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19,063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24,084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006" w:type="dxa"/>
        <w:jc w:val="left"/>
        <w:tblInd w:w="0" w:type="dxa"/>
        <w:tblCellMar>
          <w:top w:w="28" w:type="dxa"/>
          <w:left w:w="28" w:type="dxa"/>
          <w:bottom w:w="28" w:type="dxa"/>
          <w:right w:w="28" w:type="dxa"/>
        </w:tblCellMar>
      </w:tblPr>
      <w:tblGrid>
        <w:gridCol w:w="669"/>
        <w:gridCol w:w="587"/>
        <w:gridCol w:w="589"/>
        <w:gridCol w:w="231"/>
        <w:gridCol w:w="924"/>
        <w:gridCol w:w="119"/>
        <w:gridCol w:w="109"/>
        <w:gridCol w:w="109"/>
        <w:gridCol w:w="109"/>
        <w:gridCol w:w="273"/>
        <w:gridCol w:w="1088"/>
        <w:gridCol w:w="199"/>
      </w:tblGrid>
      <w:tr>
        <w:trPr/>
        <w:tc>
          <w:tcPr>
            <w:tcW w:w="66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segment assets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198,328</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197,484</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154,911 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141,973 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55,511 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tbl>
      <w:tblPr>
        <w:tblW w:w="6800" w:type="dxa"/>
        <w:jc w:val="center"/>
        <w:tblInd w:w="0" w:type="dxa"/>
        <w:tblCellMar>
          <w:top w:w="28" w:type="dxa"/>
          <w:left w:w="28" w:type="dxa"/>
          <w:bottom w:w="28" w:type="dxa"/>
          <w:right w:w="28" w:type="dxa"/>
        </w:tblCellMar>
      </w:tblPr>
      <w:tblGrid>
        <w:gridCol w:w="1458"/>
        <w:gridCol w:w="1279"/>
        <w:gridCol w:w="1282"/>
        <w:gridCol w:w="211"/>
        <w:gridCol w:w="721"/>
        <w:gridCol w:w="109"/>
        <w:gridCol w:w="109"/>
        <w:gridCol w:w="109"/>
        <w:gridCol w:w="109"/>
        <w:gridCol w:w="211"/>
        <w:gridCol w:w="721"/>
        <w:gridCol w:w="109"/>
        <w:gridCol w:w="109"/>
        <w:gridCol w:w="109"/>
        <w:gridCol w:w="154"/>
      </w:tblGrid>
      <w:tr>
        <w:trPr/>
        <w:tc>
          <w:tcPr>
            <w:tcW w:w="1458"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derivative instruments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gain/(loss)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Geographic Data: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related to the Company’s net sales by country, which is presented on the basis of the location that revenue from customers is recorded: </w:t>
      </w:r>
    </w:p>
    <w:tbl>
      <w:tblPr>
        <w:tblW w:w="5195" w:type="dxa"/>
        <w:jc w:val="center"/>
        <w:tblInd w:w="0" w:type="dxa"/>
        <w:tblCellMar>
          <w:top w:w="28" w:type="dxa"/>
          <w:left w:w="28" w:type="dxa"/>
          <w:bottom w:w="28" w:type="dxa"/>
          <w:right w:w="28" w:type="dxa"/>
        </w:tblCellMar>
      </w:tblPr>
      <w:tblGrid>
        <w:gridCol w:w="873"/>
        <w:gridCol w:w="767"/>
        <w:gridCol w:w="774"/>
        <w:gridCol w:w="109"/>
        <w:gridCol w:w="109"/>
        <w:gridCol w:w="109"/>
        <w:gridCol w:w="211"/>
        <w:gridCol w:w="721"/>
        <w:gridCol w:w="109"/>
        <w:gridCol w:w="109"/>
        <w:gridCol w:w="109"/>
        <w:gridCol w:w="109"/>
        <w:gridCol w:w="211"/>
        <w:gridCol w:w="721"/>
        <w:gridCol w:w="154"/>
      </w:tblGrid>
      <w:tr>
        <w:trPr/>
        <w:tc>
          <w:tcPr>
            <w:tcW w:w="873"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rPr>
          <w:rFonts w:ascii="Arial;sans-serif" w:hAnsi="Arial;sans-serif"/>
          <w:b w:val="false"/>
          <w:color w:val="000000"/>
          <w:sz w:val="24"/>
        </w:rPr>
      </w:pPr>
      <w:r>
        <w:rPr>
          <w:rFonts w:ascii="Arial;sans-serif" w:hAnsi="Arial;sans-serif"/>
          <w:b w:val="false"/>
          <w:color w:val="000000"/>
          <w:sz w:val="24"/>
        </w:rPr>
        <w:t>___________</w:t>
      </w:r>
    </w:p>
    <w:tbl>
      <w:tblPr>
        <w:tblW w:w="9720" w:type="dxa"/>
        <w:jc w:val="left"/>
        <w:tblInd w:w="0" w:type="dxa"/>
        <w:tblCellMar>
          <w:top w:w="28" w:type="dxa"/>
          <w:left w:w="28" w:type="dxa"/>
          <w:bottom w:w="28" w:type="dxa"/>
          <w:right w:w="28" w:type="dxa"/>
        </w:tblCellMar>
      </w:tblPr>
      <w:tblGrid>
        <w:gridCol w:w="125"/>
        <w:gridCol w:w="110"/>
        <w:gridCol w:w="110"/>
        <w:gridCol w:w="2740"/>
        <w:gridCol w:w="2740"/>
        <w:gridCol w:w="3895"/>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3895"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37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individual country is greater than 10% of total net sales for the three months ended March 31, 2022 and 2021. </w:t>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related to the Company’s property and equipment, net by country: </w:t>
      </w:r>
    </w:p>
    <w:tbl>
      <w:tblPr>
        <w:tblW w:w="4817" w:type="dxa"/>
        <w:jc w:val="center"/>
        <w:tblInd w:w="0" w:type="dxa"/>
        <w:tblCellMar>
          <w:top w:w="28" w:type="dxa"/>
          <w:left w:w="28" w:type="dxa"/>
          <w:bottom w:w="28" w:type="dxa"/>
          <w:right w:w="28" w:type="dxa"/>
        </w:tblCellMar>
      </w:tblPr>
      <w:tblGrid>
        <w:gridCol w:w="876"/>
        <w:gridCol w:w="767"/>
        <w:gridCol w:w="771"/>
        <w:gridCol w:w="211"/>
        <w:gridCol w:w="616"/>
        <w:gridCol w:w="109"/>
        <w:gridCol w:w="109"/>
        <w:gridCol w:w="109"/>
        <w:gridCol w:w="109"/>
        <w:gridCol w:w="245"/>
        <w:gridCol w:w="716"/>
        <w:gridCol w:w="179"/>
      </w:tblGrid>
      <w:tr>
        <w:trPr/>
        <w:tc>
          <w:tcPr>
            <w:tcW w:w="876"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Ecuador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rPr>
          <w:rFonts w:ascii="Arial;sans-serif" w:hAnsi="Arial;sans-serif"/>
          <w:b w:val="false"/>
          <w:color w:val="000000"/>
          <w:sz w:val="24"/>
        </w:rPr>
      </w:pPr>
      <w:r>
        <w:rPr>
          <w:rFonts w:ascii="Arial;sans-serif" w:hAnsi="Arial;sans-serif"/>
          <w:b w:val="false"/>
          <w:color w:val="000000"/>
          <w:sz w:val="24"/>
        </w:rPr>
        <w:t>___________</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individual country is greater than 10% of total property and equipment, net as of March 31, 2022 and December 31, 2021.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14. RELATED-PARTY TRANSACTIONS </w:t>
      </w:r>
    </w:p>
    <w:p>
      <w:pPr>
        <w:pStyle w:val="TextBody"/>
        <w:spacing w:lineRule="auto" w:line="288" w:before="120" w:after="283"/>
        <w:ind w:left="0" w:right="0" w:firstLine="540"/>
        <w:rPr/>
      </w:pPr>
      <w:r>
        <w:rPr>
          <w:rFonts w:ascii="Times New Roman;sans-serif" w:hAnsi="Times New Roman;sans-serif"/>
          <w:b/>
          <w:i/>
          <w:color w:val="000000"/>
          <w:sz w:val="20"/>
        </w:rPr>
        <w:t>Management Fees</w:t>
      </w:r>
      <w:r>
        <w:rPr>
          <w:color w:val="000000"/>
        </w:rPr>
        <w:t>—</w:t>
      </w:r>
      <w:r>
        <w:rPr>
          <w:rFonts w:ascii="Times New Roman;sans-serif" w:hAnsi="Times New Roman;sans-serif"/>
          <w:b w:val="false"/>
          <w:color w:val="000000"/>
          <w:sz w:val="20"/>
        </w:rPr>
        <w:t>The Company was subject to an arrangement with one of its stockholders for as long as such stockholder holds at least 5% of the Company’s capital stock. Pursuant to the terms of the amended arrangement, the Company is required to make fixed annual management fee payments of $281. On October 20, 2021, in connection with the IPO discussed in Note 1, the Stockholder’s Agreement was revised and the new Investor Rights Agreement does not provide for payment of a management fee to this stockholder. For the year ended December 31, 2021, the Company had amounts due in accounts payable of $227 for the portion of the year prior to the execution of the new Investor Rights Agreement.</w:t>
      </w:r>
    </w:p>
    <w:p>
      <w:pPr>
        <w:pStyle w:val="TextBody"/>
        <w:spacing w:lineRule="auto" w:line="288" w:before="240" w:after="283"/>
        <w:ind w:left="0" w:right="0" w:firstLine="540"/>
        <w:rPr/>
      </w:pPr>
      <w:r>
        <w:rPr>
          <w:rFonts w:ascii="Times New Roman;sans-serif" w:hAnsi="Times New Roman;sans-serif"/>
          <w:b/>
          <w:i/>
          <w:color w:val="000000"/>
          <w:sz w:val="20"/>
        </w:rPr>
        <w:t>Loan to Employee</w:t>
      </w:r>
      <w:r>
        <w:rPr>
          <w:color w:val="000000"/>
        </w:rPr>
        <w:t>—</w:t>
      </w:r>
      <w:r>
        <w:rPr>
          <w:rFonts w:ascii="Times New Roman;sans-serif" w:hAnsi="Times New Roman;sans-serif"/>
          <w:b w:val="false"/>
          <w:color w:val="000000"/>
          <w:sz w:val="20"/>
        </w:rPr>
        <w:t xml:space="preserve">On September 18, 2019, the Company extended a five year promissory note of $17,700 to Martin Roper, the current CEO, in order for him to buy 1,739,010 shares of The Vita Coco Company, Inc.’s common stock in conjunction with his employment agreement. The interest on the note accrued annually at a rate of 1.78% with the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principal balance due at maturity. The purchase of the Company’s shares occurred simultaneously with the commencement of the loan, as a result, no funds were actually disbursed by the Company. The purchased Company shares were pledged as collateral to the loan until full repayment of the principal balance. On May 18, 2020, the Company amended the interest rate on the note to 0.58%.</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September 16, 2021, Martin Roper repaid the outstanding principal balance and accrued interest in full satisfaction of the promissory note.</w:t>
      </w:r>
    </w:p>
    <w:p>
      <w:pPr>
        <w:pStyle w:val="TextBody"/>
        <w:spacing w:lineRule="auto" w:line="288" w:before="240" w:after="283"/>
        <w:ind w:left="0" w:right="0" w:firstLine="540"/>
        <w:rPr/>
      </w:pPr>
      <w:r>
        <w:rPr>
          <w:rFonts w:ascii="Times New Roman;sans-serif" w:hAnsi="Times New Roman;sans-serif"/>
          <w:b/>
          <w:i/>
          <w:color w:val="000000"/>
          <w:sz w:val="20"/>
        </w:rPr>
        <w:t>Distribution Agreement with Shareholder</w:t>
      </w:r>
      <w:r>
        <w:rPr>
          <w:color w:val="000000"/>
        </w:rPr>
        <w:t>—</w:t>
      </w:r>
      <w:r>
        <w:rPr>
          <w:rFonts w:ascii="Times New Roman;sans-serif" w:hAnsi="Times New Roman;sans-serif"/>
          <w:b w:val="false"/>
          <w:color w:val="000000"/>
          <w:sz w:val="20"/>
        </w:rPr>
        <w:t>On October 1, 2019, the Company entered into a distribution agreement with one of its stockholders, which currently extends through December 31, 2022. The distribution agreement grants the stockholder the right to sell, resell, and distribute designated products supplied by the Company within a specified territory. The amount of revenue recognized related to this distribution agreement was $1,332 and $1,731 for the three months ended March 31, 2022 and 2021, respectively. The amounts due from the stockholder in Accounts Receivable, net were $1,227 and $600 as of March 31, 2022 and December 31, 2021, respectively. Related to this distribution arrangement, the Company and the stockholder have a service agreement where the Company shares in the compensation costs of the stockholder’s employee managing the China market. The Company recorded $39 and $39 for the three months ended March 31, 2022 and 2021, respectively, in selling, general, and administrative expense for this service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15. LEASES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2016, the Company entered into an operating lease for office space in New York, New York, which is set to expire in January 2023. The Company pays for its proportionate share of building operating costs such as maintenance, utilities, and insurance that are treated as variable costs and excluded from the measurement of the lease. The lease can be renewed for an additional period of five years at the Company’s option, which is not reflected in the lease term.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maintains additional leases for office space and equipment in London and Singapore, which are operating leases. During the three months ended March 31, 2022, the Company renewed the lease for the Singapore office, extending it through June 30, 2025, which is reflected in the lease term.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2022, the Company did not have any additional operating leases that have not yet commenced with future undiscounted lease payments.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which are included within operating expenses in the accompanying condensed consolidated statements of operations, are summarized in the following table (in thousands). Any variable lease costs are immaterial.</w:t>
      </w:r>
    </w:p>
    <w:p>
      <w:pPr>
        <w:pStyle w:val="TextBody"/>
        <w:spacing w:before="0" w:after="0"/>
        <w:rPr/>
      </w:pPr>
      <w:r>
        <w:rPr/>
      </w:r>
    </w:p>
    <w:tbl>
      <w:tblPr>
        <w:tblW w:w="5055" w:type="dxa"/>
        <w:jc w:val="left"/>
        <w:tblInd w:w="0" w:type="dxa"/>
        <w:tblCellMar>
          <w:top w:w="28" w:type="dxa"/>
          <w:left w:w="28" w:type="dxa"/>
          <w:bottom w:w="28" w:type="dxa"/>
          <w:right w:w="28" w:type="dxa"/>
        </w:tblCellMar>
      </w:tblPr>
      <w:tblGrid>
        <w:gridCol w:w="635"/>
        <w:gridCol w:w="558"/>
        <w:gridCol w:w="562"/>
        <w:gridCol w:w="838"/>
        <w:gridCol w:w="1851"/>
        <w:gridCol w:w="611"/>
      </w:tblGrid>
      <w:tr>
        <w:trPr/>
        <w:tc>
          <w:tcPr>
            <w:tcW w:w="635"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85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3300" w:type="dxa"/>
            <w:gridSpan w:val="3"/>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3300" w:type="dxa"/>
            <w:gridSpan w:val="3"/>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330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supplemental balance sheet information for the Company’s operating leases:</w:t>
      </w:r>
    </w:p>
    <w:p>
      <w:pPr>
        <w:pStyle w:val="TextBody"/>
        <w:spacing w:before="0" w:after="0"/>
        <w:ind w:left="0" w:right="0" w:firstLine="720"/>
        <w:rPr/>
      </w:pPr>
      <w:r>
        <w:rPr/>
      </w:r>
    </w:p>
    <w:tbl>
      <w:tblPr>
        <w:tblW w:w="9809" w:type="dxa"/>
        <w:jc w:val="left"/>
        <w:tblInd w:w="0" w:type="dxa"/>
        <w:tblCellMar>
          <w:top w:w="28" w:type="dxa"/>
          <w:left w:w="28" w:type="dxa"/>
          <w:bottom w:w="28" w:type="dxa"/>
          <w:right w:w="28" w:type="dxa"/>
        </w:tblCellMar>
      </w:tblPr>
      <w:tblGrid>
        <w:gridCol w:w="1466"/>
        <w:gridCol w:w="1289"/>
        <w:gridCol w:w="1295"/>
        <w:gridCol w:w="1268"/>
        <w:gridCol w:w="1268"/>
        <w:gridCol w:w="1273"/>
        <w:gridCol w:w="419"/>
        <w:gridCol w:w="1225"/>
        <w:gridCol w:w="306"/>
      </w:tblGrid>
      <w:tr>
        <w:trPr/>
        <w:tc>
          <w:tcPr>
            <w:tcW w:w="1466"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Line Item in Balance Sheet</w:t>
            </w:r>
          </w:p>
        </w:tc>
        <w:tc>
          <w:tcPr>
            <w:tcW w:w="195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2022</w:t>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Noncurrent assets:</w:t>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4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liabilities:</w:t>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4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Noncurrent liabilities:</w:t>
            </w:r>
          </w:p>
        </w:tc>
        <w:tc>
          <w:tcPr>
            <w:tcW w:w="38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operating lease liabilities</w:t>
            </w:r>
          </w:p>
        </w:tc>
        <w:tc>
          <w:tcPr>
            <w:tcW w:w="38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4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weighted average remaining lease term and weighted average discount rate related to the Company’s right-of-use assets and lease liabilities recorded on the balance sheet as of March 31, 2022 :</w:t>
      </w:r>
    </w:p>
    <w:p>
      <w:pPr>
        <w:pStyle w:val="TextBody"/>
        <w:spacing w:before="0" w:after="0"/>
        <w:ind w:left="0" w:right="0" w:firstLine="720"/>
        <w:rPr/>
      </w:pPr>
      <w:r>
        <w:rPr/>
      </w:r>
    </w:p>
    <w:tbl>
      <w:tblPr>
        <w:tblW w:w="5353" w:type="dxa"/>
        <w:jc w:val="left"/>
        <w:tblInd w:w="0" w:type="dxa"/>
        <w:tblCellMar>
          <w:top w:w="28" w:type="dxa"/>
          <w:left w:w="28" w:type="dxa"/>
          <w:bottom w:w="28" w:type="dxa"/>
          <w:right w:w="28" w:type="dxa"/>
        </w:tblCellMar>
      </w:tblPr>
      <w:tblGrid>
        <w:gridCol w:w="1234"/>
        <w:gridCol w:w="1083"/>
        <w:gridCol w:w="1087"/>
        <w:gridCol w:w="397"/>
        <w:gridCol w:w="397"/>
        <w:gridCol w:w="1155"/>
      </w:tblGrid>
      <w:tr>
        <w:trPr/>
        <w:tc>
          <w:tcPr>
            <w:tcW w:w="1234"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2022</w:t>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terms</w:t>
            </w:r>
          </w:p>
        </w:tc>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years</w:t>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794"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55"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supplemental cash flow information for the Company’s operating leases:</w:t>
      </w:r>
    </w:p>
    <w:tbl>
      <w:tblPr>
        <w:tblW w:w="8580" w:type="dxa"/>
        <w:jc w:val="left"/>
        <w:tblInd w:w="0" w:type="dxa"/>
        <w:tblCellMar>
          <w:top w:w="28" w:type="dxa"/>
          <w:left w:w="28" w:type="dxa"/>
          <w:bottom w:w="28" w:type="dxa"/>
          <w:right w:w="28" w:type="dxa"/>
        </w:tblCellMar>
      </w:tblPr>
      <w:tblGrid>
        <w:gridCol w:w="2404"/>
        <w:gridCol w:w="2107"/>
        <w:gridCol w:w="2119"/>
        <w:gridCol w:w="495"/>
        <w:gridCol w:w="1094"/>
        <w:gridCol w:w="361"/>
      </w:tblGrid>
      <w:tr>
        <w:trPr/>
        <w:tc>
          <w:tcPr>
            <w:tcW w:w="2404" w:type="dxa"/>
            <w:tcBorders/>
            <w:shd w:fill="auto" w:val="clear"/>
            <w:vAlign w:val="center"/>
          </w:tcPr>
          <w:p>
            <w:pPr>
              <w:pStyle w:val="TableContents"/>
              <w:spacing w:before="0" w:after="283"/>
              <w:rPr>
                <w:sz w:val="4"/>
                <w:szCs w:val="4"/>
              </w:rPr>
            </w:pPr>
            <w:r>
              <w:rPr>
                <w:sz w:val="4"/>
                <w:szCs w:val="4"/>
              </w:rPr>
            </w:r>
          </w:p>
        </w:tc>
        <w:tc>
          <w:tcPr>
            <w:tcW w:w="2107"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6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2022</w:t>
            </w:r>
          </w:p>
        </w:tc>
      </w:tr>
      <w:tr>
        <w:trPr/>
        <w:tc>
          <w:tcPr>
            <w:tcW w:w="663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maturity of the Company’s operating lease liabilities as of March 31, 2022:</w:t>
      </w:r>
    </w:p>
    <w:tbl>
      <w:tblPr>
        <w:tblW w:w="5149" w:type="dxa"/>
        <w:jc w:val="left"/>
        <w:tblInd w:w="0" w:type="dxa"/>
        <w:tblCellMar>
          <w:top w:w="28" w:type="dxa"/>
          <w:left w:w="28" w:type="dxa"/>
          <w:bottom w:w="28" w:type="dxa"/>
          <w:right w:w="28" w:type="dxa"/>
        </w:tblCellMar>
      </w:tblPr>
      <w:tblGrid>
        <w:gridCol w:w="906"/>
        <w:gridCol w:w="798"/>
        <w:gridCol w:w="801"/>
        <w:gridCol w:w="109"/>
        <w:gridCol w:w="496"/>
        <w:gridCol w:w="1449"/>
        <w:gridCol w:w="590"/>
      </w:tblGrid>
      <w:tr>
        <w:trPr/>
        <w:tc>
          <w:tcPr>
            <w:tcW w:w="90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09" w:type="dxa"/>
            <w:tcBorders/>
            <w:shd w:fill="auto" w:val="cle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Maturity of Lease Payments</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nine months remaining</w:t>
            </w:r>
          </w:p>
        </w:tc>
        <w:tc>
          <w:tcPr>
            <w:tcW w:w="109" w:type="dxa"/>
            <w:tcBorders/>
            <w:shd w:fill="auto" w:val="clear"/>
            <w:vAlign w:val="center"/>
          </w:tcPr>
          <w:p>
            <w:pPr>
              <w:pStyle w:val="TableContents"/>
              <w:spacing w:before="0" w:after="283"/>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9"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shd w:fill="auto" w:val="clear"/>
            <w:vAlign w:val="center"/>
          </w:tcPr>
          <w:p>
            <w:pPr>
              <w:pStyle w:val="TableContents"/>
              <w:spacing w:before="0" w:after="283"/>
              <w:rPr>
                <w:sz w:val="4"/>
                <w:szCs w:val="4"/>
              </w:rPr>
            </w:pPr>
            <w:r>
              <w:rPr>
                <w:sz w:val="4"/>
                <w:szCs w:val="4"/>
              </w:rPr>
            </w:r>
          </w:p>
        </w:tc>
        <w:tc>
          <w:tcPr>
            <w:tcW w:w="1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59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shd w:fill="auto" w:val="clear"/>
            <w:vAlign w:val="center"/>
          </w:tcPr>
          <w:p>
            <w:pPr>
              <w:pStyle w:val="TableContents"/>
              <w:spacing w:before="0" w:after="283"/>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 w:type="dxa"/>
            <w:tcBorders/>
            <w:shd w:fill="auto" w:val="clear"/>
            <w:vAlign w:val="center"/>
          </w:tcPr>
          <w:p>
            <w:pPr>
              <w:pStyle w:val="TableContents"/>
              <w:spacing w:before="0" w:after="283"/>
              <w:rPr>
                <w:sz w:val="4"/>
                <w:szCs w:val="4"/>
              </w:rPr>
            </w:pPr>
            <w:r>
              <w:rPr>
                <w:sz w:val="4"/>
                <w:szCs w:val="4"/>
              </w:rPr>
            </w:r>
          </w:p>
        </w:tc>
        <w:tc>
          <w:tcPr>
            <w:tcW w:w="1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59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shd w:fill="auto" w:val="clear"/>
            <w:vAlign w:val="center"/>
          </w:tcPr>
          <w:p>
            <w:pPr>
              <w:pStyle w:val="TableContents"/>
              <w:spacing w:before="0" w:after="283"/>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5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9" w:type="dxa"/>
            <w:tcBorders/>
            <w:shd w:fill="auto" w:val="clear"/>
            <w:vAlign w:val="center"/>
          </w:tcPr>
          <w:p>
            <w:pPr>
              <w:pStyle w:val="TableContents"/>
              <w:spacing w:before="0" w:after="283"/>
              <w:rPr>
                <w:sz w:val="4"/>
                <w:szCs w:val="4"/>
              </w:rPr>
            </w:pPr>
            <w:r>
              <w:rPr>
                <w:sz w:val="4"/>
                <w:szCs w:val="4"/>
              </w:rPr>
            </w:r>
          </w:p>
        </w:tc>
        <w:tc>
          <w:tcPr>
            <w:tcW w:w="1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0" w:type="dxa"/>
            <w:tcBorders/>
            <w:shd w:fill="auto" w:val="clear"/>
            <w:tcMar>
              <w:top w:w="0" w:type="dxa"/>
              <w:left w:w="0" w:type="dxa"/>
              <w:bottom w:w="0" w:type="dxa"/>
              <w:right w:w="0" w:type="dxa"/>
            </w:tcMar>
            <w:vAlign w:val="center"/>
          </w:tcPr>
          <w:p>
            <w:pPr>
              <w:pStyle w:val="TableContents"/>
              <w:spacing w:before="0" w:after="283"/>
              <w:ind w:left="0" w:right="0" w:firstLine="120"/>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09" w:type="dxa"/>
            <w:tcBorders/>
            <w:shd w:fill="auto" w:val="clear"/>
            <w:vAlign w:val="center"/>
          </w:tcPr>
          <w:p>
            <w:pPr>
              <w:pStyle w:val="TableContents"/>
              <w:spacing w:before="0" w:after="283"/>
              <w:rPr>
                <w:sz w:val="4"/>
                <w:szCs w:val="4"/>
              </w:rPr>
            </w:pPr>
            <w:r>
              <w:rPr>
                <w:sz w:val="4"/>
                <w:szCs w:val="4"/>
              </w:rPr>
            </w:r>
          </w:p>
        </w:tc>
        <w:tc>
          <w:tcPr>
            <w:tcW w:w="1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9" w:type="dxa"/>
            <w:tcBorders/>
            <w:shd w:fill="auto" w:val="clear"/>
            <w:vAlign w:val="center"/>
          </w:tcPr>
          <w:p>
            <w:pPr>
              <w:pStyle w:val="TableContents"/>
              <w:spacing w:before="0" w:after="283"/>
              <w:rPr>
                <w:sz w:val="4"/>
                <w:szCs w:val="4"/>
              </w:rPr>
            </w:pPr>
            <w:r>
              <w:rPr>
                <w:sz w:val="4"/>
                <w:szCs w:val="4"/>
              </w:rPr>
            </w:r>
          </w:p>
        </w:tc>
        <w:tc>
          <w:tcPr>
            <w:tcW w:w="1945"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90" w:type="dxa"/>
            <w:tcBorders/>
            <w:shd w:fill="auto" w:val="clear"/>
            <w:tcMar>
              <w:top w:w="0" w:type="dxa"/>
              <w:left w:w="0" w:type="dxa"/>
              <w:bottom w:w="0" w:type="dxa"/>
              <w:right w:w="0" w:type="dxa"/>
            </w:tcMar>
            <w:vAlign w:val="center"/>
          </w:tcPr>
          <w:p>
            <w:pPr>
              <w:pStyle w:val="TableContents"/>
              <w:spacing w:before="0" w:after="283"/>
              <w:ind w:left="0" w:right="0" w:firstLine="120"/>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5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firstLine="612"/>
        <w:rPr/>
      </w:pPr>
      <w:r>
        <w:rPr/>
      </w:r>
    </w:p>
    <w:p>
      <w:pPr>
        <w:pStyle w:val="TextBody"/>
        <w:spacing w:lineRule="auto" w:line="268" w:before="120" w:after="283"/>
        <w:ind w:left="0" w:right="0" w:firstLine="612"/>
        <w:rPr/>
      </w:pPr>
      <w:r>
        <w:rPr>
          <w:rFonts w:ascii="Times New Roman;sans-serif" w:hAnsi="Times New Roman;sans-serif"/>
          <w:b w:val="false"/>
          <w:color w:val="000000"/>
          <w:sz w:val="20"/>
        </w:rPr>
        <w:t xml:space="preserve">The aggregate minimum commitments for renting the office spaces under non-cancellable operating leases as of December 31, 2021 are summarized in the following table. This table was populated in accordance with the prior guidance under ASC 840, </w:t>
      </w:r>
      <w:r>
        <w:rPr>
          <w:rFonts w:ascii="Times New Roman;sans-serif" w:hAnsi="Times New Roman;sans-serif"/>
          <w:b w:val="false"/>
          <w:i/>
          <w:color w:val="000000"/>
          <w:sz w:val="20"/>
        </w:rPr>
        <w:t>Leases</w:t>
      </w:r>
      <w:r>
        <w:rPr>
          <w:rFonts w:ascii="Times New Roman;sans-serif" w:hAnsi="Times New Roman;sans-serif"/>
          <w:b w:val="false"/>
          <w:color w:val="000000"/>
          <w:sz w:val="20"/>
        </w:rPr>
        <w:t>.</w:t>
      </w:r>
    </w:p>
    <w:tbl>
      <w:tblPr>
        <w:tblW w:w="4619" w:type="dxa"/>
        <w:jc w:val="left"/>
        <w:tblInd w:w="0" w:type="dxa"/>
        <w:tblCellMar>
          <w:top w:w="28" w:type="dxa"/>
          <w:left w:w="28" w:type="dxa"/>
          <w:bottom w:w="28" w:type="dxa"/>
          <w:right w:w="28" w:type="dxa"/>
        </w:tblCellMar>
      </w:tblPr>
      <w:tblGrid>
        <w:gridCol w:w="895"/>
        <w:gridCol w:w="788"/>
        <w:gridCol w:w="791"/>
        <w:gridCol w:w="461"/>
        <w:gridCol w:w="1347"/>
        <w:gridCol w:w="337"/>
      </w:tblGrid>
      <w:tr>
        <w:trPr/>
        <w:tc>
          <w:tcPr>
            <w:tcW w:w="89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2145"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20"/>
              </w:rPr>
            </w:pPr>
            <w:r>
              <w:rPr>
                <w:rFonts w:ascii="Times New Roman;sans-serif" w:hAnsi="Times New Roman;sans-serif"/>
                <w:b/>
                <w:color w:val="000000"/>
                <w:sz w:val="20"/>
              </w:rPr>
              <w:t>Minimum Commitment</w:t>
            </w:r>
          </w:p>
        </w:tc>
      </w:tr>
      <w:tr>
        <w:trPr/>
        <w:tc>
          <w:tcPr>
            <w:tcW w:w="247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461" w:type="dxa"/>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337" w:type="dxa"/>
            <w:tcBorders/>
            <w:shd w:fill="CFF0FC"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80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3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47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80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37" w:type="dxa"/>
            <w:tcBorders/>
            <w:shd w:fill="CFF0FC"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80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37"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474" w:type="dxa"/>
            <w:gridSpan w:val="3"/>
            <w:tcBorders/>
            <w:shd w:fill="CFF0FC"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808" w:type="dxa"/>
            <w:gridSpan w:val="2"/>
            <w:tcBorders/>
            <w:shd w:fill="CFF0FC"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37" w:type="dxa"/>
            <w:tcBorders/>
            <w:shd w:fill="CFF0FC"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80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33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16. SUBSEQUENT EVENTS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14, 2022, Axelle Henry notified The Vita Coco Company, Inc. (the “Company”) of her intent to resign as a Class I Director of the Company's Board of Directors ("Board") and its Audit Committee following the 2022 Annual Meeting of Stockholders in June 2022 (the “2022 Annual Meeting”), and that she therefore will not stand for reelection to the Board at the 2022 Annual Meeting. Ms. Henry was initially appointed to the Board as a designee of Verlinvest Beverages SA, pursuant to the Investor Rights Agreement dated as of October 20, 2021, between the Company, Verlinvest, Michael Kirban and Ira Liran.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Michael Kirban notified The Vita Coco Company, Inc. (the “Company”) of his resignation, effective on May 2, 2022, as Co-Chief Executive Officer and co-principal executive officer of the Company and the Board subsequently appointed Mr. Kirban as Executive Chairman of the Company. As a result, Mr. Kirban will serve with the title of Executive Chairman and Co-Founder and continue to be an executive officer and director of the Company. The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Board also determined that Martin Roper, the Company’s Co-Chief Executive Officer and director of the Board, will be designated as the sole Chief Executive Officer and principal executive officer of the Company.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Mr. Kirban’s appointment as Executive Chairman, the Board approved an amendment to that certain Amended and Restated Employment Agreement, by and between the Company and Michael Kirban, dated as of October 20, 2021 (the “Employment Agreement), to provide that (i) Mr. Kirban may not be terminated without Cause (as defined in the Employment Agreement) prior to July 1, 2023, rather than prior to July 1, 2022, with corresponding changes to dates regarding certain Board approval of such action to extend by one-year, in each case, and (ii) certain Board approval electing to transition Mr. Kirban to a part-time position will extend by one-year, in each case. Mr. Kirban’s compensation will remain unchanged and he will otherwise continue to be subject to the same terms and conditions as set forth in the Employment Agreement.</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120" w:after="283"/>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Item 2. Management’s Discussion and Analysis of Financial Condition and Results of Operations. </w:t>
      </w:r>
    </w:p>
    <w:p>
      <w:pPr>
        <w:pStyle w:val="TextBody"/>
        <w:spacing w:lineRule="auto" w:line="288" w:before="12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Form 10-K, for the fiscal year ended December 31, 2021 and filed with the Securities and Exchange Commission ("SEC") on March 14,2022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and other factors set forth in the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Vita Coco Company is a leading platform for brands in the functional beverage category. We pioneered packaged coconut water in 2004 and extended our business into other healthy hydration categories. Our mission is to deliver great tasting, natural and nutritious products that are better for consumers and better for the world. Today we believe that we are the largest brand globally in the coconut and other plant waters category, and one of the largest suppliers of private label coconut water. </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Our branded portfolio is led by our </w:t>
      </w:r>
      <w:r>
        <w:rPr>
          <w:rFonts w:ascii="Times New Roman;sans-serif" w:hAnsi="Times New Roman;sans-serif"/>
          <w:b w:val="false"/>
          <w:i/>
          <w:color w:val="000000"/>
          <w:sz w:val="20"/>
        </w:rPr>
        <w:t>Vita Coco</w:t>
      </w:r>
      <w:r>
        <w:rPr>
          <w:color w:val="000000"/>
        </w:rPr>
        <w:t xml:space="preserve"> </w:t>
      </w:r>
      <w:r>
        <w:rPr>
          <w:rFonts w:ascii="Times New Roman;sans-serif" w:hAnsi="Times New Roman;sans-serif"/>
          <w:b w:val="false"/>
          <w:color w:val="000000"/>
          <w:sz w:val="20"/>
        </w:rPr>
        <w:t xml:space="preserve">brand, which is the leader in the global coconut water category, and also includes coconut oil and coconut milk offerings. Our other brands include </w:t>
      </w:r>
      <w:r>
        <w:rPr>
          <w:rFonts w:ascii="Times New Roman;sans-serif" w:hAnsi="Times New Roman;sans-serif"/>
          <w:b w:val="false"/>
          <w:i/>
          <w:color w:val="000000"/>
          <w:sz w:val="20"/>
        </w:rPr>
        <w:t>Runa</w:t>
      </w:r>
      <w:r>
        <w:rPr>
          <w:rFonts w:ascii="Times New Roman;sans-serif" w:hAnsi="Times New Roman;sans-serif"/>
          <w:b w:val="false"/>
          <w:color w:val="000000"/>
          <w:sz w:val="20"/>
        </w:rPr>
        <w:t xml:space="preserve">, a leading plant-based energy drink inspired from the guayusa plant native to Ecuador, </w:t>
      </w:r>
      <w:r>
        <w:rPr>
          <w:rFonts w:ascii="Times New Roman;sans-serif" w:hAnsi="Times New Roman;sans-serif"/>
          <w:b w:val="false"/>
          <w:i/>
          <w:color w:val="000000"/>
          <w:sz w:val="20"/>
        </w:rPr>
        <w:t>Ever &amp; Ever</w:t>
      </w:r>
      <w:r>
        <w:rPr>
          <w:rFonts w:ascii="Times New Roman;sans-serif" w:hAnsi="Times New Roman;sans-serif"/>
          <w:b w:val="false"/>
          <w:color w:val="000000"/>
          <w:sz w:val="20"/>
        </w:rPr>
        <w:t xml:space="preserve">, a sustainably packaged water, and the recently launched </w:t>
      </w:r>
      <w:r>
        <w:rPr>
          <w:rFonts w:ascii="Times New Roman;sans-serif" w:hAnsi="Times New Roman;sans-serif"/>
          <w:b w:val="false"/>
          <w:i/>
          <w:color w:val="000000"/>
          <w:sz w:val="20"/>
        </w:rPr>
        <w:t>PWR LIFT</w:t>
      </w:r>
      <w:r>
        <w:rPr>
          <w:rFonts w:ascii="Times New Roman;sans-serif" w:hAnsi="Times New Roman;sans-serif"/>
          <w:b w:val="false"/>
          <w:color w:val="000000"/>
          <w:sz w:val="20"/>
        </w:rPr>
        <w:t>, a protein-infused fitness drink. We also supply private label products to key retailers in both the coconut water and coconut oil categories.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source our coconut water from a diversified global network of 15 factories across seven countries supported by thousands of coconut farmers. As we do not own any of the coconut water factories, our supply chain is a fixed asset-lite model designed to better react to changes in the market or consumer preferences. We also work with co-packers in America and Europe to support local packing and repacking of our products and to better service our customers’ needs.</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i/>
          <w:color w:val="000000"/>
          <w:sz w:val="20"/>
        </w:rPr>
        <w:t>Vita Coco</w:t>
      </w:r>
      <w:r>
        <w:rPr>
          <w:color w:val="000000"/>
        </w:rPr>
        <w:t xml:space="preserve"> </w:t>
      </w:r>
      <w:r>
        <w:rPr>
          <w:rFonts w:ascii="Times New Roman;sans-serif" w:hAnsi="Times New Roman;sans-serif"/>
          <w:b w:val="false"/>
          <w:color w:val="000000"/>
          <w:sz w:val="20"/>
        </w:rPr>
        <w:t>is available in over 30 countries, with our primary markets in North America, the United Kingdom, and China. Our primary markets for private label are North America and Europe. Our products are distributed primarily through club, food, drug, mass, convenience, e-commerce, and foodservice channels. We are also available in a variety of on-premise locations such as corporate offices, fitness clubs, airports, cruise lines, and educational institutions.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Key Factors Affecting Our Performance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performance and future success depend on a number of factors that present significant opportunities for us. There have been no material changes to such factors from those described in the Form 10-K under the heading “Key Factors Affecting our Performance” other than the changes noted below in "Impact of COVID-19 and the Russia-Ukraine War." Those factors also pose risks and challenges, including those discussed in Part I, Item 1A. “Risk Factors” of the Form 10-K.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Impact of COVID-19 and the Russia-Ukraine War</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macroeconomic environment continues to be affected by the COVID-19 pandemic and the Russia-Ukraine war. In fiscal year 2021 and continuing in the first quarter ended March 31, 2022, the Company saw significant changes to global ocean shipping availability and pricing of containers, lengthening transit times, increased domestic transportation costs and some payroll inflationary effects among other impacts. Starting in the second quarter of 2021, we took pricing actions such as delaying promotional activities until later in the year, reducing discounting and sharing cost increases with private label customers, in order to partially offset the inflationary costs of goods effects we were experiencing. </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we estimate that our gross profit absorbed incremental costs of goods on a rate/mix basis compared to the prior year quarter of approximately $12 million, mostly driven by transportation cost increases across both ocean freight and domestic logistics as a result of global supply chain disruptions caused by these global events. We do not believe the current costs of goods inflated by the current economic and supply chain pressures are fully representative of our future costs of goods in a normal supply chain environment.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is continuing to monitor the situation carefully to understand any future potential impact on its people and business. As a result, it is not currently possible to ascertain the overall impact of COVID-19 or the Russia-Ukraine war on the business, results of operations, financial condition or liquidity. Future events and effects related to COVID-19 or the Russia-Ukraine war cannot be determined with precision and actual results could significantly differ from estimates or forecasts. For a further discussion of the risks and challenges posed by these events, please see Part I, Item 1A. “Risk Factors” in our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spacing w:lineRule="auto" w:line="276" w:before="120" w:after="283"/>
        <w:ind w:left="0" w:right="0" w:firstLine="612"/>
        <w:rPr/>
      </w:pPr>
      <w:r>
        <w:rPr>
          <w:rFonts w:ascii="Times New Roman;sans-serif" w:hAnsi="Times New Roman;sans-serif"/>
          <w:b w:val="false"/>
          <w:color w:val="000000"/>
          <w:sz w:val="20"/>
        </w:rPr>
        <w:t xml:space="preserve">We generate revenue through the sale of our </w:t>
      </w:r>
      <w:r>
        <w:rPr>
          <w:rFonts w:ascii="Times New Roman;sans-serif" w:hAnsi="Times New Roman;sans-serif"/>
          <w:b w:val="false"/>
          <w:i/>
          <w:color w:val="000000"/>
          <w:sz w:val="20"/>
        </w:rPr>
        <w:t>Vita Coco</w:t>
      </w:r>
      <w:r>
        <w:rPr>
          <w:color w:val="000000"/>
        </w:rPr>
        <w:t xml:space="preserve"> </w:t>
      </w:r>
      <w:r>
        <w:rPr>
          <w:rFonts w:ascii="Times New Roman;sans-serif" w:hAnsi="Times New Roman;sans-serif"/>
          <w:b w:val="false"/>
          <w:color w:val="000000"/>
          <w:sz w:val="20"/>
        </w:rPr>
        <w:t>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spacing w:lineRule="auto" w:line="276"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Cost of goods sold includes the costs of the products sold to customers, inbound and outbound shipping and handling costs, freight and duties, shipping and packaging supplies, and warehouse fulfillment costs.</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spacing w:lineRule="auto" w:line="276"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and transportation rates. We expect that our gross margin will fluctuate from period to period depending on the interplay of these variables.</w:t>
      </w:r>
    </w:p>
    <w:p>
      <w:pPr>
        <w:pStyle w:val="TextBody"/>
        <w:spacing w:lineRule="auto" w:line="276" w:before="24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76" w:before="120" w:after="283"/>
        <w:ind w:left="0" w:right="0" w:firstLine="612"/>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lineRule="auto" w:line="276"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include marketing expenses, sales promotion expenses, and general and administrative expenses. Marketing and sales promotion expenses consist primarily of costs incurred promoting and marketing our products and are primarily driven by investments to grow our business and retain customers. In the long-term, we generally expect selling and marketing expenses to increase in absolute dollars and to vary from period to period as a percentage of net sales.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selling, general and administrative expenses as incurred. We expect selling, general and administrative expenses to increase in absolute dollars to support business growth and, in the near term, our transition to a public company.</w:t>
      </w:r>
    </w:p>
    <w:p>
      <w:pPr>
        <w:pStyle w:val="TextBody"/>
        <w:spacing w:lineRule="auto" w:line="276" w:before="360" w:after="283"/>
        <w:ind w:left="0" w:right="0" w:firstLine="612"/>
        <w:rPr>
          <w:rFonts w:ascii="Times New Roman;sans-serif" w:hAnsi="Times New Roman;sans-serif"/>
          <w:b/>
          <w:i/>
          <w:color w:val="000000"/>
          <w:sz w:val="20"/>
        </w:rPr>
      </w:pPr>
      <w:r>
        <w:rPr>
          <w:rFonts w:ascii="Times New Roman;sans-serif" w:hAnsi="Times New Roman;sans-serif"/>
          <w:b/>
          <w:i/>
          <w:color w:val="000000"/>
          <w:sz w:val="20"/>
        </w:rPr>
        <w:t>Change in Fair Value of Contingent Consideration</w:t>
      </w:r>
    </w:p>
    <w:p>
      <w:pPr>
        <w:pStyle w:val="TextBody"/>
        <w:spacing w:lineRule="auto" w:line="276" w:before="120" w:after="283"/>
        <w:ind w:left="0" w:right="0" w:firstLine="612"/>
        <w:rPr/>
      </w:pPr>
      <w:r>
        <w:rPr>
          <w:rFonts w:ascii="Times New Roman;sans-serif" w:hAnsi="Times New Roman;sans-serif"/>
          <w:b w:val="false"/>
          <w:color w:val="000000"/>
          <w:sz w:val="20"/>
        </w:rPr>
        <w:t xml:space="preserve">In connection with our acquisition of </w:t>
      </w:r>
      <w:r>
        <w:rPr>
          <w:rFonts w:ascii="Times New Roman;sans-serif" w:hAnsi="Times New Roman;sans-serif"/>
          <w:b w:val="false"/>
          <w:i/>
          <w:color w:val="000000"/>
          <w:sz w:val="20"/>
        </w:rPr>
        <w:t>Runa</w:t>
      </w:r>
      <w:r>
        <w:rPr>
          <w:rFonts w:ascii="Times New Roman;sans-serif" w:hAnsi="Times New Roman;sans-serif"/>
          <w:b w:val="false"/>
          <w:color w:val="000000"/>
          <w:sz w:val="20"/>
        </w:rPr>
        <w:t xml:space="preserve">, we agreed to pay contingent payments to </w:t>
      </w:r>
      <w:r>
        <w:rPr>
          <w:rFonts w:ascii="Times New Roman;sans-serif" w:hAnsi="Times New Roman;sans-serif"/>
          <w:b w:val="false"/>
          <w:i/>
          <w:color w:val="000000"/>
          <w:sz w:val="20"/>
        </w:rPr>
        <w:t>Runa’s</w:t>
      </w:r>
      <w:r>
        <w:rPr>
          <w:color w:val="000000"/>
        </w:rPr>
        <w:t xml:space="preserve"> </w:t>
      </w:r>
      <w:r>
        <w:rPr>
          <w:rFonts w:ascii="Times New Roman;sans-serif" w:hAnsi="Times New Roman;sans-serif"/>
          <w:b w:val="false"/>
          <w:color w:val="000000"/>
          <w:sz w:val="20"/>
        </w:rPr>
        <w:t xml:space="preserve">former shareholders only if a certain revenue growth rate is achieved. Assuming the revenue growth is achieved, the former shareholders could elect for payment to be calculated based on quarterly data available between December 2021 and December 2022, as follows: 49% of the product of (a) the net revenue for the trailing 12 calendar months and (b) a specified multiple, which is contingent on the revenue growth achieved since December 31, 2017. The contingent consideration payout cannot exceed $51.5 million. If a certain revenue growth rate is not achieved, the Company is not required to pay any contingent payment.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76" w:before="120" w:after="283"/>
        <w:rPr/>
      </w:pPr>
      <w:r>
        <w:rPr>
          <w:rFonts w:ascii="Times New Roman;sans-serif" w:hAnsi="Times New Roman;sans-serif"/>
          <w:b w:val="false"/>
          <w:color w:val="000000"/>
          <w:sz w:val="20"/>
        </w:rPr>
        <w:t xml:space="preserve">The contingent consideration payable to </w:t>
      </w:r>
      <w:r>
        <w:rPr>
          <w:rFonts w:ascii="Times New Roman;sans-serif" w:hAnsi="Times New Roman;sans-serif"/>
          <w:b w:val="false"/>
          <w:i/>
          <w:color w:val="000000"/>
          <w:sz w:val="20"/>
        </w:rPr>
        <w:t>Runa’s</w:t>
      </w:r>
      <w:r>
        <w:rPr>
          <w:color w:val="000000"/>
        </w:rPr>
        <w:t xml:space="preserve"> </w:t>
      </w:r>
      <w:r>
        <w:rPr>
          <w:rFonts w:ascii="Times New Roman;sans-serif" w:hAnsi="Times New Roman;sans-serif"/>
          <w:b w:val="false"/>
          <w:color w:val="000000"/>
          <w:sz w:val="20"/>
        </w:rPr>
        <w:t xml:space="preserve">former shareholders was re-measured at fair value, which reflects estimates, assumptions, and expectations on </w:t>
      </w:r>
      <w:r>
        <w:rPr>
          <w:rFonts w:ascii="Times New Roman;sans-serif" w:hAnsi="Times New Roman;sans-serif"/>
          <w:b w:val="false"/>
          <w:i/>
          <w:color w:val="000000"/>
          <w:sz w:val="20"/>
        </w:rPr>
        <w:t>Runa’s</w:t>
      </w:r>
      <w:r>
        <w:rPr>
          <w:color w:val="000000"/>
        </w:rPr>
        <w:t xml:space="preserve"> </w:t>
      </w:r>
      <w:r>
        <w:rPr>
          <w:rFonts w:ascii="Times New Roman;sans-serif" w:hAnsi="Times New Roman;sans-serif"/>
          <w:b w:val="false"/>
          <w:color w:val="000000"/>
          <w:sz w:val="20"/>
        </w:rPr>
        <w:t xml:space="preserve">revenue and revenue growth as of the valuation date. A key factor in the contingent consideration calculation is whether the growth levels specified in the contract can be met within the four year time period immediately following the acquisition. The design of the payout is to reward for high growth in the initial years following the acquisition. As of March 31, 2022, we expect the contingent consideration to be zero. The contingent consideration will continue to be remeasured until the term of the agreement ends in December 2022. However, we do not believe that the </w:t>
      </w:r>
      <w:r>
        <w:rPr>
          <w:rFonts w:ascii="Times New Roman;sans-serif" w:hAnsi="Times New Roman;sans-serif"/>
          <w:b w:val="false"/>
          <w:i/>
          <w:color w:val="000000"/>
          <w:sz w:val="20"/>
        </w:rPr>
        <w:t>Runa</w:t>
      </w:r>
      <w:r>
        <w:rPr>
          <w:color w:val="000000"/>
        </w:rPr>
        <w:t xml:space="preserve"> </w:t>
      </w:r>
      <w:r>
        <w:rPr>
          <w:rFonts w:ascii="Times New Roman;sans-serif" w:hAnsi="Times New Roman;sans-serif"/>
          <w:b w:val="false"/>
          <w:color w:val="000000"/>
          <w:sz w:val="20"/>
        </w:rPr>
        <w:t>business will achieve the growth targets required and thus we expect that the contingent consideration will be zero at December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Other Income (Expense), Net</w:t>
      </w:r>
    </w:p>
    <w:p>
      <w:pPr>
        <w:pStyle w:val="TextBody"/>
        <w:spacing w:lineRule="auto" w:line="276" w:before="120" w:after="283"/>
        <w:ind w:left="0" w:right="0" w:firstLine="612"/>
        <w:rPr>
          <w:rFonts w:ascii="Times New Roman;sans-serif" w:hAnsi="Times New Roman;sans-serif"/>
          <w:b/>
          <w:i/>
          <w:color w:val="000000"/>
          <w:sz w:val="20"/>
        </w:rPr>
      </w:pPr>
      <w:r>
        <w:rPr>
          <w:rFonts w:ascii="Times New Roman;sans-serif" w:hAnsi="Times New Roman;sans-serif"/>
          <w:b/>
          <w:i/>
          <w:color w:val="000000"/>
          <w:sz w:val="20"/>
        </w:rPr>
        <w:t>Unrealized Gain/(Loss) on Derivative Instruments</w:t>
      </w:r>
    </w:p>
    <w:p>
      <w:pPr>
        <w:pStyle w:val="TextBody"/>
        <w:spacing w:lineRule="auto" w:line="276" w:before="120" w:after="283"/>
        <w:ind w:left="0" w:right="0" w:firstLine="612"/>
        <w:rPr/>
      </w:pPr>
      <w:r>
        <w:rPr>
          <w:rFonts w:ascii="Times New Roman;sans-serif" w:hAnsi="Times New Roman;sans-serif"/>
          <w:b w:val="false"/>
          <w:color w:val="000000"/>
          <w:sz w:val="20"/>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 on derivative instruments consists of gains or losses on such foreign currency exchange contracts which are unsettled as of period end. See “—Qualitative and Quantitative Disclosures about Market Risk—Foreign Currency Exchange Risk</w:t>
      </w:r>
      <w:r>
        <w:rPr>
          <w:color w:val="000000"/>
        </w:rPr>
        <w:t xml:space="preserve">” </w:t>
      </w:r>
      <w:r>
        <w:rPr>
          <w:rFonts w:ascii="Times New Roman;sans-serif" w:hAnsi="Times New Roman;sans-serif"/>
          <w:b w:val="false"/>
          <w:color w:val="000000"/>
          <w:sz w:val="20"/>
        </w:rPr>
        <w:t>for further information.</w:t>
      </w:r>
    </w:p>
    <w:p>
      <w:pPr>
        <w:pStyle w:val="TextBody"/>
        <w:spacing w:lineRule="auto" w:line="276" w:before="360" w:after="283"/>
        <w:ind w:left="0" w:right="0" w:firstLine="612"/>
        <w:rPr>
          <w:rFonts w:ascii="Times New Roman;sans-serif" w:hAnsi="Times New Roman;sans-serif"/>
          <w:b/>
          <w:i/>
          <w:color w:val="000000"/>
          <w:sz w:val="20"/>
        </w:rPr>
      </w:pPr>
      <w:r>
        <w:rPr>
          <w:rFonts w:ascii="Times New Roman;sans-serif" w:hAnsi="Times New Roman;sans-serif"/>
          <w:b/>
          <w:i/>
          <w:color w:val="000000"/>
          <w:sz w:val="20"/>
        </w:rPr>
        <w:t>Foreign Currency Gain/(Loss)</w:t>
      </w:r>
    </w:p>
    <w:p>
      <w:pPr>
        <w:pStyle w:val="TextBody"/>
        <w:spacing w:lineRule="auto" w:line="276" w:before="120" w:after="283"/>
        <w:ind w:left="0" w:right="0" w:firstLine="720"/>
        <w:rPr/>
      </w:pPr>
      <w:r>
        <w:rPr>
          <w:rFonts w:ascii="Times New Roman;sans-serif" w:hAnsi="Times New Roman;sans-serif"/>
          <w:b w:val="false"/>
          <w:color w:val="000000"/>
          <w:sz w:val="20"/>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“—Qualitative and Quantitative Disclosures about Market Risk—Foreign Currency Exchange Risk</w:t>
      </w:r>
      <w:r>
        <w:rPr>
          <w:color w:val="000000"/>
        </w:rPr>
        <w:t xml:space="preserve">” </w:t>
      </w:r>
      <w:r>
        <w:rPr>
          <w:rFonts w:ascii="Times New Roman;sans-serif" w:hAnsi="Times New Roman;sans-serif"/>
          <w:b w:val="false"/>
          <w:color w:val="000000"/>
          <w:sz w:val="20"/>
        </w:rPr>
        <w:t>for further information.</w:t>
      </w:r>
    </w:p>
    <w:p>
      <w:pPr>
        <w:pStyle w:val="TextBody"/>
        <w:spacing w:lineRule="auto" w:line="276" w:before="360" w:after="283"/>
        <w:ind w:left="0" w:right="0" w:firstLine="612"/>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spacing w:lineRule="auto" w:line="276"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income earned on our cash and cash equivalents, and money market funds, as well as interest received as part of an interest rate swap which was terminated in May 2020.</w:t>
      </w:r>
    </w:p>
    <w:p>
      <w:pPr>
        <w:pStyle w:val="TextBody"/>
        <w:spacing w:lineRule="auto" w:line="276" w:before="360" w:after="283"/>
        <w:ind w:left="0" w:right="0" w:firstLine="612"/>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76"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interests on our credit facilities and term loans.</w:t>
      </w:r>
    </w:p>
    <w:p>
      <w:pPr>
        <w:pStyle w:val="TextBody"/>
        <w:spacing w:lineRule="auto" w:line="276" w:before="360" w:after="283"/>
        <w:ind w:left="0" w:right="0" w:firstLine="612"/>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spacing w:lineRule="auto" w:line="276"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Operating Segments</w:t>
      </w:r>
    </w:p>
    <w:p>
      <w:pPr>
        <w:pStyle w:val="TextBody"/>
        <w:spacing w:lineRule="auto" w:line="288" w:before="24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We operate in two reporting segments:</w:t>
      </w:r>
    </w:p>
    <w:p>
      <w:pPr>
        <w:pStyle w:val="TextBody"/>
        <w:spacing w:lineRule="auto" w:line="276" w:before="120" w:after="283"/>
        <w:ind w:left="0" w:right="0" w:hanging="270"/>
        <w:rPr/>
      </w:pPr>
      <w:r>
        <w:rPr>
          <w:color w:val="000000"/>
        </w:rPr>
        <w:t>•</w:t>
      </w:r>
      <w:r>
        <w:rPr>
          <w:rFonts w:ascii="Times New Roman;sans-serif" w:hAnsi="Times New Roman;sans-serif"/>
          <w:b/>
          <w:i/>
          <w:color w:val="000000"/>
          <w:sz w:val="20"/>
        </w:rPr>
        <w:t>Americas</w:t>
      </w:r>
      <w:r>
        <w:rPr>
          <w:color w:val="000000"/>
        </w:rPr>
        <w:t>—</w:t>
      </w:r>
      <w:r>
        <w:rPr>
          <w:rFonts w:ascii="Times New Roman;sans-serif" w:hAnsi="Times New Roman;sans-serif"/>
          <w:b w:val="false"/>
          <w:color w:val="000000"/>
          <w:sz w:val="20"/>
        </w:rPr>
        <w:t>The Americas segment is comprised of our operations in the Americas region, primarily in the United States and Canada.</w:t>
      </w:r>
    </w:p>
    <w:p>
      <w:pPr>
        <w:pStyle w:val="TextBody"/>
        <w:spacing w:lineRule="auto" w:line="276" w:before="120" w:after="283"/>
        <w:ind w:left="0" w:right="0" w:hanging="270"/>
        <w:rPr/>
      </w:pPr>
      <w:r>
        <w:rPr>
          <w:color w:val="000000"/>
        </w:rPr>
        <w:t>•</w:t>
      </w:r>
      <w:r>
        <w:rPr>
          <w:rFonts w:ascii="Times New Roman;sans-serif" w:hAnsi="Times New Roman;sans-serif"/>
          <w:b/>
          <w:i/>
          <w:color w:val="000000"/>
          <w:sz w:val="20"/>
        </w:rPr>
        <w:t>International</w:t>
      </w:r>
      <w:r>
        <w:rPr>
          <w:color w:val="000000"/>
        </w:rPr>
        <w:t>—</w:t>
      </w:r>
      <w:r>
        <w:rPr>
          <w:rFonts w:ascii="Times New Roman;sans-serif" w:hAnsi="Times New Roman;sans-serif"/>
          <w:b w:val="false"/>
          <w:color w:val="000000"/>
          <w:sz w:val="20"/>
        </w:rPr>
        <w:t>The International segment is comprised of our operations primarily in Europe, the Middle East, and the Asia Pacific regions.</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Each segment derives its revenues from the following product categories:</w:t>
      </w:r>
    </w:p>
    <w:p>
      <w:pPr>
        <w:pStyle w:val="TextBody"/>
        <w:spacing w:lineRule="auto" w:line="276" w:before="120" w:after="283"/>
        <w:ind w:left="0" w:right="0" w:hanging="270"/>
        <w:rPr/>
      </w:pPr>
      <w:r>
        <w:rPr>
          <w:color w:val="000000"/>
        </w:rPr>
        <w:t>•</w:t>
      </w:r>
      <w:r>
        <w:rPr>
          <w:rFonts w:ascii="Times New Roman;sans-serif" w:hAnsi="Times New Roman;sans-serif"/>
          <w:b/>
          <w:i/>
          <w:color w:val="000000"/>
          <w:sz w:val="20"/>
        </w:rPr>
        <w:t>Vita Coco Coconut Water</w:t>
      </w:r>
      <w:r>
        <w:rPr>
          <w:color w:val="000000"/>
        </w:rPr>
        <w:t>—</w:t>
      </w:r>
      <w:r>
        <w:rPr>
          <w:rFonts w:ascii="Times New Roman;sans-serif" w:hAnsi="Times New Roman;sans-serif"/>
          <w:b w:val="false"/>
          <w:color w:val="000000"/>
          <w:sz w:val="20"/>
        </w:rPr>
        <w:t xml:space="preserve">This product category consists of all branded coconut water product offerings under the </w:t>
      </w:r>
      <w:r>
        <w:rPr>
          <w:rFonts w:ascii="Times New Roman;sans-serif" w:hAnsi="Times New Roman;sans-serif"/>
          <w:b w:val="false"/>
          <w:i/>
          <w:color w:val="000000"/>
          <w:sz w:val="20"/>
        </w:rPr>
        <w:t>Vita Coco</w:t>
      </w:r>
      <w:r>
        <w:rPr>
          <w:color w:val="000000"/>
        </w:rPr>
        <w:t xml:space="preserve"> </w:t>
      </w:r>
      <w:r>
        <w:rPr>
          <w:rFonts w:ascii="Times New Roman;sans-serif" w:hAnsi="Times New Roman;sans-serif"/>
          <w:b w:val="false"/>
          <w:color w:val="000000"/>
          <w:sz w:val="20"/>
        </w:rPr>
        <w:t>labels, where the majority ingredient is coconut water. For these products, control is transferred upon customer receipt, at which point the Company recognizes the transaction price for the product as revenue.</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76" w:before="120" w:after="283"/>
        <w:ind w:left="0" w:right="0" w:hanging="270"/>
        <w:rPr/>
      </w:pPr>
      <w:r>
        <w:rPr>
          <w:color w:val="000000"/>
        </w:rPr>
        <w:t>•</w:t>
      </w:r>
      <w:r>
        <w:rPr>
          <w:rFonts w:ascii="Times New Roman;sans-serif" w:hAnsi="Times New Roman;sans-serif"/>
          <w:b/>
          <w:i/>
          <w:color w:val="000000"/>
          <w:sz w:val="20"/>
        </w:rPr>
        <w:t xml:space="preserve">Private Label </w:t>
      </w:r>
      <w:r>
        <w:rPr>
          <w:color w:val="000000"/>
        </w:rPr>
        <w:t>—</w:t>
      </w:r>
      <w:r>
        <w:rPr>
          <w:rFonts w:ascii="Times New Roman;sans-serif" w:hAnsi="Times New Roman;sans-serif"/>
          <w:b w:val="false"/>
          <w:color w:val="000000"/>
          <w:sz w:val="20"/>
        </w:rPr>
        <w:t>This product category consists of all private label product offerings, which includes coconut water and oil.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pStyle w:val="TextBody"/>
        <w:spacing w:lineRule="auto" w:line="276" w:before="120" w:after="283"/>
        <w:ind w:left="0" w:right="0" w:hanging="270"/>
        <w:rPr/>
      </w:pPr>
      <w:r>
        <w:rPr>
          <w:color w:val="000000"/>
        </w:rPr>
        <w:t>•</w:t>
      </w:r>
      <w:r>
        <w:rPr>
          <w:rFonts w:ascii="Times New Roman;sans-serif" w:hAnsi="Times New Roman;sans-serif"/>
          <w:b/>
          <w:i/>
          <w:color w:val="000000"/>
          <w:sz w:val="20"/>
        </w:rPr>
        <w:t>Other—</w:t>
      </w:r>
      <w:r>
        <w:rPr>
          <w:rFonts w:ascii="Times New Roman;sans-serif" w:hAnsi="Times New Roman;sans-serif"/>
          <w:b w:val="false"/>
          <w:color w:val="000000"/>
          <w:sz w:val="20"/>
        </w:rPr>
        <w:t xml:space="preserve">This product category consists of all other products, which includes </w:t>
      </w:r>
      <w:r>
        <w:rPr>
          <w:rFonts w:ascii="Times New Roman;sans-serif" w:hAnsi="Times New Roman;sans-serif"/>
          <w:b w:val="false"/>
          <w:i/>
          <w:color w:val="000000"/>
          <w:sz w:val="20"/>
        </w:rPr>
        <w:t xml:space="preserve">Runa, Ever &amp; Ever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PWR LIFT</w:t>
      </w:r>
      <w:r>
        <w:rPr>
          <w:color w:val="000000"/>
        </w:rPr>
        <w:t xml:space="preserve"> </w:t>
      </w:r>
      <w:r>
        <w:rPr>
          <w:rFonts w:ascii="Times New Roman;sans-serif" w:hAnsi="Times New Roman;sans-serif"/>
          <w:b w:val="false"/>
          <w:color w:val="000000"/>
          <w:sz w:val="20"/>
        </w:rPr>
        <w:t xml:space="preserve">product offerings, </w:t>
      </w:r>
      <w:r>
        <w:rPr>
          <w:rFonts w:ascii="Times New Roman;sans-serif" w:hAnsi="Times New Roman;sans-serif"/>
          <w:b w:val="false"/>
          <w:i/>
          <w:color w:val="000000"/>
          <w:sz w:val="20"/>
        </w:rPr>
        <w:t>Vita Coco</w:t>
      </w:r>
      <w:r>
        <w:rPr>
          <w:color w:val="000000"/>
        </w:rPr>
        <w:t xml:space="preserve"> </w:t>
      </w:r>
      <w:r>
        <w:rPr>
          <w:rFonts w:ascii="Times New Roman;sans-serif" w:hAnsi="Times New Roman;sans-serif"/>
          <w:b w:val="false"/>
          <w:color w:val="000000"/>
          <w:sz w:val="20"/>
        </w:rPr>
        <w:t xml:space="preserve">product extensions beyond coconut water, such as </w:t>
      </w:r>
      <w:r>
        <w:rPr>
          <w:rFonts w:ascii="Times New Roman;sans-serif" w:hAnsi="Times New Roman;sans-serif"/>
          <w:b w:val="false"/>
          <w:i/>
          <w:color w:val="000000"/>
          <w:sz w:val="20"/>
        </w:rPr>
        <w:t>Vita Coco Sparkling</w:t>
      </w:r>
      <w:r>
        <w:rPr>
          <w:rFonts w:ascii="Times New Roman;sans-serif" w:hAnsi="Times New Roman;sans-serif"/>
          <w:b w:val="false"/>
          <w:color w:val="000000"/>
          <w:sz w:val="20"/>
        </w:rPr>
        <w:t>, coconut milk products, and other revenue transactions (e.g., bulk product sales). For these products, control is transferred upon customer receipt, at which point the Company recognizes the transaction price for the product as revenue.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2022 and 2021</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results of operations for the three months ended March 31, 2022 and 2021, respectively: </w:t>
      </w:r>
    </w:p>
    <w:tbl>
      <w:tblPr>
        <w:tblW w:w="6726" w:type="dxa"/>
        <w:jc w:val="left"/>
        <w:tblInd w:w="0" w:type="dxa"/>
        <w:tblCellMar>
          <w:top w:w="28" w:type="dxa"/>
          <w:left w:w="28" w:type="dxa"/>
          <w:bottom w:w="28" w:type="dxa"/>
          <w:right w:w="28" w:type="dxa"/>
        </w:tblCellMar>
      </w:tblPr>
      <w:tblGrid>
        <w:gridCol w:w="1427"/>
        <w:gridCol w:w="1258"/>
        <w:gridCol w:w="1260"/>
        <w:gridCol w:w="109"/>
        <w:gridCol w:w="109"/>
        <w:gridCol w:w="109"/>
        <w:gridCol w:w="211"/>
        <w:gridCol w:w="721"/>
        <w:gridCol w:w="109"/>
        <w:gridCol w:w="109"/>
        <w:gridCol w:w="109"/>
        <w:gridCol w:w="109"/>
        <w:gridCol w:w="211"/>
        <w:gridCol w:w="721"/>
        <w:gridCol w:w="154"/>
      </w:tblGrid>
      <w:tr>
        <w:trPr/>
        <w:tc>
          <w:tcPr>
            <w:tcW w:w="1427"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94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derivative instrument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comparative summary of net sales by operating segment and product category: </w:t>
      </w:r>
    </w:p>
    <w:tbl>
      <w:tblPr>
        <w:tblW w:w="7504" w:type="dxa"/>
        <w:jc w:val="left"/>
        <w:tblInd w:w="0" w:type="dxa"/>
        <w:tblCellMar>
          <w:top w:w="28" w:type="dxa"/>
          <w:left w:w="28" w:type="dxa"/>
          <w:bottom w:w="28" w:type="dxa"/>
          <w:right w:w="28" w:type="dxa"/>
        </w:tblCellMar>
      </w:tblPr>
      <w:tblGrid>
        <w:gridCol w:w="803"/>
        <w:gridCol w:w="707"/>
        <w:gridCol w:w="71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91"/>
        <w:gridCol w:w="294"/>
        <w:gridCol w:w="595"/>
      </w:tblGrid>
      <w:tr>
        <w:trPr/>
        <w:tc>
          <w:tcPr>
            <w:tcW w:w="8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r>
      <w:tr>
        <w:trPr/>
        <w:tc>
          <w:tcPr>
            <w:tcW w:w="222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2220"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Percentage </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Americas segment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 Coco Coconut Water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Label</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 segment</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 Coco Coconut Water</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Label</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the primary driver of the consolidated net sales increase of 28% was increased case equivalents ("CE") volume coupled with some benefits from net pricing actions.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Volume in Case Equivalent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comparative summary of our volume in CE, by operating segment and product category: </w:t>
      </w:r>
    </w:p>
    <w:tbl>
      <w:tblPr>
        <w:tblW w:w="7129" w:type="dxa"/>
        <w:jc w:val="left"/>
        <w:tblInd w:w="0" w:type="dxa"/>
        <w:tblCellMar>
          <w:top w:w="28" w:type="dxa"/>
          <w:left w:w="28" w:type="dxa"/>
          <w:bottom w:w="28" w:type="dxa"/>
          <w:right w:w="28" w:type="dxa"/>
        </w:tblCellMar>
      </w:tblPr>
      <w:tblGrid>
        <w:gridCol w:w="803"/>
        <w:gridCol w:w="707"/>
        <w:gridCol w:w="710"/>
        <w:gridCol w:w="360"/>
        <w:gridCol w:w="361"/>
        <w:gridCol w:w="178"/>
        <w:gridCol w:w="178"/>
        <w:gridCol w:w="178"/>
        <w:gridCol w:w="178"/>
        <w:gridCol w:w="308"/>
        <w:gridCol w:w="308"/>
        <w:gridCol w:w="178"/>
        <w:gridCol w:w="109"/>
        <w:gridCol w:w="109"/>
        <w:gridCol w:w="109"/>
        <w:gridCol w:w="308"/>
        <w:gridCol w:w="308"/>
        <w:gridCol w:w="246"/>
        <w:gridCol w:w="109"/>
        <w:gridCol w:w="109"/>
        <w:gridCol w:w="109"/>
        <w:gridCol w:w="284"/>
        <w:gridCol w:w="287"/>
        <w:gridCol w:w="595"/>
      </w:tblGrid>
      <w:tr>
        <w:trPr/>
        <w:tc>
          <w:tcPr>
            <w:tcW w:w="8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r>
      <w:tr>
        <w:trPr/>
        <w:tc>
          <w:tcPr>
            <w:tcW w:w="222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22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2220" w:type="dxa"/>
            <w:gridSpan w:val="3"/>
            <w:vMerge w:val="continue"/>
            <w:tcBorders/>
            <w:shd w:fill="auto" w:val="clear"/>
            <w:tcMar>
              <w:top w:w="0" w:type="dxa"/>
              <w:left w:w="0" w:type="dxa"/>
              <w:bottom w:w="0" w:type="dxa"/>
              <w:right w:w="0" w:type="dxa"/>
            </w:tcMar>
            <w:vAlign w:val="center"/>
          </w:tcPr>
          <w:p>
            <w:pPr>
              <w:pStyle w:val="Normal"/>
              <w:rPr/>
            </w:pPr>
            <w:r>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Percentage </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Americas segment</w:t>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 Coco Coconut Water</w:t>
            </w:r>
          </w:p>
        </w:tc>
        <w:tc>
          <w:tcPr>
            <w:tcW w:w="8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Label</w:t>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 segment*</w:t>
            </w:r>
          </w:p>
        </w:tc>
        <w:tc>
          <w:tcPr>
            <w:tcW w:w="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 Coco Coconut Water</w:t>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Label</w:t>
            </w:r>
          </w:p>
        </w:tc>
        <w:tc>
          <w:tcPr>
            <w:tcW w:w="8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(CE)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11,023 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5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Note: A CE is a standard volume measure used by management which is defined as a case of 12 bottles of 330ml liquid beverages or the same liter volume of oil. </w:t>
      </w:r>
    </w:p>
    <w:p>
      <w:pPr>
        <w:pStyle w:val="TextBody"/>
        <w:spacing w:lineRule="auto" w:line="288" w:before="24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*International Other excludes minor volume that is treated as zero CE.</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Americas Segment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Americas net sales increased by $20.8 million, or 32.5%, to $84.6 million for the three months ended March 31, 2022 from $63.9 million for the three months ended March 31, 2021. The increase is primarily driven by a CE volume increase and some benefits from net pricing actions.</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Vita Coco Coconut Water net sales increased by $16.7 million, or 39.5%, to $58.9 million for the three months ended March 31, 2022, from $42.2 million for the three months ended March 31, 2021. The increase was primarily driven by higher CE volume.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Private Label net sales increased $3.9 million, or 20.2%, to $23.1 million for the three months ended March 31, 2022, from $19.2 million for the three months ended March 31, 2021, mostly driven by an increase in the number of orders and ample inventory on hand.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Other products increased by $0.2 million, or 9.1%, to $2.7 million for the three months ended March 31, 2022 from $2.5 million for the three months ended March 31, 2021.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International Segment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 net sales increased by $0.2 million, or 2.1%, to $11.8 million for the three months ended March 31, 2022, from $11.6 million for the three months ended March 31, 2021. The increase is primarily driven by higher CE volume in our European region, partially offset by lower volume in our Asia Pacific markets. For the three months ended March 31, 2022 compared to the same period ended March 31, 2021, the growth was driven by Vita Coco Coconut Water, offset by lower sales from Private Label and Other products.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Vita Coco Coconut Water net sales increased by $1.9 million, or 28.7%, to $8.3 million for the three months ended March 31, 2022, from $6.5 million for the three months ended March 31, 2021. The increase was driven by higher CE volume, primarily in the European region, which was partially offset by an unfavorable impact related to foreign currency.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Decreases in net sales from Private Label of $0.2 million were driven by an unfavorable impact related to foreign currency translation in Europe, which was offset by the increased CE volume across the regions for the three months ended March 31, 2022 compared to March 31, 2021.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Decreases in net sales from Other products of $1.5 million were driven by decreased CE volume across regions related to lower opportunistic commodity sales, and an unfavorable impact related to foreign currency in Europe for the three months ended March 31, 2022 compared to March 31, 2021.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Gross Profit </w:t>
      </w:r>
    </w:p>
    <w:tbl>
      <w:tblPr>
        <w:tblW w:w="7652" w:type="dxa"/>
        <w:jc w:val="left"/>
        <w:tblInd w:w="0" w:type="dxa"/>
        <w:tblCellMar>
          <w:top w:w="28" w:type="dxa"/>
          <w:left w:w="28" w:type="dxa"/>
          <w:bottom w:w="28" w:type="dxa"/>
          <w:right w:w="28" w:type="dxa"/>
        </w:tblCellMar>
      </w:tblPr>
      <w:tblGrid>
        <w:gridCol w:w="748"/>
        <w:gridCol w:w="660"/>
        <w:gridCol w:w="662"/>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91"/>
        <w:gridCol w:w="294"/>
        <w:gridCol w:w="569"/>
      </w:tblGrid>
      <w:tr>
        <w:trPr/>
        <w:tc>
          <w:tcPr>
            <w:tcW w:w="748"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207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2070" w:type="dxa"/>
            <w:gridSpan w:val="3"/>
            <w:vMerge w:val="continue"/>
            <w:tcBorders/>
            <w:shd w:fill="auto" w:val="clear"/>
            <w:tcMar>
              <w:top w:w="0" w:type="dxa"/>
              <w:left w:w="0" w:type="dxa"/>
              <w:bottom w:w="0" w:type="dxa"/>
              <w:right w:w="0" w:type="dxa"/>
            </w:tcMar>
            <w:vAlign w:val="center"/>
          </w:tcPr>
          <w:p>
            <w:pPr>
              <w:pStyle w:val="Normal"/>
              <w:rPr/>
            </w:pPr>
            <w:r>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goods sold</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segment</w:t>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segment</w:t>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segment</w:t>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segment</w:t>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segment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segment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On a consolidated basis, cost of goods sold increased $26.0 million, or 50.7%, to $77.4 million for the three months ended March 31, 2022, from $51.4 million for the three months ended March 31, 2021. On a consolidated and segment basis, the increases in both periods were primarily driven by higher CE volume and significant transportation costs across ocean freight and domestic logistics, with the latter being driven by high overages related to detention and demurrage. On a consolidated basis, this resulted in cost of goods per CE rate increasing 19% for the three months ended March 31, 2022 as compared to the prior year periods.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On a consolidated basis, gross profit dollars decreased $5.0 million, or 20.8%, to $19.1 million for the three months ended March 31, 2022, from $24.1 million for the three months ended March 31, 2021. Although we delivered strong top line growth driven by the continued underlying strength of our Vita Coco brand, gross profit was significantly impacted by by increased transportation costs due to the global shipping environment and ports constraints including very high containers detention and demurrage costs, which were only partially offset by pricing actions. As a result, gross margin declined approximately 12 percentage points to 19.8% for the three months ended March 31, 2022, as compared to 31.9% for the three months ended March 31, 2021.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8935" w:type="dxa"/>
        <w:jc w:val="center"/>
        <w:tblInd w:w="0" w:type="dxa"/>
        <w:tblCellMar>
          <w:top w:w="28" w:type="dxa"/>
          <w:left w:w="28" w:type="dxa"/>
          <w:bottom w:w="28" w:type="dxa"/>
          <w:right w:w="28" w:type="dxa"/>
        </w:tblCellMar>
      </w:tblPr>
      <w:tblGrid>
        <w:gridCol w:w="1083"/>
        <w:gridCol w:w="955"/>
        <w:gridCol w:w="96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508"/>
        <w:gridCol w:w="109"/>
        <w:gridCol w:w="109"/>
        <w:gridCol w:w="109"/>
        <w:gridCol w:w="109"/>
        <w:gridCol w:w="109"/>
        <w:gridCol w:w="109"/>
        <w:gridCol w:w="109"/>
        <w:gridCol w:w="154"/>
      </w:tblGrid>
      <w:tr>
        <w:trPr/>
        <w:tc>
          <w:tcPr>
            <w:tcW w:w="1083"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000"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5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Selling, General and Administrative Expenses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selling, general and administrative, or SG&amp;A, expense increased by $5.0 million, or 25.4% versus the prior year comparable period. The increase was primarily driven by the incremental ongoing costs related to operating a public company, with higher spending in professional fees and personnel related expenses for the three months ended March 31, 2022 versus the prior year comparable period.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Income (Expense), Net </w:t>
      </w:r>
    </w:p>
    <w:tbl>
      <w:tblPr>
        <w:tblW w:w="9945" w:type="dxa"/>
        <w:jc w:val="center"/>
        <w:tblInd w:w="0" w:type="dxa"/>
        <w:tblCellMar>
          <w:top w:w="28" w:type="dxa"/>
          <w:left w:w="28" w:type="dxa"/>
          <w:bottom w:w="28" w:type="dxa"/>
          <w:right w:w="28" w:type="dxa"/>
        </w:tblCellMar>
      </w:tblPr>
      <w:tblGrid>
        <w:gridCol w:w="1454"/>
        <w:gridCol w:w="1281"/>
        <w:gridCol w:w="1285"/>
        <w:gridCol w:w="211"/>
        <w:gridCol w:w="616"/>
        <w:gridCol w:w="109"/>
        <w:gridCol w:w="109"/>
        <w:gridCol w:w="109"/>
        <w:gridCol w:w="109"/>
        <w:gridCol w:w="211"/>
        <w:gridCol w:w="691"/>
        <w:gridCol w:w="109"/>
        <w:gridCol w:w="109"/>
        <w:gridCol w:w="109"/>
        <w:gridCol w:w="109"/>
        <w:gridCol w:w="211"/>
        <w:gridCol w:w="721"/>
        <w:gridCol w:w="109"/>
        <w:gridCol w:w="109"/>
        <w:gridCol w:w="109"/>
        <w:gridCol w:w="109"/>
        <w:gridCol w:w="308"/>
        <w:gridCol w:w="308"/>
        <w:gridCol w:w="532"/>
        <w:gridCol w:w="109"/>
        <w:gridCol w:w="109"/>
        <w:gridCol w:w="109"/>
        <w:gridCol w:w="109"/>
        <w:gridCol w:w="109"/>
        <w:gridCol w:w="109"/>
        <w:gridCol w:w="154"/>
      </w:tblGrid>
      <w:tr>
        <w:trPr/>
        <w:tc>
          <w:tcPr>
            <w:tcW w:w="1454"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020" w:type="dxa"/>
            <w:gridSpan w:val="3"/>
            <w:vMerge w:val="continue"/>
            <w:tcBorders/>
            <w:shd w:fill="auto" w:val="clear"/>
            <w:tcMar>
              <w:top w:w="0" w:type="dxa"/>
              <w:left w:w="0" w:type="dxa"/>
              <w:bottom w:w="0" w:type="dxa"/>
              <w:right w:w="0" w:type="dxa"/>
            </w:tcMar>
            <w:vAlign w:val="center"/>
          </w:tcPr>
          <w:p>
            <w:pPr>
              <w:pStyle w:val="Normal"/>
              <w:rPr/>
            </w:pPr>
            <w:r>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Percentage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derivative instruments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gain/(loss)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529.5 </w:t>
            </w:r>
          </w:p>
        </w:tc>
        <w:tc>
          <w:tcPr>
            <w:tcW w:w="5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40"/>
        <w:rPr/>
      </w:pPr>
      <w:r>
        <w:rPr/>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Unrealized Gain/(Loss) on Derivative Instruments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and 2021, we recorded gains of $8.7 million and losses of $1.4 million, respectively, for the mark-to-market changes in fair value on the outstanding derivative instruments for forward foreign currency exchange contracts, with the largest gain for the three months ended March 31, 2022 related to the contracts hedging the Brazilian real. All forward foreign currency exchange contracts were entered into to hedge some of our exposures to the British pound, Canadian dollar, Brazilian real, Malaysian ringgit, and Thai baht.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Foreign Currency Gain/(Loss)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loss was $0.1 million for the three months ended March 31, 2022, as compared to $0.6 million loss for the three months ended March 31, 2021. The change in both periods was a result of movements in various foreign currency exchange rates related to transactions denominated in currencies other than the functional currency.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spacing w:lineRule="auto" w:line="288" w:before="120" w:after="283"/>
        <w:ind w:left="0" w:right="0" w:firstLine="540"/>
        <w:rPr/>
      </w:pPr>
      <w:r>
        <w:rPr>
          <w:rFonts w:ascii="Times New Roman;sans-serif" w:hAnsi="Times New Roman;sans-serif"/>
          <w:b w:val="false"/>
          <w:color w:val="000000"/>
          <w:sz w:val="20"/>
        </w:rPr>
        <w:t xml:space="preserve">The decrease in interest income for the three months ended March 31, 2022 compared to the same period in the prior year was immaterial. The decrease was primarily driven by the interest of 0.58% on the loan to the CEO described in Note 14, </w:t>
      </w:r>
      <w:r>
        <w:rPr>
          <w:rFonts w:ascii="Times New Roman;sans-serif" w:hAnsi="Times New Roman;sans-serif"/>
          <w:b w:val="false"/>
          <w:i/>
          <w:color w:val="000000"/>
          <w:sz w:val="20"/>
        </w:rPr>
        <w:t>Related-Party Transactions</w:t>
      </w:r>
      <w:r>
        <w:rPr>
          <w:rFonts w:ascii="Times New Roman;sans-serif" w:hAnsi="Times New Roman;sans-serif"/>
          <w:b w:val="false"/>
          <w:color w:val="000000"/>
          <w:sz w:val="20"/>
        </w:rPr>
        <w:t xml:space="preserve">, to our notes to the condensed consolidated financial statements. On September 16, 2021, the CEO of the Company repaid the outstanding principal balance and accrued interest on the promissory note.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decreased an immaterial amount for the three months ended March 31, 2022 compared to the same period in the prior year.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 Expense </w:t>
      </w:r>
    </w:p>
    <w:tbl>
      <w:tblPr>
        <w:tblW w:w="7029" w:type="dxa"/>
        <w:jc w:val="center"/>
        <w:tblInd w:w="0" w:type="dxa"/>
        <w:tblCellMar>
          <w:top w:w="28" w:type="dxa"/>
          <w:left w:w="28" w:type="dxa"/>
          <w:bottom w:w="28" w:type="dxa"/>
          <w:right w:w="28" w:type="dxa"/>
        </w:tblCellMar>
      </w:tblPr>
      <w:tblGrid>
        <w:gridCol w:w="624"/>
        <w:gridCol w:w="550"/>
        <w:gridCol w:w="551"/>
        <w:gridCol w:w="269"/>
        <w:gridCol w:w="271"/>
        <w:gridCol w:w="333"/>
        <w:gridCol w:w="134"/>
        <w:gridCol w:w="134"/>
        <w:gridCol w:w="134"/>
        <w:gridCol w:w="269"/>
        <w:gridCol w:w="271"/>
        <w:gridCol w:w="333"/>
        <w:gridCol w:w="109"/>
        <w:gridCol w:w="109"/>
        <w:gridCol w:w="109"/>
        <w:gridCol w:w="227"/>
        <w:gridCol w:w="389"/>
        <w:gridCol w:w="118"/>
        <w:gridCol w:w="109"/>
        <w:gridCol w:w="109"/>
        <w:gridCol w:w="109"/>
        <w:gridCol w:w="214"/>
        <w:gridCol w:w="214"/>
        <w:gridCol w:w="532"/>
        <w:gridCol w:w="109"/>
        <w:gridCol w:w="109"/>
        <w:gridCol w:w="109"/>
        <w:gridCol w:w="109"/>
        <w:gridCol w:w="109"/>
        <w:gridCol w:w="109"/>
        <w:gridCol w:w="154"/>
      </w:tblGrid>
      <w:tr>
        <w:trPr/>
        <w:tc>
          <w:tcPr>
            <w:tcW w:w="624"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1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 xml:space="preserve">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725" w:type="dxa"/>
            <w:gridSpan w:val="3"/>
            <w:vMerge w:val="continue"/>
            <w:tcBorders/>
            <w:shd w:fill="auto" w:val="clear"/>
            <w:tcMar>
              <w:top w:w="0" w:type="dxa"/>
              <w:left w:w="0" w:type="dxa"/>
              <w:bottom w:w="0" w:type="dxa"/>
              <w:right w:w="0" w:type="dxa"/>
            </w:tcMar>
            <w:vAlign w:val="center"/>
          </w:tcPr>
          <w:p>
            <w:pPr>
              <w:pStyle w:val="Normal"/>
              <w:rPr/>
            </w:pPr>
            <w:r>
              <w:rPr/>
            </w:r>
          </w:p>
        </w:tc>
        <w:tc>
          <w:tcPr>
            <w:tcW w:w="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Percentage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rate</w:t>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and March 31, 2021, our effective tax rate was 21.8% and 28.9%, respectively. The effective tax rate for both periods is higher than the US statutory rate of 21% primarily as a result of state income taxes for the US company and other nondeductible expenses for tax purposes, and is partially offset by lower statutory tax rates in countries outside the US that the Company operates in. The change in effective tax rates between the periods is primarily driven by the jurisdictional mix of the Company’s pre-tax profits and the relative impact of other non-deductible expense in relation to the pre-tax profits.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Non-GAAP Financial Measures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non-GAAP measures are a key metric used by management and our Board of Directors,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from net income to EBITDA and Adjusted EBITDA is set forth below: </w:t>
      </w:r>
    </w:p>
    <w:tbl>
      <w:tblPr>
        <w:tblW w:w="7495" w:type="dxa"/>
        <w:jc w:val="center"/>
        <w:tblInd w:w="0" w:type="dxa"/>
        <w:tblCellMar>
          <w:top w:w="28" w:type="dxa"/>
          <w:left w:w="28" w:type="dxa"/>
          <w:bottom w:w="28" w:type="dxa"/>
          <w:right w:w="28" w:type="dxa"/>
        </w:tblCellMar>
      </w:tblPr>
      <w:tblGrid>
        <w:gridCol w:w="1549"/>
        <w:gridCol w:w="1359"/>
        <w:gridCol w:w="1381"/>
        <w:gridCol w:w="109"/>
        <w:gridCol w:w="109"/>
        <w:gridCol w:w="109"/>
        <w:gridCol w:w="222"/>
        <w:gridCol w:w="729"/>
        <w:gridCol w:w="115"/>
        <w:gridCol w:w="115"/>
        <w:gridCol w:w="115"/>
        <w:gridCol w:w="115"/>
        <w:gridCol w:w="222"/>
        <w:gridCol w:w="650"/>
        <w:gridCol w:w="115"/>
        <w:gridCol w:w="109"/>
        <w:gridCol w:w="109"/>
        <w:gridCol w:w="109"/>
        <w:gridCol w:w="154"/>
      </w:tblGrid>
      <w:tr>
        <w:trPr/>
        <w:tc>
          <w:tcPr>
            <w:tcW w:w="1549"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derivative instruments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(gain)/loss (b)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 (c)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40"/>
        <w:rPr>
          <w:rFonts w:ascii="Arial;sans-serif" w:hAnsi="Arial;sans-serif"/>
          <w:b w:val="false"/>
          <w:color w:val="000000"/>
          <w:sz w:val="24"/>
        </w:rPr>
      </w:pPr>
      <w:r>
        <w:rPr>
          <w:rFonts w:ascii="Arial;sans-serif" w:hAnsi="Arial;sans-serif"/>
          <w:b w:val="false"/>
          <w:color w:val="000000"/>
          <w:sz w:val="24"/>
        </w:rPr>
        <w:t>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(a)Non-cash charges related to stock-based compensation, which vary from period to period depending on volume and vesting timing of awards. We adjusted for these charges to facilitate comparison from period to period.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(b)Unrealized gains or losses on derivative instruments and foreign currency gains or losses are not considered in our evaluation of our ongoing performance.</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(c)Reflects other charges inclusive of legal costs and other non-recurring expenses mostly related to our public company readiness preparation.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financed our operations primarily through cash generated from our business operations and proceeds on borrowings through our credit facilities and term loans. We had $18.0 million and $28.7 million of cash and cash equivalents as of March 31, 2022 and December 31, 2021, respectively. We supplemented our liquidity needs with incremental borrowing capacity under the 2020 Credit Facility.</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Considering recent market conditions and the ongoing COVID-19 pandemic,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general cash flows necessary to expand our operations and invest in continued product innovation, we may not be able to compete successfully, which would harm our business, operations, and financial condition.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our sources and uses of cash: </w:t>
      </w:r>
    </w:p>
    <w:tbl>
      <w:tblPr>
        <w:tblW w:w="10205" w:type="dxa"/>
        <w:jc w:val="center"/>
        <w:tblInd w:w="0" w:type="dxa"/>
        <w:tblCellMar>
          <w:top w:w="28" w:type="dxa"/>
          <w:left w:w="28" w:type="dxa"/>
          <w:bottom w:w="28" w:type="dxa"/>
          <w:right w:w="28" w:type="dxa"/>
        </w:tblCellMar>
      </w:tblPr>
      <w:tblGrid>
        <w:gridCol w:w="1715"/>
        <w:gridCol w:w="1500"/>
        <w:gridCol w:w="1502"/>
        <w:gridCol w:w="211"/>
        <w:gridCol w:w="789"/>
        <w:gridCol w:w="109"/>
        <w:gridCol w:w="109"/>
        <w:gridCol w:w="109"/>
        <w:gridCol w:w="109"/>
        <w:gridCol w:w="211"/>
        <w:gridCol w:w="789"/>
        <w:gridCol w:w="109"/>
        <w:gridCol w:w="109"/>
        <w:gridCol w:w="109"/>
        <w:gridCol w:w="109"/>
        <w:gridCol w:w="211"/>
        <w:gridCol w:w="721"/>
        <w:gridCol w:w="109"/>
        <w:gridCol w:w="109"/>
        <w:gridCol w:w="109"/>
        <w:gridCol w:w="109"/>
        <w:gridCol w:w="337"/>
        <w:gridCol w:w="339"/>
        <w:gridCol w:w="572"/>
      </w:tblGrid>
      <w:tr>
        <w:trPr/>
        <w:tc>
          <w:tcPr>
            <w:tcW w:w="1715"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r>
      <w:tr>
        <w:trPr/>
        <w:tc>
          <w:tcPr>
            <w:tcW w:w="4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March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4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(used in):</w:t>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(378.4 </w:t>
            </w:r>
          </w:p>
        </w:tc>
        <w:tc>
          <w:tcPr>
            <w:tcW w:w="5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7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(decrease)/increase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n/m—represents percentage calculated not being meaningful</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main source of operating cash is payments received from our customers. Our primary use of cash in operating activities are for cost of goods sold and SG&amp;A expenses.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$6.7 million more net cash was used in operating activities compared to the three months ended March 31, 2021. The change was driven by the decrease in net income after adjusting for non-cash items, primarily reflecting elevated transportation costs and increased SG&amp;A expenses to further expand our capabilities as a public company.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as compared to three months ended March 31, 2021, cash used in investing activities increased driven by cash paid for property and equipment.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compared to the three months ended March 31, 2021, net cash provided by financing activities was $55 million, resulting from $50.0 million paid in the three months ended March 31, 2021 to repurchase 5,192,005 shares of treasury stock from RWVC S.a.r.l, a principal stockholder. This item was partially offset by increased cash proceeds of $5 million borrowed under the 2020 Credit Facility period over period. For further discussion of the stock repurchase, see Note 10, Stockholder’s Equity, and Note 14, Related-Party Transactions, respectively, in the condensed consolidated financial statements.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Debt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had debt outstanding of $12.1 million as of March 31, 2022, compared to $0.1 million as of December 31, 2021. The outstanding balance as of March 31, 2022 related to borrowings under the 2020 Credit Facility and vehicle loans. The outstanding balance as of December 31, 2021 related to vehicle loans.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2020 Credit Facility </w:t>
      </w:r>
    </w:p>
    <w:p>
      <w:pPr>
        <w:pStyle w:val="TextBody"/>
        <w:spacing w:lineRule="auto" w:line="288"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2020, we entered into a five-year credit facility ("2020 Credit Facility") with Wells Fargo consisting of a revolving line of credit, which provided for committed borrowings of $50.0 million and a $10.0 million non-committed accordion feature. The 2020 Credit Facility was further amended in May 2021 and October 2021, and currently provides for committed borrowings of $60 million. We may repay outstanding balances under the 2020 Credit Facility at any time without premium or penalty. Borrowings under the 2020 Credit Facility bear interest at a rate per annum equal to, at our option, either (a) adjusted LIBOR (or current LIBOR replacement rate), which shall not be less than 0.0%, plus the applicable rate or (b) base rate (determined by reference to the greatest of the prime rate published by Wells Fargo, the federal funds effective rate plus 1.5% and one-month LIBOR (or current LIBOR replacement) plus 1.5%). The applicable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rate for LIBOR borrowings under the 2020 Credit Facility is subject to step-downs based on our total net leverage ratio (as defined in the credit agreement) for the immediately preceding fiscal quarter. In addition, the Company is currently subject to an unused commitment fee ranging from 0.05% and 0.20% on the unused amount of the line of credit, with the rate being based on the Company’s leverage ratio (as defined in the credit agreement). The maturity date on the 2020 Credit Facility is May 12, 2026. </w:t>
      </w:r>
    </w:p>
    <w:p>
      <w:pPr>
        <w:pStyle w:val="TextBody"/>
        <w:spacing w:lineRule="auto" w:line="288"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balance on the 2020 Credit Facility was $12.0 million and zero as of March 31, 2022 and December 31, 2021, respectively. As of March 31, 2022, we were compliant with all financial covenants.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Vehicle Loans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enter into vehicle loans. Interest rates on these vehicle loans range from 4.56% to 5.68%. The outstanding balance on the vehicle loans as of March 31, 2022 was less than $0.1 million. </w:t>
      </w:r>
    </w:p>
    <w:p>
      <w:pPr>
        <w:pStyle w:val="TextBody"/>
        <w:spacing w:lineRule="auto" w:line="288" w:before="240" w:after="283"/>
        <w:ind w:left="0" w:right="0" w:firstLine="540"/>
        <w:rPr/>
      </w:pPr>
      <w:r>
        <w:rPr>
          <w:rFonts w:ascii="Times New Roman;sans-serif" w:hAnsi="Times New Roman;sans-serif"/>
          <w:b w:val="false"/>
          <w:color w:val="000000"/>
          <w:sz w:val="20"/>
        </w:rPr>
        <w:t>For additional information, see Note 6,</w:t>
      </w:r>
      <w:r>
        <w:rPr>
          <w:color w:val="000000"/>
        </w:rPr>
        <w:t xml:space="preserve"> </w:t>
      </w:r>
      <w:r>
        <w:rPr>
          <w:rFonts w:ascii="Times New Roman;sans-serif" w:hAnsi="Times New Roman;sans-serif"/>
          <w:b w:val="false"/>
          <w:i/>
          <w:color w:val="000000"/>
          <w:sz w:val="20"/>
        </w:rPr>
        <w:t>Debt</w:t>
      </w:r>
      <w:r>
        <w:rPr>
          <w:rFonts w:ascii="Times New Roman;sans-serif" w:hAnsi="Times New Roman;sans-serif"/>
          <w:b w:val="false"/>
          <w:color w:val="000000"/>
          <w:sz w:val="20"/>
        </w:rPr>
        <w:t>, to our condensed consolidated financial statements included in this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our contractual obligations from those described in the Form 10-K.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Significant Judgments and Estimates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appearing in this Quarterly Report on Form 10-Q. During the three months ended March 31, 2022, there were no material changes to our critical accounting policies from those discussed in our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283"/>
        <w:ind w:left="0" w:right="0" w:firstLine="540"/>
        <w:rPr/>
      </w:pPr>
      <w:r>
        <w:rPr>
          <w:rFonts w:ascii="Times New Roman;sans-serif" w:hAnsi="Times New Roman;sans-serif"/>
          <w:b w:val="false"/>
          <w:color w:val="000000"/>
          <w:sz w:val="20"/>
        </w:rPr>
        <w:t>A description of recently adopted and issued accounting pronouncements that may potentially impact our financial position and results of operations is disclosed in Note 2,</w:t>
      </w:r>
      <w:r>
        <w:rPr>
          <w:color w:val="000000"/>
        </w:rPr>
        <w:t xml:space="preserve">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to our condensed consolidated financial statements appearing elsewhere in this Quarterly Report on Form 10-Q. We adopted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as of January 1, 2022 as described in Note 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our business. These risks primarily include interest rate sensitivities.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the outstanding amounts of $12 million under our 2020 Credit Facility incurs interest fees at variable interest rates and are affected by changes in the general level of market interest rates. To quantify our exposure to interest rate risk, a 100 basis point increase or decrease to the applicable variable rates of interest would change our annual interest expense by approximately $0.1 million per year based on the borrowings as of March 31, 2022 under the 2020 Credit Facility.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Foreign Currency Exchange Risk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notional values of our forward exchange contracts were $89.8 million and $89.1 million as of March 31, 2022 and December 31, 2021, respectively. The derivatives on the forward exchange contracts resulted in an unrealized gain of $8.7 million for the three months ended March 31, 2022, and we estimate that a 10 percent strengthening or weakening of the U.S. dollar would have resulted in a approximately $6.7 million gain or loss.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our cash and cash equivalents are denominated in foreign currencies. As of March 31, 2022, a 1% change in the value of the U.S. dollar compared to foreign currencies would have caused our cash and cash equivalents to decrease or increase by $0.1 million. As of December 31, 2021, a 1% change in the value of the U.S. dollar compared to foreign currencies would have caused our cash and cash equivalents to decrease or increase by $0.1 million.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our cost of transportation, labor and manufacturing costs. In the three months ended March 31, 2022, we have seen significant inflation caused by COVID-19 related global supply chain disruptions which put pressure on our costs and margins. More specifically, there was a significant escalation of transportation costs, primarily ocean freight costs due to shipping and ports constraints and in domestic logistics.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concentration of credit risk from our major customers. In the three months ended March 31, 2022, sales to two customers represented approximately 56%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Limitations on effectiveness of controls and procedures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Evaluation of disclosure controls and procedures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2022, our disclosure controls and procedures were effective at the reasonable assurance level.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(as defined in Rules 13a-15(f) and 15d-15(f) under the Exchange Act) during the quarter ended March 31, 2022 that have materially affected, or are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involved in various claims and legal proceedings related to claims arising out of our operations. We are not currently a party to any material legal proceedings, including any such proceedings that are pending or threatened, of which we are aware.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Please refer to Part I, Item 1A. Risk Factors in our Annual Report on Form 10-K for the fiscal year ended December 31, 2021 for a description of certain significant risks and uncertainties to which our business, financial condition, and results of operations are subject. There have been no material changes to these risk factors as of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265"/>
        <w:gridCol w:w="233"/>
        <w:gridCol w:w="234"/>
        <w:gridCol w:w="109"/>
        <w:gridCol w:w="109"/>
        <w:gridCol w:w="109"/>
        <w:gridCol w:w="1465"/>
        <w:gridCol w:w="1458"/>
        <w:gridCol w:w="1327"/>
        <w:gridCol w:w="109"/>
        <w:gridCol w:w="109"/>
        <w:gridCol w:w="109"/>
        <w:gridCol w:w="165"/>
        <w:gridCol w:w="165"/>
        <w:gridCol w:w="159"/>
        <w:gridCol w:w="258"/>
        <w:gridCol w:w="258"/>
        <w:gridCol w:w="201"/>
        <w:gridCol w:w="205"/>
        <w:gridCol w:w="205"/>
        <w:gridCol w:w="206"/>
        <w:gridCol w:w="197"/>
        <w:gridCol w:w="197"/>
        <w:gridCol w:w="198"/>
        <w:gridCol w:w="109"/>
        <w:gridCol w:w="109"/>
        <w:gridCol w:w="109"/>
        <w:gridCol w:w="265"/>
        <w:gridCol w:w="265"/>
        <w:gridCol w:w="266"/>
        <w:gridCol w:w="109"/>
        <w:gridCol w:w="109"/>
        <w:gridCol w:w="109"/>
        <w:gridCol w:w="109"/>
        <w:gridCol w:w="109"/>
        <w:gridCol w:w="109"/>
        <w:gridCol w:w="109"/>
        <w:gridCol w:w="109"/>
        <w:gridCol w:w="160"/>
      </w:tblGrid>
      <w:tr>
        <w:trPr/>
        <w:tc>
          <w:tcPr>
            <w:tcW w:w="26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3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w:t>
              <w:br/>
              <w:t>Furnished</w:t>
              <w:br/>
              <w:t>Herewith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Form </w:t>
            </w:r>
          </w:p>
        </w:tc>
        <w:tc>
          <w:tcPr>
            <w:tcW w:w="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File No. </w:t>
            </w:r>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w:t>
            </w:r>
          </w:p>
        </w:tc>
        <w:tc>
          <w:tcPr>
            <w:tcW w:w="5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Pr>
                <w:t>Second Amended and Restated Certificate of Incorporation.</w:t>
              </w:r>
            </w:hyperlink>
            <w:hyperlink r:id="rId3">
              <w:r>
                <w:rPr>
                  <w:rStyle w:val="InternetLink"/>
                </w:rPr>
                <w:t xml:space="preserve">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001-40950</w:t>
            </w:r>
          </w:p>
        </w:tc>
        <w:tc>
          <w:tcPr>
            <w:tcW w:w="61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001-40950</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Specimen Common Stock Certificate of The Vita Coco Company,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333-29825</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9/27/21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Registration Rights Agreement, by and among The Vita Coco Company, Inc. and certain security holders of The Vita Coco Company, Inc., dated as of October 20, 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001-40950</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Investor Rights Agreement, among The Vita Coco Company, Inc., Verlinvest Beverages SA, Michael Kirban and Ira Liran, dated as of October 20, 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001-40950</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6766311e30114028b6820feaeb3a4561_1">
              <w:r>
                <w:rPr>
                  <w:rStyle w:val="InternetLink"/>
                </w:rPr>
                <w:t xml:space="preserve">Certification of </w:t>
              </w:r>
            </w:hyperlink>
            <w:hyperlink w:anchor="i6766311e30114028b6820feaeb3a4561_1">
              <w:r>
                <w:rPr>
                  <w:rStyle w:val="InternetLink"/>
                </w:rPr>
                <w:t>Chief Executive Officer pursuant to Rule 13a-14(a)/15d-14(a).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oco20220331-exx312benmous.htm">
              <w:r>
                <w:rPr>
                  <w:rStyle w:val="InternetLink"/>
                  <w:rFonts w:ascii="Times New Roman;sans-serif" w:hAnsi="Times New Roman;sans-serif"/>
                  <w:b w:val="false"/>
                  <w:color w:val="0000FF"/>
                  <w:sz w:val="20"/>
                  <w:u w:val="single"/>
                </w:rPr>
                <w:t>Certification of Chief Financial Officer pursuant to Rule 13a-14(a)/15d-14(a).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b0d595dfe454b75990acb6fa1a13d8c_1">
              <w:r>
                <w:rPr>
                  <w:rStyle w:val="InternetLink"/>
                </w:rPr>
                <w:t>Certification of</w:t>
              </w:r>
            </w:hyperlink>
            <w:hyperlink w:anchor="i7b0d595dfe454b75990acb6fa1a13d8c_1">
              <w:r>
                <w:rPr>
                  <w:rStyle w:val="InternetLink"/>
                </w:rPr>
                <w:t xml:space="preserve"> </w:t>
              </w:r>
            </w:hyperlink>
            <w:hyperlink w:anchor="i7b0d595dfe454b75990acb6fa1a13d8c_1">
              <w:r>
                <w:rPr>
                  <w:rStyle w:val="InternetLink"/>
                </w:rPr>
                <w:t xml:space="preserve">Chief Executive Officer pursuant to 18 U.S.C. Section 1350.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bd452b857674cbb8a2342a74caa152d_1">
              <w:r>
                <w:rPr>
                  <w:rStyle w:val="InternetLink"/>
                  <w:rFonts w:ascii="Times New Roman;sans-serif" w:hAnsi="Times New Roman;sans-serif"/>
                  <w:b w:val="false"/>
                  <w:color w:val="0000FF"/>
                  <w:sz w:val="20"/>
                  <w:u w:val="single"/>
                </w:rPr>
                <w:t xml:space="preserve">Certification of Chief Financial Officer pursuant to 18 U.S.C. Section 1350.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spacing w:lineRule="auto" w:line="288" w:before="0" w:after="0"/>
        <w:ind w:left="0" w:right="0" w:hanging="360"/>
        <w:rPr/>
      </w:pP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Filed herewith.</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78118c72a6ae46f0adba80439a321894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371" w:type="dxa"/>
        <w:jc w:val="left"/>
        <w:tblInd w:w="0" w:type="dxa"/>
        <w:tblCellMar>
          <w:top w:w="28" w:type="dxa"/>
          <w:left w:w="28" w:type="dxa"/>
          <w:bottom w:w="28" w:type="dxa"/>
          <w:right w:w="28" w:type="dxa"/>
        </w:tblCellMar>
      </w:tblPr>
      <w:tblGrid>
        <w:gridCol w:w="629"/>
        <w:gridCol w:w="554"/>
        <w:gridCol w:w="557"/>
        <w:gridCol w:w="109"/>
        <w:gridCol w:w="109"/>
        <w:gridCol w:w="109"/>
        <w:gridCol w:w="478"/>
        <w:gridCol w:w="478"/>
        <w:gridCol w:w="478"/>
        <w:gridCol w:w="1130"/>
        <w:gridCol w:w="1130"/>
        <w:gridCol w:w="1610"/>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VITA COCO COMPANY, INC.</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Martin Roper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Martin Roper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Director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Kevin Benmoussa</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Kevin Benmoussa</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Martin Roper, certify that: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Vita Coco Company, Inc.;</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(b)[Omitted];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213" w:type="dxa"/>
        <w:jc w:val="left"/>
        <w:tblInd w:w="0" w:type="dxa"/>
        <w:tblCellMar>
          <w:top w:w="28" w:type="dxa"/>
          <w:left w:w="28" w:type="dxa"/>
          <w:bottom w:w="28" w:type="dxa"/>
          <w:right w:w="28" w:type="dxa"/>
        </w:tblCellMar>
      </w:tblPr>
      <w:tblGrid>
        <w:gridCol w:w="629"/>
        <w:gridCol w:w="554"/>
        <w:gridCol w:w="557"/>
        <w:gridCol w:w="134"/>
        <w:gridCol w:w="134"/>
        <w:gridCol w:w="136"/>
        <w:gridCol w:w="605"/>
        <w:gridCol w:w="605"/>
        <w:gridCol w:w="859"/>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Martin Roper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Martin Roper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Kevin Benmoussa, certify that: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Vita Coco Company, Inc.;</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(b)[Omitted];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64" w:type="dxa"/>
        <w:jc w:val="left"/>
        <w:tblInd w:w="0" w:type="dxa"/>
        <w:tblCellMar>
          <w:top w:w="28" w:type="dxa"/>
          <w:left w:w="28" w:type="dxa"/>
          <w:bottom w:w="28" w:type="dxa"/>
          <w:right w:w="28" w:type="dxa"/>
        </w:tblCellMar>
      </w:tblPr>
      <w:tblGrid>
        <w:gridCol w:w="629"/>
        <w:gridCol w:w="554"/>
        <w:gridCol w:w="557"/>
        <w:gridCol w:w="134"/>
        <w:gridCol w:w="134"/>
        <w:gridCol w:w="136"/>
        <w:gridCol w:w="737"/>
        <w:gridCol w:w="737"/>
        <w:gridCol w:w="1046"/>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Benmoussa</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Benmoussa</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Vita Coco Company, Inc. (the “Company”) for the period ended March 31, 2022 as filed with the Securities and Exchange Commission on the date hereof (the “Report”), I, Martin Roper, certify, pursuant to 18 U.S.C. § 1350, as adopted pursuant to § 906 of the Sarbanes-Oxley Act of 2002, that, to the best of my knowledge:</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40" w:after="283"/>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244" w:type="dxa"/>
        <w:jc w:val="left"/>
        <w:tblInd w:w="0" w:type="dxa"/>
        <w:tblCellMar>
          <w:top w:w="28" w:type="dxa"/>
          <w:left w:w="28" w:type="dxa"/>
          <w:bottom w:w="28" w:type="dxa"/>
          <w:right w:w="28" w:type="dxa"/>
        </w:tblCellMar>
      </w:tblPr>
      <w:tblGrid>
        <w:gridCol w:w="629"/>
        <w:gridCol w:w="554"/>
        <w:gridCol w:w="557"/>
        <w:gridCol w:w="732"/>
        <w:gridCol w:w="732"/>
        <w:gridCol w:w="1040"/>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Martin Roper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Martin Roper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Vita Coco Company, Inc. (the “Company”) for the period ended March 31, 2022 as filed with the Securities and Exchange Commission on the date hereof (the “Report”), I, Kevin Benmoussa, certify, pursuant to 18 U.S.C. § 1350, as adopted pursuant to § 906 of the Sarbanes-Oxley Act of 2002, that, to the best of my knowledge:</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4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259" w:type="dxa"/>
        <w:jc w:val="left"/>
        <w:tblInd w:w="0" w:type="dxa"/>
        <w:tblCellMar>
          <w:top w:w="28" w:type="dxa"/>
          <w:left w:w="28" w:type="dxa"/>
          <w:bottom w:w="28" w:type="dxa"/>
          <w:right w:w="28" w:type="dxa"/>
        </w:tblCellMar>
      </w:tblPr>
      <w:tblGrid>
        <w:gridCol w:w="629"/>
        <w:gridCol w:w="554"/>
        <w:gridCol w:w="557"/>
        <w:gridCol w:w="736"/>
        <w:gridCol w:w="736"/>
        <w:gridCol w:w="1047"/>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Kevin Benmoussa</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Benmoussa</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482981/000119312521306737/d222890dex31.htm" TargetMode="External"/><Relationship Id="rId3" Type="http://schemas.openxmlformats.org/officeDocument/2006/relationships/hyperlink" Target="https://www.sec.gov/Archives/edgar/data/0001482981/000119312521306737/d222890dex31.htm" TargetMode="External"/><Relationship Id="rId4" Type="http://schemas.openxmlformats.org/officeDocument/2006/relationships/hyperlink" Target="https://www.sec.gov/Archives/edgar/data/0001482981/000119312521306737/d222890dex32.htm" TargetMode="External"/><Relationship Id="rId5" Type="http://schemas.openxmlformats.org/officeDocument/2006/relationships/hyperlink" Target="https://www.sec.gov/Archives/edgar/data/0001482981/000119312521284306/d197386dex41.htm" TargetMode="External"/><Relationship Id="rId6" Type="http://schemas.openxmlformats.org/officeDocument/2006/relationships/hyperlink" Target="https://www.sec.gov/Archives/edgar/data/0001482981/000119312521306737/d222890dex101.htm" TargetMode="External"/><Relationship Id="rId7" Type="http://schemas.openxmlformats.org/officeDocument/2006/relationships/hyperlink" Target="https://www.sec.gov/Archives/edgar/data/0001482981/000119312521306737/d222890dex10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18277</Words>
  <CharactersWithSpaces>117306</CharactersWithSpaces>
  <Paragraphs>2214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