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434975</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41" w:lineRule="exact"/>
        <w:rPr>
          <w:sz w:val="24"/>
          <w:szCs w:val="24"/>
          <w:color w:val="auto"/>
        </w:rPr>
      </w:pPr>
    </w:p>
    <w:p>
      <w:pPr>
        <w:ind w:left="4460"/>
        <w:spacing w:after="0"/>
        <w:rPr>
          <w:sz w:val="20"/>
          <w:szCs w:val="20"/>
          <w:color w:val="auto"/>
        </w:rPr>
      </w:pPr>
      <w:r>
        <w:rPr>
          <w:rFonts w:ascii="Arial" w:cs="Arial" w:eastAsia="Arial" w:hAnsi="Arial"/>
          <w:sz w:val="21"/>
          <w:szCs w:val="21"/>
          <w:color w:val="auto"/>
        </w:rPr>
        <w:t>____________________</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53" w:lineRule="exact"/>
        <w:rPr>
          <w:sz w:val="24"/>
          <w:szCs w:val="24"/>
          <w:color w:val="auto"/>
        </w:rPr>
      </w:pPr>
    </w:p>
    <w:p>
      <w:pPr>
        <w:ind w:left="4460"/>
        <w:spacing w:after="0"/>
        <w:rPr>
          <w:sz w:val="20"/>
          <w:szCs w:val="20"/>
          <w:color w:val="auto"/>
        </w:rPr>
      </w:pPr>
      <w:r>
        <w:rPr>
          <w:rFonts w:ascii="Arial" w:cs="Arial" w:eastAsia="Arial" w:hAnsi="Arial"/>
          <w:sz w:val="21"/>
          <w:szCs w:val="21"/>
          <w:color w:val="auto"/>
        </w:rPr>
        <w:t>____________________</w:t>
      </w:r>
    </w:p>
    <w:p>
      <w:pPr>
        <w:spacing w:after="0" w:line="19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57" w:lineRule="exact"/>
        <w:rPr>
          <w:sz w:val="24"/>
          <w:szCs w:val="24"/>
          <w:color w:val="auto"/>
        </w:rPr>
      </w:pPr>
    </w:p>
    <w:p>
      <w:pPr>
        <w:ind w:left="400" w:hanging="378"/>
        <w:spacing w:after="0"/>
        <w:tabs>
          <w:tab w:leader="none" w:pos="40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2023</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66" w:lineRule="exact"/>
        <w:rPr>
          <w:sz w:val="24"/>
          <w:szCs w:val="24"/>
          <w:color w:val="auto"/>
        </w:rPr>
      </w:pPr>
    </w:p>
    <w:p>
      <w:pPr>
        <w:ind w:left="420" w:hanging="398"/>
        <w:spacing w:after="0"/>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41" w:lineRule="exact"/>
        <w:rPr>
          <w:sz w:val="24"/>
          <w:szCs w:val="24"/>
          <w:color w:val="auto"/>
        </w:rPr>
      </w:pPr>
    </w:p>
    <w:p>
      <w:pPr>
        <w:ind w:left="3320"/>
        <w:spacing w:after="0"/>
        <w:rPr>
          <w:sz w:val="20"/>
          <w:szCs w:val="20"/>
          <w:color w:val="auto"/>
        </w:rPr>
      </w:pPr>
      <w:r>
        <w:rPr>
          <w:rFonts w:ascii="Arial" w:cs="Arial" w:eastAsia="Arial" w:hAnsi="Arial"/>
          <w:sz w:val="17"/>
          <w:szCs w:val="17"/>
          <w:b w:val="1"/>
          <w:bCs w:val="1"/>
          <w:color w:val="auto"/>
        </w:rPr>
        <w:t xml:space="preserve">For the transition period from </w:t>
      </w:r>
      <w:r>
        <w:rPr>
          <w:rFonts w:ascii="Arial" w:cs="Arial" w:eastAsia="Arial" w:hAnsi="Arial"/>
          <w:sz w:val="17"/>
          <w:szCs w:val="17"/>
          <w:color w:val="auto"/>
        </w:rPr>
        <w:t>____________</w:t>
      </w:r>
      <w:r>
        <w:rPr>
          <w:rFonts w:ascii="Arial" w:cs="Arial" w:eastAsia="Arial" w:hAnsi="Arial"/>
          <w:sz w:val="17"/>
          <w:szCs w:val="17"/>
          <w:b w:val="1"/>
          <w:bCs w:val="1"/>
          <w:color w:val="auto"/>
        </w:rPr>
        <w:t xml:space="preserve"> to </w:t>
      </w:r>
      <w:r>
        <w:rPr>
          <w:rFonts w:ascii="Arial" w:cs="Arial" w:eastAsia="Arial" w:hAnsi="Arial"/>
          <w:sz w:val="17"/>
          <w:szCs w:val="17"/>
          <w:color w:val="auto"/>
        </w:rPr>
        <w:t>____________</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001-40950</w:t>
      </w:r>
    </w:p>
    <w:p>
      <w:pPr>
        <w:spacing w:after="0" w:line="169" w:lineRule="exact"/>
        <w:rPr>
          <w:sz w:val="24"/>
          <w:szCs w:val="24"/>
          <w:color w:val="auto"/>
        </w:rPr>
      </w:pPr>
    </w:p>
    <w:p>
      <w:pPr>
        <w:ind w:left="4460"/>
        <w:spacing w:after="0"/>
        <w:rPr>
          <w:sz w:val="20"/>
          <w:szCs w:val="20"/>
          <w:color w:val="auto"/>
        </w:rPr>
      </w:pPr>
      <w:r>
        <w:rPr>
          <w:rFonts w:ascii="Arial" w:cs="Arial" w:eastAsia="Arial" w:hAnsi="Arial"/>
          <w:sz w:val="21"/>
          <w:szCs w:val="21"/>
          <w:color w:val="auto"/>
        </w:rPr>
        <w:t>____________________</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The Vita Coco Company,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2" w:lineRule="exact"/>
        <w:rPr>
          <w:sz w:val="24"/>
          <w:szCs w:val="24"/>
          <w:color w:val="auto"/>
        </w:rPr>
      </w:pPr>
    </w:p>
    <w:p>
      <w:pPr>
        <w:ind w:left="4460"/>
        <w:spacing w:after="0"/>
        <w:rPr>
          <w:sz w:val="20"/>
          <w:szCs w:val="20"/>
          <w:color w:val="auto"/>
        </w:rPr>
      </w:pPr>
      <w:r>
        <w:rPr>
          <w:rFonts w:ascii="Arial" w:cs="Arial" w:eastAsia="Arial" w:hAnsi="Arial"/>
          <w:sz w:val="21"/>
          <w:szCs w:val="21"/>
          <w:color w:val="auto"/>
        </w:rPr>
        <w:t>____________________</w:t>
      </w:r>
    </w:p>
    <w:p>
      <w:pPr>
        <w:spacing w:after="0" w:line="250" w:lineRule="exact"/>
        <w:rPr>
          <w:sz w:val="24"/>
          <w:szCs w:val="24"/>
          <w:color w:val="auto"/>
        </w:rPr>
      </w:pPr>
    </w:p>
    <w:tbl>
      <w:tblPr>
        <w:tblLayout w:type="fixed"/>
        <w:tblInd w:w="1880" w:type="dxa"/>
        <w:tblCellMar>
          <w:top w:w="0" w:type="dxa"/>
          <w:left w:w="0" w:type="dxa"/>
          <w:bottom w:w="0" w:type="dxa"/>
          <w:right w:w="0" w:type="dxa"/>
        </w:tblCellMar>
      </w:tblPr>
      <w:tr>
        <w:trPr>
          <w:trHeight w:val="227"/>
        </w:trPr>
        <w:tc>
          <w:tcPr>
            <w:tcW w:w="3920" w:type="dxa"/>
            <w:vAlign w:val="bottom"/>
          </w:tcPr>
          <w:p>
            <w:pPr>
              <w:jc w:val="center"/>
              <w:ind w:right="2025"/>
              <w:spacing w:after="0"/>
              <w:rPr>
                <w:sz w:val="20"/>
                <w:szCs w:val="20"/>
                <w:color w:val="auto"/>
              </w:rPr>
            </w:pPr>
            <w:r>
              <w:rPr>
                <w:rFonts w:ascii="Arial" w:cs="Arial" w:eastAsia="Arial" w:hAnsi="Arial"/>
                <w:sz w:val="17"/>
                <w:szCs w:val="17"/>
                <w:b w:val="1"/>
                <w:bCs w:val="1"/>
                <w:color w:val="auto"/>
                <w:w w:val="93"/>
              </w:rPr>
              <w:t>Delaware</w:t>
            </w:r>
          </w:p>
        </w:tc>
        <w:tc>
          <w:tcPr>
            <w:tcW w:w="3200" w:type="dxa"/>
            <w:vAlign w:val="bottom"/>
          </w:tcPr>
          <w:p>
            <w:pPr>
              <w:jc w:val="center"/>
              <w:ind w:left="2045"/>
              <w:spacing w:after="0"/>
              <w:rPr>
                <w:sz w:val="20"/>
                <w:szCs w:val="20"/>
                <w:color w:val="auto"/>
              </w:rPr>
            </w:pPr>
            <w:r>
              <w:rPr>
                <w:rFonts w:ascii="Arial" w:cs="Arial" w:eastAsia="Arial" w:hAnsi="Arial"/>
                <w:sz w:val="17"/>
                <w:szCs w:val="17"/>
                <w:b w:val="1"/>
                <w:bCs w:val="1"/>
                <w:color w:val="auto"/>
                <w:w w:val="92"/>
              </w:rPr>
              <w:t>11-3713156</w:t>
            </w:r>
          </w:p>
        </w:tc>
      </w:tr>
      <w:tr>
        <w:trPr>
          <w:trHeight w:val="187"/>
        </w:trPr>
        <w:tc>
          <w:tcPr>
            <w:tcW w:w="3920" w:type="dxa"/>
            <w:vAlign w:val="bottom"/>
          </w:tcPr>
          <w:p>
            <w:pPr>
              <w:jc w:val="center"/>
              <w:ind w:right="2025"/>
              <w:spacing w:after="0"/>
              <w:rPr>
                <w:sz w:val="20"/>
                <w:szCs w:val="20"/>
                <w:color w:val="auto"/>
              </w:rPr>
            </w:pPr>
            <w:r>
              <w:rPr>
                <w:rFonts w:ascii="Arial" w:cs="Arial" w:eastAsia="Arial" w:hAnsi="Arial"/>
                <w:sz w:val="14"/>
                <w:szCs w:val="14"/>
                <w:b w:val="1"/>
                <w:bCs w:val="1"/>
                <w:color w:val="auto"/>
                <w:w w:val="90"/>
              </w:rPr>
              <w:t>(State or other jurisdiction of</w:t>
            </w:r>
          </w:p>
        </w:tc>
        <w:tc>
          <w:tcPr>
            <w:tcW w:w="3200" w:type="dxa"/>
            <w:vAlign w:val="bottom"/>
          </w:tcPr>
          <w:p>
            <w:pPr>
              <w:jc w:val="center"/>
              <w:ind w:left="2045"/>
              <w:spacing w:after="0"/>
              <w:rPr>
                <w:sz w:val="20"/>
                <w:szCs w:val="20"/>
                <w:color w:val="auto"/>
              </w:rPr>
            </w:pPr>
            <w:r>
              <w:rPr>
                <w:rFonts w:ascii="Arial" w:cs="Arial" w:eastAsia="Arial" w:hAnsi="Arial"/>
                <w:sz w:val="14"/>
                <w:szCs w:val="14"/>
                <w:b w:val="1"/>
                <w:bCs w:val="1"/>
                <w:color w:val="auto"/>
                <w:w w:val="93"/>
              </w:rPr>
              <w:t>(I.R.S. Employer</w:t>
            </w:r>
          </w:p>
        </w:tc>
      </w:tr>
      <w:tr>
        <w:trPr>
          <w:trHeight w:val="182"/>
        </w:trPr>
        <w:tc>
          <w:tcPr>
            <w:tcW w:w="3920" w:type="dxa"/>
            <w:vAlign w:val="bottom"/>
          </w:tcPr>
          <w:p>
            <w:pPr>
              <w:jc w:val="center"/>
              <w:ind w:right="2025"/>
              <w:spacing w:after="0"/>
              <w:rPr>
                <w:sz w:val="20"/>
                <w:szCs w:val="20"/>
                <w:color w:val="auto"/>
              </w:rPr>
            </w:pPr>
            <w:r>
              <w:rPr>
                <w:rFonts w:ascii="Arial" w:cs="Arial" w:eastAsia="Arial" w:hAnsi="Arial"/>
                <w:sz w:val="14"/>
                <w:szCs w:val="14"/>
                <w:b w:val="1"/>
                <w:bCs w:val="1"/>
                <w:color w:val="auto"/>
                <w:w w:val="91"/>
              </w:rPr>
              <w:t>incorporation or organization)</w:t>
            </w:r>
          </w:p>
        </w:tc>
        <w:tc>
          <w:tcPr>
            <w:tcW w:w="3200" w:type="dxa"/>
            <w:vAlign w:val="bottom"/>
          </w:tcPr>
          <w:p>
            <w:pPr>
              <w:jc w:val="center"/>
              <w:ind w:left="2045"/>
              <w:spacing w:after="0"/>
              <w:rPr>
                <w:sz w:val="20"/>
                <w:szCs w:val="20"/>
                <w:color w:val="auto"/>
              </w:rPr>
            </w:pPr>
            <w:r>
              <w:rPr>
                <w:rFonts w:ascii="Arial" w:cs="Arial" w:eastAsia="Arial" w:hAnsi="Arial"/>
                <w:sz w:val="14"/>
                <w:szCs w:val="14"/>
                <w:b w:val="1"/>
                <w:bCs w:val="1"/>
                <w:color w:val="auto"/>
                <w:w w:val="91"/>
              </w:rPr>
              <w:t>Identification No.)</w:t>
            </w:r>
          </w:p>
        </w:tc>
      </w:tr>
    </w:tbl>
    <w:p>
      <w:pPr>
        <w:spacing w:after="0" w:line="123" w:lineRule="exact"/>
        <w:rPr>
          <w:sz w:val="24"/>
          <w:szCs w:val="24"/>
          <w:color w:val="auto"/>
        </w:rPr>
      </w:pPr>
    </w:p>
    <w:p>
      <w:pPr>
        <w:sectPr>
          <w:pgSz w:w="11900" w:h="16838" w:orient="portrait"/>
          <w:cols w:equalWidth="0" w:num="1">
            <w:col w:w="11240"/>
          </w:cols>
          <w:pgMar w:left="320" w:top="226" w:right="339" w:bottom="0" w:gutter="0" w:footer="0" w:header="0"/>
        </w:sectPr>
      </w:pPr>
    </w:p>
    <w:p>
      <w:pPr>
        <w:jc w:val="center"/>
        <w:ind w:right="2480"/>
        <w:spacing w:after="0"/>
        <w:rPr>
          <w:sz w:val="20"/>
          <w:szCs w:val="20"/>
          <w:color w:val="auto"/>
        </w:rPr>
      </w:pPr>
      <w:r>
        <w:rPr>
          <w:rFonts w:ascii="Arial" w:cs="Arial" w:eastAsia="Arial" w:hAnsi="Arial"/>
          <w:sz w:val="17"/>
          <w:szCs w:val="17"/>
          <w:b w:val="1"/>
          <w:bCs w:val="1"/>
          <w:color w:val="auto"/>
        </w:rPr>
        <w:t>250 Park Avenue South</w:t>
      </w:r>
    </w:p>
    <w:p>
      <w:pPr>
        <w:spacing w:after="0" w:line="21" w:lineRule="exact"/>
        <w:rPr>
          <w:sz w:val="24"/>
          <w:szCs w:val="24"/>
          <w:color w:val="auto"/>
        </w:rPr>
      </w:pPr>
    </w:p>
    <w:p>
      <w:pPr>
        <w:jc w:val="center"/>
        <w:ind w:right="2480"/>
        <w:spacing w:after="0"/>
        <w:rPr>
          <w:sz w:val="20"/>
          <w:szCs w:val="20"/>
          <w:color w:val="auto"/>
        </w:rPr>
      </w:pPr>
      <w:r>
        <w:rPr>
          <w:rFonts w:ascii="Arial" w:cs="Arial" w:eastAsia="Arial" w:hAnsi="Arial"/>
          <w:sz w:val="17"/>
          <w:szCs w:val="17"/>
          <w:b w:val="1"/>
          <w:bCs w:val="1"/>
          <w:color w:val="auto"/>
        </w:rPr>
        <w:t>Seventh Floor</w:t>
      </w:r>
    </w:p>
    <w:p>
      <w:pPr>
        <w:spacing w:after="0" w:line="1" w:lineRule="exact"/>
        <w:rPr>
          <w:sz w:val="24"/>
          <w:szCs w:val="24"/>
          <w:color w:val="auto"/>
        </w:rPr>
      </w:pPr>
    </w:p>
    <w:p>
      <w:pPr>
        <w:jc w:val="center"/>
        <w:ind w:right="2480"/>
        <w:spacing w:after="0"/>
        <w:rPr>
          <w:sz w:val="20"/>
          <w:szCs w:val="20"/>
          <w:color w:val="auto"/>
        </w:rPr>
      </w:pPr>
      <w:r>
        <w:rPr>
          <w:rFonts w:ascii="Arial" w:cs="Arial" w:eastAsia="Arial" w:hAnsi="Arial"/>
          <w:sz w:val="17"/>
          <w:szCs w:val="17"/>
          <w:b w:val="1"/>
          <w:bCs w:val="1"/>
          <w:color w:val="auto"/>
        </w:rPr>
        <w:t>New York, NY</w:t>
      </w:r>
    </w:p>
    <w:p>
      <w:pPr>
        <w:spacing w:after="0" w:line="55" w:lineRule="exact"/>
        <w:rPr>
          <w:sz w:val="24"/>
          <w:szCs w:val="24"/>
          <w:color w:val="auto"/>
        </w:rPr>
      </w:pPr>
    </w:p>
    <w:p>
      <w:pPr>
        <w:ind w:left="16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327" w:lineRule="exact"/>
        <w:rPr>
          <w:sz w:val="24"/>
          <w:szCs w:val="24"/>
          <w:color w:val="auto"/>
        </w:rPr>
      </w:pPr>
    </w:p>
    <w:p>
      <w:pPr>
        <w:jc w:val="center"/>
        <w:ind w:left="3180"/>
        <w:spacing w:after="0"/>
        <w:rPr>
          <w:sz w:val="20"/>
          <w:szCs w:val="20"/>
          <w:color w:val="auto"/>
        </w:rPr>
      </w:pPr>
      <w:r>
        <w:rPr>
          <w:rFonts w:ascii="Arial" w:cs="Arial" w:eastAsia="Arial" w:hAnsi="Arial"/>
          <w:sz w:val="17"/>
          <w:szCs w:val="17"/>
          <w:b w:val="1"/>
          <w:bCs w:val="1"/>
          <w:color w:val="auto"/>
        </w:rPr>
        <w:t>(212) 206-0763</w:t>
      </w:r>
    </w:p>
    <w:p>
      <w:pPr>
        <w:spacing w:after="0" w:line="32" w:lineRule="exact"/>
        <w:rPr>
          <w:sz w:val="24"/>
          <w:szCs w:val="24"/>
          <w:color w:val="auto"/>
        </w:rPr>
      </w:pPr>
    </w:p>
    <w:p>
      <w:pPr>
        <w:jc w:val="center"/>
        <w:ind w:left="3180"/>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05" w:lineRule="exact"/>
        <w:rPr>
          <w:sz w:val="24"/>
          <w:szCs w:val="24"/>
          <w:color w:val="auto"/>
        </w:rPr>
      </w:pPr>
    </w:p>
    <w:p>
      <w:pPr>
        <w:jc w:val="center"/>
        <w:ind w:left="3180"/>
        <w:spacing w:after="0"/>
        <w:rPr>
          <w:sz w:val="20"/>
          <w:szCs w:val="20"/>
          <w:color w:val="auto"/>
        </w:rPr>
      </w:pPr>
      <w:r>
        <w:rPr>
          <w:rFonts w:ascii="Arial" w:cs="Arial" w:eastAsia="Arial" w:hAnsi="Arial"/>
          <w:sz w:val="17"/>
          <w:szCs w:val="17"/>
          <w:b w:val="1"/>
          <w:bCs w:val="1"/>
          <w:color w:val="auto"/>
        </w:rPr>
        <w:t>N/A</w:t>
      </w:r>
    </w:p>
    <w:p>
      <w:pPr>
        <w:spacing w:after="0" w:line="26" w:lineRule="exact"/>
        <w:rPr>
          <w:sz w:val="24"/>
          <w:szCs w:val="24"/>
          <w:color w:val="auto"/>
        </w:rPr>
      </w:pPr>
    </w:p>
    <w:p>
      <w:pPr>
        <w:jc w:val="center"/>
        <w:ind w:left="3180"/>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31" w:lineRule="exact"/>
        <w:rPr>
          <w:sz w:val="24"/>
          <w:szCs w:val="24"/>
          <w:color w:val="auto"/>
        </w:rPr>
      </w:pPr>
    </w:p>
    <w:p>
      <w:pPr>
        <w:ind w:left="4460"/>
        <w:spacing w:after="0"/>
        <w:rPr>
          <w:sz w:val="20"/>
          <w:szCs w:val="20"/>
          <w:color w:val="auto"/>
        </w:rPr>
      </w:pPr>
      <w:r>
        <w:rPr>
          <w:rFonts w:ascii="Arial" w:cs="Arial" w:eastAsia="Arial" w:hAnsi="Arial"/>
          <w:sz w:val="21"/>
          <w:szCs w:val="21"/>
          <w:color w:val="auto"/>
        </w:rPr>
        <w:t>____________________</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jc w:val="center"/>
        <w:ind w:right="2460"/>
        <w:spacing w:after="0"/>
        <w:rPr>
          <w:sz w:val="20"/>
          <w:szCs w:val="20"/>
          <w:color w:val="auto"/>
        </w:rPr>
      </w:pPr>
      <w:r>
        <w:rPr>
          <w:rFonts w:ascii="Arial" w:cs="Arial" w:eastAsia="Arial" w:hAnsi="Arial"/>
          <w:sz w:val="17"/>
          <w:szCs w:val="17"/>
          <w:b w:val="1"/>
          <w:bCs w:val="1"/>
          <w:color w:val="auto"/>
        </w:rPr>
        <w:t>10003</w:t>
      </w:r>
    </w:p>
    <w:p>
      <w:pPr>
        <w:spacing w:after="0" w:line="4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(Zip Code)</w:t>
      </w:r>
    </w:p>
    <w:p>
      <w:pPr>
        <w:spacing w:after="0" w:line="1808" w:lineRule="exact"/>
        <w:rPr>
          <w:sz w:val="24"/>
          <w:szCs w:val="24"/>
          <w:color w:val="auto"/>
        </w:rPr>
      </w:pPr>
    </w:p>
    <w:p>
      <w:pPr>
        <w:sectPr>
          <w:pgSz w:w="11900" w:h="16838" w:orient="portrait"/>
          <w:cols w:equalWidth="0" w:num="2">
            <w:col w:w="8060" w:space="80"/>
            <w:col w:w="3100"/>
          </w:cols>
          <w:pgMar w:left="320" w:top="226" w:right="3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6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86"/>
              </w:rPr>
              <w:t>Name of each exchange</w:t>
            </w:r>
          </w:p>
        </w:tc>
      </w:tr>
      <w:tr>
        <w:trPr>
          <w:trHeight w:val="208"/>
        </w:trPr>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1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89"/>
              </w:rPr>
              <w:t>on which registered</w:t>
            </w:r>
          </w:p>
        </w:tc>
      </w:tr>
      <w:tr>
        <w:trPr>
          <w:trHeight w:val="23"/>
        </w:trPr>
        <w:tc>
          <w:tcPr>
            <w:tcW w:w="4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28"/>
        </w:trPr>
        <w:tc>
          <w:tcPr>
            <w:tcW w:w="4560" w:type="dxa"/>
            <w:vAlign w:val="bottom"/>
          </w:tcPr>
          <w:p>
            <w:pPr>
              <w:jc w:val="center"/>
              <w:spacing w:after="0"/>
              <w:rPr>
                <w:sz w:val="20"/>
                <w:szCs w:val="20"/>
                <w:color w:val="auto"/>
              </w:rPr>
            </w:pPr>
            <w:r>
              <w:rPr>
                <w:rFonts w:ascii="Arial" w:cs="Arial" w:eastAsia="Arial" w:hAnsi="Arial"/>
                <w:sz w:val="17"/>
                <w:szCs w:val="17"/>
                <w:b w:val="1"/>
                <w:bCs w:val="1"/>
                <w:color w:val="auto"/>
                <w:w w:val="92"/>
              </w:rPr>
              <w:t>Common Stock, Par Value $0.01 Per Share</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7"/>
                <w:szCs w:val="17"/>
                <w:b w:val="1"/>
                <w:bCs w:val="1"/>
                <w:color w:val="auto"/>
              </w:rPr>
              <w:t>COCO</w:t>
            </w:r>
          </w:p>
        </w:tc>
        <w:tc>
          <w:tcPr>
            <w:tcW w:w="10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7"/>
                <w:szCs w:val="17"/>
                <w:b w:val="1"/>
                <w:bCs w:val="1"/>
                <w:color w:val="auto"/>
                <w:w w:val="96"/>
              </w:rPr>
              <w:t>The Nasdaq Stock Market LLC</w:t>
            </w:r>
          </w:p>
        </w:tc>
      </w:tr>
    </w:tbl>
    <w:p>
      <w:pPr>
        <w:spacing w:after="0" w:line="302" w:lineRule="exact"/>
        <w:rPr>
          <w:sz w:val="24"/>
          <w:szCs w:val="24"/>
          <w:color w:val="auto"/>
        </w:rPr>
      </w:pPr>
    </w:p>
    <w:p>
      <w:pPr>
        <w:jc w:val="both"/>
        <w:ind w:right="120"/>
        <w:spacing w:after="0" w:line="272"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2" w:lineRule="exact"/>
        <w:rPr>
          <w:sz w:val="24"/>
          <w:szCs w:val="24"/>
          <w:color w:val="auto"/>
        </w:rPr>
      </w:pPr>
    </w:p>
    <w:p>
      <w:pPr>
        <w:ind w:right="20"/>
        <w:spacing w:after="0" w:line="272"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72" w:lineRule="exact"/>
        <w:rPr>
          <w:sz w:val="24"/>
          <w:szCs w:val="24"/>
          <w:color w:val="auto"/>
        </w:rPr>
      </w:pPr>
    </w:p>
    <w:p>
      <w:pPr>
        <w:ind w:right="60"/>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4" w:lineRule="exact"/>
        <w:rPr>
          <w:sz w:val="24"/>
          <w:szCs w:val="24"/>
          <w:color w:val="auto"/>
        </w:rPr>
      </w:pPr>
    </w:p>
    <w:tbl>
      <w:tblPr>
        <w:tblLayout w:type="fixed"/>
        <w:tblInd w:w="20" w:type="dxa"/>
        <w:tblCellMar>
          <w:top w:w="0" w:type="dxa"/>
          <w:left w:w="0" w:type="dxa"/>
          <w:bottom w:w="0" w:type="dxa"/>
          <w:right w:w="0" w:type="dxa"/>
        </w:tblCellMar>
      </w:tblPr>
      <w:tr>
        <w:trPr>
          <w:trHeight w:val="222"/>
        </w:trPr>
        <w:tc>
          <w:tcPr>
            <w:tcW w:w="23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000" w:type="dxa"/>
            <w:vAlign w:val="bottom"/>
          </w:tcPr>
          <w:p>
            <w:pPr>
              <w:ind w:left="460"/>
              <w:spacing w:after="0"/>
              <w:rPr>
                <w:sz w:val="20"/>
                <w:szCs w:val="20"/>
                <w:color w:val="auto"/>
              </w:rPr>
            </w:pPr>
            <w:r>
              <w:rPr>
                <w:rFonts w:ascii="Arial" w:cs="Arial" w:eastAsia="Arial" w:hAnsi="Arial"/>
                <w:sz w:val="17"/>
                <w:szCs w:val="17"/>
                <w:color w:val="auto"/>
              </w:rPr>
              <w:t>o</w:t>
            </w:r>
          </w:p>
        </w:tc>
        <w:tc>
          <w:tcPr>
            <w:tcW w:w="5040" w:type="dxa"/>
            <w:vAlign w:val="bottom"/>
          </w:tcPr>
          <w:p>
            <w:pPr>
              <w:ind w:left="2440"/>
              <w:spacing w:after="0"/>
              <w:rPr>
                <w:sz w:val="20"/>
                <w:szCs w:val="20"/>
                <w:color w:val="auto"/>
              </w:rPr>
            </w:pPr>
            <w:r>
              <w:rPr>
                <w:rFonts w:ascii="Arial" w:cs="Arial" w:eastAsia="Arial" w:hAnsi="Arial"/>
                <w:sz w:val="17"/>
                <w:szCs w:val="17"/>
                <w:color w:val="auto"/>
              </w:rPr>
              <w:t>Accelerated filer</w:t>
            </w:r>
          </w:p>
        </w:tc>
        <w:tc>
          <w:tcPr>
            <w:tcW w:w="780" w:type="dxa"/>
            <w:vAlign w:val="bottom"/>
          </w:tcPr>
          <w:p>
            <w:pPr>
              <w:jc w:val="right"/>
              <w:spacing w:after="0"/>
              <w:rPr>
                <w:sz w:val="20"/>
                <w:szCs w:val="20"/>
                <w:color w:val="auto"/>
              </w:rPr>
            </w:pPr>
            <w:r>
              <w:rPr>
                <w:rFonts w:ascii="Arial" w:cs="Arial" w:eastAsia="Arial" w:hAnsi="Arial"/>
                <w:sz w:val="17"/>
                <w:szCs w:val="17"/>
                <w:color w:val="auto"/>
              </w:rPr>
              <w:t>x</w:t>
            </w:r>
          </w:p>
        </w:tc>
      </w:tr>
      <w:tr>
        <w:trPr>
          <w:trHeight w:val="248"/>
        </w:trPr>
        <w:tc>
          <w:tcPr>
            <w:tcW w:w="2380" w:type="dxa"/>
            <w:vAlign w:val="bottom"/>
          </w:tcPr>
          <w:p>
            <w:pPr>
              <w:spacing w:after="0"/>
              <w:rPr>
                <w:sz w:val="20"/>
                <w:szCs w:val="20"/>
                <w:color w:val="auto"/>
              </w:rPr>
            </w:pPr>
            <w:r>
              <w:rPr>
                <w:rFonts w:ascii="Arial" w:cs="Arial" w:eastAsia="Arial" w:hAnsi="Arial"/>
                <w:sz w:val="17"/>
                <w:szCs w:val="17"/>
                <w:color w:val="auto"/>
              </w:rPr>
              <w:t>Non-accelerated filer</w:t>
            </w:r>
          </w:p>
        </w:tc>
        <w:tc>
          <w:tcPr>
            <w:tcW w:w="3000" w:type="dxa"/>
            <w:vAlign w:val="bottom"/>
          </w:tcPr>
          <w:p>
            <w:pPr>
              <w:ind w:left="460"/>
              <w:spacing w:after="0"/>
              <w:rPr>
                <w:sz w:val="20"/>
                <w:szCs w:val="20"/>
                <w:color w:val="auto"/>
              </w:rPr>
            </w:pPr>
            <w:r>
              <w:rPr>
                <w:rFonts w:ascii="Arial" w:cs="Arial" w:eastAsia="Arial" w:hAnsi="Arial"/>
                <w:sz w:val="17"/>
                <w:szCs w:val="17"/>
                <w:color w:val="auto"/>
              </w:rPr>
              <w:t>o</w:t>
            </w:r>
          </w:p>
        </w:tc>
        <w:tc>
          <w:tcPr>
            <w:tcW w:w="5040" w:type="dxa"/>
            <w:vAlign w:val="bottom"/>
          </w:tcPr>
          <w:p>
            <w:pPr>
              <w:ind w:left="2440"/>
              <w:spacing w:after="0"/>
              <w:rPr>
                <w:sz w:val="20"/>
                <w:szCs w:val="20"/>
                <w:color w:val="auto"/>
              </w:rPr>
            </w:pPr>
            <w:r>
              <w:rPr>
                <w:rFonts w:ascii="Arial" w:cs="Arial" w:eastAsia="Arial" w:hAnsi="Arial"/>
                <w:sz w:val="17"/>
                <w:szCs w:val="17"/>
                <w:color w:val="auto"/>
              </w:rPr>
              <w:t>Smaller reporting company</w:t>
            </w:r>
          </w:p>
        </w:tc>
        <w:tc>
          <w:tcPr>
            <w:tcW w:w="780" w:type="dxa"/>
            <w:vAlign w:val="bottom"/>
          </w:tcPr>
          <w:p>
            <w:pPr>
              <w:jc w:val="right"/>
              <w:spacing w:after="0"/>
              <w:rPr>
                <w:sz w:val="20"/>
                <w:szCs w:val="20"/>
                <w:color w:val="auto"/>
              </w:rPr>
            </w:pPr>
            <w:r>
              <w:rPr>
                <w:rFonts w:ascii="Arial" w:cs="Arial" w:eastAsia="Arial" w:hAnsi="Arial"/>
                <w:sz w:val="17"/>
                <w:szCs w:val="17"/>
                <w:color w:val="auto"/>
              </w:rPr>
              <w:t>o</w:t>
            </w:r>
          </w:p>
        </w:tc>
      </w:tr>
      <w:tr>
        <w:trPr>
          <w:trHeight w:val="248"/>
        </w:trPr>
        <w:tc>
          <w:tcPr>
            <w:tcW w:w="23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000" w:type="dxa"/>
            <w:vAlign w:val="bottom"/>
          </w:tcPr>
          <w:p>
            <w:pPr>
              <w:ind w:left="460"/>
              <w:spacing w:after="0"/>
              <w:rPr>
                <w:sz w:val="20"/>
                <w:szCs w:val="20"/>
                <w:color w:val="auto"/>
              </w:rPr>
            </w:pPr>
            <w:r>
              <w:rPr>
                <w:rFonts w:ascii="Arial" w:cs="Arial" w:eastAsia="Arial" w:hAnsi="Arial"/>
                <w:sz w:val="17"/>
                <w:szCs w:val="17"/>
                <w:color w:val="auto"/>
              </w:rPr>
              <w:t>x</w:t>
            </w:r>
          </w:p>
        </w:tc>
        <w:tc>
          <w:tcPr>
            <w:tcW w:w="5040" w:type="dxa"/>
            <w:vAlign w:val="bottom"/>
          </w:tcPr>
          <w:p>
            <w:pPr>
              <w:spacing w:after="0"/>
              <w:rPr>
                <w:sz w:val="21"/>
                <w:szCs w:val="21"/>
                <w:color w:val="auto"/>
              </w:rPr>
            </w:pPr>
          </w:p>
        </w:tc>
        <w:tc>
          <w:tcPr>
            <w:tcW w:w="780" w:type="dxa"/>
            <w:vAlign w:val="bottom"/>
          </w:tcPr>
          <w:p>
            <w:pPr>
              <w:spacing w:after="0"/>
              <w:rPr>
                <w:sz w:val="21"/>
                <w:szCs w:val="21"/>
                <w:color w:val="auto"/>
              </w:rPr>
            </w:pPr>
          </w:p>
        </w:tc>
      </w:tr>
    </w:tbl>
    <w:p>
      <w:pPr>
        <w:sectPr>
          <w:pgSz w:w="11900" w:h="16838" w:orient="portrait"/>
          <w:cols w:equalWidth="0" w:num="1">
            <w:col w:w="11240"/>
          </w:cols>
          <w:pgMar w:left="320" w:top="226" w:right="339" w:bottom="0" w:gutter="0" w:footer="0" w:header="0"/>
          <w:type w:val="continuous"/>
        </w:sectPr>
      </w:pPr>
    </w:p>
    <w:bookmarkStart w:id="1" w:name="page2"/>
    <w:bookmarkEnd w:id="1"/>
    <w:p>
      <w:pPr>
        <w:spacing w:after="0" w:line="288"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As of August 1, 2023, there were 56,435,690 shares of the registrant’s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165735</wp:posOffset>
            </wp:positionV>
            <wp:extent cx="7136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199390</wp:posOffset>
            </wp:positionV>
            <wp:extent cx="7136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00"/>
          </w:cols>
          <w:pgMar w:left="320" w:top="127" w:right="67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20" w:type="dxa"/>
            <w:vAlign w:val="bottom"/>
            <w:gridSpan w:val="9"/>
            <w:vMerge w:val="restart"/>
          </w:tcPr>
          <w:p>
            <w:pPr>
              <w:spacing w:after="0"/>
              <w:rPr>
                <w:sz w:val="20"/>
                <w:szCs w:val="20"/>
                <w:color w:val="auto"/>
              </w:rPr>
            </w:pPr>
            <w:r>
              <w:rPr>
                <w:rFonts w:ascii="Arial" w:cs="Arial" w:eastAsia="Arial" w:hAnsi="Arial"/>
                <w:sz w:val="17"/>
                <w:szCs w:val="17"/>
                <w:b w:val="1"/>
                <w:bCs w:val="1"/>
                <w:color w:val="0000FF"/>
              </w:rPr>
              <w:t>PART I - FINANCIAL INFORMATION</w:t>
            </w:r>
          </w:p>
        </w:tc>
        <w:tc>
          <w:tcPr>
            <w:tcW w:w="7400" w:type="dxa"/>
            <w:vAlign w:val="bottom"/>
            <w:gridSpan w:val="12"/>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0"/>
                <w:szCs w:val="20"/>
                <w:color w:val="auto"/>
              </w:rPr>
            </w:pPr>
          </w:p>
        </w:tc>
        <w:tc>
          <w:tcPr>
            <w:tcW w:w="3020" w:type="dxa"/>
            <w:vAlign w:val="bottom"/>
            <w:tcBorders>
              <w:bottom w:val="single" w:sz="8" w:color="0000FF"/>
            </w:tcBorders>
            <w:gridSpan w:val="9"/>
            <w:vMerge w:val="continue"/>
          </w:tcPr>
          <w:p>
            <w:pPr>
              <w:spacing w:after="0"/>
              <w:rPr>
                <w:sz w:val="20"/>
                <w:szCs w:val="20"/>
                <w:color w:val="auto"/>
              </w:rPr>
            </w:pPr>
          </w:p>
        </w:tc>
        <w:tc>
          <w:tcPr>
            <w:tcW w:w="7400" w:type="dxa"/>
            <w:vAlign w:val="bottom"/>
            <w:gridSpan w:val="12"/>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17"/>
                <w:szCs w:val="17"/>
                <w:color w:val="auto"/>
              </w:rPr>
              <w:t>Item 1.</w:t>
            </w:r>
          </w:p>
        </w:tc>
        <w:tc>
          <w:tcPr>
            <w:tcW w:w="408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color w:val="0000FF"/>
                <w:w w:val="91"/>
              </w:rPr>
              <w:t>Condensed Consolidated Financial Statements (unaudited)</w:t>
            </w:r>
          </w:p>
        </w:tc>
        <w:tc>
          <w:tcPr>
            <w:tcW w:w="5380" w:type="dxa"/>
            <w:vAlign w:val="bottom"/>
            <w:gridSpan w:val="9"/>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90"/>
              </w:rPr>
              <w:t>Condensed Consolidated Balance Sheets as of June 30, 2023 and December 31, 2022</w:t>
            </w:r>
          </w:p>
        </w:tc>
        <w:tc>
          <w:tcPr>
            <w:tcW w:w="3520" w:type="dxa"/>
            <w:vAlign w:val="bottom"/>
            <w:gridSpan w:val="6"/>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70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w w:val="91"/>
              </w:rPr>
              <w:t>Condensed Consolidated Statements of Operations for the three and six months ended June 30, 2023 and 2022</w:t>
            </w:r>
          </w:p>
        </w:tc>
        <w:tc>
          <w:tcPr>
            <w:tcW w:w="1760" w:type="dxa"/>
            <w:vAlign w:val="bottom"/>
            <w:gridSpan w:val="3"/>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60" w:type="dxa"/>
            <w:vAlign w:val="bottom"/>
            <w:gridSpan w:val="19"/>
          </w:tcPr>
          <w:p>
            <w:pPr>
              <w:spacing w:after="0"/>
              <w:rPr>
                <w:sz w:val="20"/>
                <w:szCs w:val="20"/>
                <w:color w:val="auto"/>
              </w:rPr>
            </w:pPr>
            <w:r>
              <w:rPr>
                <w:rFonts w:ascii="Arial" w:cs="Arial" w:eastAsia="Arial" w:hAnsi="Arial"/>
                <w:sz w:val="17"/>
                <w:szCs w:val="17"/>
                <w:color w:val="0000FF"/>
              </w:rPr>
              <w:t>Condensed Consolidated Statements of Comprehensive Income for the three and six months ended June 30, 2023 and 2022</w:t>
            </w:r>
          </w:p>
        </w:tc>
        <w:tc>
          <w:tcPr>
            <w:tcW w:w="80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580" w:type="dxa"/>
            <w:vAlign w:val="bottom"/>
            <w:tcBorders>
              <w:top w:val="single" w:sz="8" w:color="0000FF"/>
            </w:tcBorders>
            <w:gridSpan w:val="18"/>
          </w:tcPr>
          <w:p>
            <w:pPr>
              <w:spacing w:after="0"/>
              <w:rPr>
                <w:sz w:val="20"/>
                <w:szCs w:val="20"/>
                <w:color w:val="auto"/>
              </w:rPr>
            </w:pPr>
            <w:r>
              <w:rPr>
                <w:rFonts w:ascii="Arial" w:cs="Arial" w:eastAsia="Arial" w:hAnsi="Arial"/>
                <w:sz w:val="17"/>
                <w:szCs w:val="17"/>
                <w:color w:val="0000FF"/>
                <w:w w:val="93"/>
              </w:rPr>
              <w:t>Condensed Consolidated Statements of Stockholders’ Equity for the three and six months ended June 30, 2023 and 2022</w:t>
            </w:r>
          </w:p>
        </w:tc>
        <w:tc>
          <w:tcPr>
            <w:tcW w:w="8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6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7"/>
                <w:szCs w:val="17"/>
                <w:color w:val="0000FF"/>
                <w:w w:val="91"/>
              </w:rPr>
              <w:t>Condensed Consolidated Statements of Cash Flows for the six months ended June 30, 2023 and 2022</w:t>
            </w:r>
          </w:p>
        </w:tc>
        <w:tc>
          <w:tcPr>
            <w:tcW w:w="1320" w:type="dxa"/>
            <w:vAlign w:val="bottom"/>
            <w:tcBorders>
              <w:top w:val="single" w:sz="8" w:color="0000FF"/>
            </w:tcBorders>
            <w:gridSpan w:val="2"/>
          </w:tcPr>
          <w:p>
            <w:pPr>
              <w:spacing w:after="0"/>
              <w:rPr>
                <w:sz w:val="19"/>
                <w:szCs w:val="19"/>
                <w:color w:val="auto"/>
              </w:rPr>
            </w:pPr>
          </w:p>
        </w:tc>
        <w:tc>
          <w:tcPr>
            <w:tcW w:w="1080" w:type="dxa"/>
            <w:vAlign w:val="bottom"/>
            <w:gridSpan w:val="2"/>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60" w:type="dxa"/>
            <w:vAlign w:val="bottom"/>
            <w:gridSpan w:val="19"/>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80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24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w w:val="92"/>
              </w:rPr>
              <w:t>Management’s Discussion and Analysis of Financial Condition and Results of Operations</w:t>
            </w:r>
          </w:p>
        </w:tc>
        <w:tc>
          <w:tcPr>
            <w:tcW w:w="3220" w:type="dxa"/>
            <w:vAlign w:val="bottom"/>
            <w:gridSpan w:val="5"/>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22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w w:val="94"/>
              </w:rPr>
              <w:t>Quantitative and Qualitative Disclosures About Market Risk</w:t>
            </w:r>
          </w:p>
        </w:tc>
        <w:tc>
          <w:tcPr>
            <w:tcW w:w="5240" w:type="dxa"/>
            <w:vAlign w:val="bottom"/>
            <w:gridSpan w:val="7"/>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7"/>
                <w:szCs w:val="17"/>
                <w:color w:val="auto"/>
              </w:rPr>
              <w:t>Item 4.</w:t>
            </w:r>
          </w:p>
        </w:tc>
        <w:tc>
          <w:tcPr>
            <w:tcW w:w="9460" w:type="dxa"/>
            <w:vAlign w:val="bottom"/>
            <w:gridSpan w:val="19"/>
          </w:tcPr>
          <w:p>
            <w:pPr>
              <w:spacing w:after="0"/>
              <w:rPr>
                <w:sz w:val="20"/>
                <w:szCs w:val="20"/>
                <w:color w:val="auto"/>
              </w:rPr>
            </w:pPr>
            <w:r>
              <w:rPr>
                <w:rFonts w:ascii="Arial" w:cs="Arial" w:eastAsia="Arial" w:hAnsi="Arial"/>
                <w:sz w:val="17"/>
                <w:szCs w:val="17"/>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274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b w:val="1"/>
                <w:bCs w:val="1"/>
                <w:color w:val="0000FF"/>
              </w:rPr>
              <w:t>PART II - OTHER INFORMATION</w:t>
            </w:r>
          </w:p>
        </w:tc>
        <w:tc>
          <w:tcPr>
            <w:tcW w:w="768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7"/>
                <w:szCs w:val="17"/>
                <w:color w:val="auto"/>
              </w:rPr>
              <w:t>Item 1.</w:t>
            </w:r>
          </w:p>
        </w:tc>
        <w:tc>
          <w:tcPr>
            <w:tcW w:w="9460" w:type="dxa"/>
            <w:vAlign w:val="bottom"/>
            <w:gridSpan w:val="19"/>
          </w:tcPr>
          <w:p>
            <w:pPr>
              <w:spacing w:after="0"/>
              <w:rPr>
                <w:sz w:val="20"/>
                <w:szCs w:val="20"/>
                <w:color w:val="auto"/>
              </w:rPr>
            </w:pPr>
            <w:r>
              <w:rPr>
                <w:rFonts w:ascii="Arial" w:cs="Arial" w:eastAsia="Arial" w:hAnsi="Arial"/>
                <w:sz w:val="17"/>
                <w:szCs w:val="17"/>
                <w:color w:val="0000FF"/>
              </w:rPr>
              <w:t>Legal Proceedings</w:t>
            </w:r>
          </w:p>
        </w:tc>
        <w:tc>
          <w:tcPr>
            <w:tcW w:w="80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8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w w:val="90"/>
              </w:rPr>
              <w:t>Risk Factors</w:t>
            </w:r>
          </w:p>
        </w:tc>
        <w:tc>
          <w:tcPr>
            <w:tcW w:w="400" w:type="dxa"/>
            <w:vAlign w:val="bottom"/>
            <w:tcBorders>
              <w:top w:val="single" w:sz="8" w:color="0000FF"/>
            </w:tcBorders>
            <w:gridSpan w:val="2"/>
          </w:tcPr>
          <w:p>
            <w:pPr>
              <w:spacing w:after="0"/>
              <w:rPr>
                <w:sz w:val="19"/>
                <w:szCs w:val="19"/>
                <w:color w:val="auto"/>
              </w:rPr>
            </w:pPr>
          </w:p>
        </w:tc>
        <w:tc>
          <w:tcPr>
            <w:tcW w:w="8180" w:type="dxa"/>
            <w:vAlign w:val="bottom"/>
            <w:gridSpan w:val="15"/>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17"/>
                <w:szCs w:val="17"/>
                <w:color w:val="auto"/>
              </w:rPr>
              <w:t>Item 2.</w:t>
            </w:r>
          </w:p>
        </w:tc>
        <w:tc>
          <w:tcPr>
            <w:tcW w:w="9460" w:type="dxa"/>
            <w:vAlign w:val="bottom"/>
            <w:gridSpan w:val="19"/>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200" w:type="dxa"/>
            <w:vAlign w:val="bottom"/>
            <w:tcBorders>
              <w:top w:val="single" w:sz="8" w:color="0000FF"/>
            </w:tcBorders>
            <w:gridSpan w:val="11"/>
          </w:tcPr>
          <w:p>
            <w:pPr>
              <w:spacing w:after="0"/>
              <w:rPr>
                <w:sz w:val="20"/>
                <w:szCs w:val="20"/>
                <w:color w:val="auto"/>
              </w:rPr>
            </w:pPr>
            <w:r>
              <w:rPr>
                <w:rFonts w:ascii="Arial" w:cs="Arial" w:eastAsia="Arial" w:hAnsi="Arial"/>
                <w:sz w:val="17"/>
                <w:szCs w:val="17"/>
                <w:color w:val="0000FF"/>
              </w:rPr>
              <w:t>Defaults Upon Senior Securities</w:t>
            </w:r>
          </w:p>
        </w:tc>
        <w:tc>
          <w:tcPr>
            <w:tcW w:w="5260" w:type="dxa"/>
            <w:vAlign w:val="bottom"/>
            <w:gridSpan w:val="8"/>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7"/>
                <w:szCs w:val="17"/>
                <w:color w:val="auto"/>
              </w:rPr>
              <w:t>Item 4.</w:t>
            </w:r>
          </w:p>
        </w:tc>
        <w:tc>
          <w:tcPr>
            <w:tcW w:w="2240" w:type="dxa"/>
            <w:vAlign w:val="bottom"/>
            <w:tcBorders>
              <w:top w:val="single" w:sz="8" w:color="0000FF"/>
            </w:tcBorders>
            <w:gridSpan w:val="8"/>
          </w:tcPr>
          <w:p>
            <w:pPr>
              <w:spacing w:after="0"/>
              <w:rPr>
                <w:sz w:val="20"/>
                <w:szCs w:val="20"/>
                <w:color w:val="auto"/>
              </w:rPr>
            </w:pPr>
            <w:r>
              <w:rPr>
                <w:rFonts w:ascii="Arial" w:cs="Arial" w:eastAsia="Arial" w:hAnsi="Arial"/>
                <w:sz w:val="17"/>
                <w:szCs w:val="17"/>
                <w:color w:val="0000FF"/>
              </w:rPr>
              <w:t>Mine Safety Disclosures</w:t>
            </w:r>
          </w:p>
        </w:tc>
        <w:tc>
          <w:tcPr>
            <w:tcW w:w="7220" w:type="dxa"/>
            <w:vAlign w:val="bottom"/>
            <w:gridSpan w:val="11"/>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17"/>
                <w:szCs w:val="17"/>
                <w:color w:val="auto"/>
              </w:rPr>
              <w:t>Item 5.</w:t>
            </w:r>
          </w:p>
        </w:tc>
        <w:tc>
          <w:tcPr>
            <w:tcW w:w="170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0000FF"/>
              </w:rPr>
              <w:t>Other Information</w:t>
            </w:r>
          </w:p>
        </w:tc>
        <w:tc>
          <w:tcPr>
            <w:tcW w:w="7760" w:type="dxa"/>
            <w:vAlign w:val="bottom"/>
            <w:gridSpan w:val="14"/>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17"/>
                <w:szCs w:val="17"/>
                <w:color w:val="auto"/>
              </w:rPr>
              <w:t>Item 6.</w:t>
            </w:r>
          </w:p>
        </w:tc>
        <w:tc>
          <w:tcPr>
            <w:tcW w:w="126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rPr>
              <w:t>Exhibits</w:t>
            </w:r>
          </w:p>
        </w:tc>
        <w:tc>
          <w:tcPr>
            <w:tcW w:w="8200" w:type="dxa"/>
            <w:vAlign w:val="bottom"/>
            <w:gridSpan w:val="16"/>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17"/>
                <w:szCs w:val="17"/>
                <w:color w:val="0000FF"/>
              </w:rPr>
              <w:t>Signatures</w:t>
            </w:r>
          </w:p>
        </w:tc>
        <w:tc>
          <w:tcPr>
            <w:tcW w:w="58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934"/>
        </w:trPr>
        <w:tc>
          <w:tcPr>
            <w:tcW w:w="2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13"/>
          </w:tcPr>
          <w:p>
            <w:pPr>
              <w:ind w:left="4600"/>
              <w:spacing w:after="0"/>
              <w:rPr>
                <w:sz w:val="20"/>
                <w:szCs w:val="20"/>
                <w:color w:val="auto"/>
              </w:rPr>
            </w:pPr>
            <w:r>
              <w:rPr>
                <w:rFonts w:ascii="Arial" w:cs="Arial" w:eastAsia="Arial" w:hAnsi="Arial"/>
                <w:sz w:val="17"/>
                <w:szCs w:val="17"/>
                <w:color w:val="auto"/>
              </w:rPr>
              <w:t>2</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FORWARD-LOOKING STATEMENTS</w:t>
      </w:r>
    </w:p>
    <w:p>
      <w:pPr>
        <w:spacing w:after="0" w:line="229"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projected costs, plans, prospects, expectations, market growth, new products, supply chain predictions, and our objectives for future operations.</w:t>
      </w:r>
    </w:p>
    <w:p>
      <w:pPr>
        <w:spacing w:after="0" w:line="171" w:lineRule="exact"/>
        <w:rPr>
          <w:sz w:val="20"/>
          <w:szCs w:val="20"/>
          <w:color w:val="auto"/>
        </w:rPr>
      </w:pPr>
    </w:p>
    <w:p>
      <w:pPr>
        <w:ind w:right="120" w:firstLine="470"/>
        <w:spacing w:after="0" w:line="278"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Annual Report on Form 10-K for the year ended December 31, 2022.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3"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You should read this Quarterly Report on Form 10-Q and the documents that we reference herein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79" w:lineRule="exact"/>
        <w:rPr>
          <w:sz w:val="20"/>
          <w:szCs w:val="20"/>
          <w:color w:val="auto"/>
        </w:rPr>
      </w:pPr>
    </w:p>
    <w:p>
      <w:pPr>
        <w:ind w:right="200" w:firstLine="470"/>
        <w:spacing w:after="0" w:line="288" w:lineRule="auto"/>
        <w:rPr>
          <w:sz w:val="20"/>
          <w:szCs w:val="20"/>
          <w:color w:val="auto"/>
        </w:rPr>
      </w:pPr>
      <w:r>
        <w:rPr>
          <w:rFonts w:ascii="Arial" w:cs="Arial" w:eastAsia="Arial" w:hAnsi="Arial"/>
          <w:sz w:val="17"/>
          <w:szCs w:val="17"/>
          <w:color w:val="auto"/>
        </w:rPr>
        <w:t>As used in this Quarterly Report on Form 10-Q, unless otherwise stated or the context requires otherwise, the terms “Vita Coco,” the “company,” “we,” “us,” and “our” refer to The Vita Coco Company, Inc. and its consolidated subsidiaries.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PART I—FINANCIAL INFORMATION</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THE VITA COCO COMPANY, INC. AND SUBSIDIARIES</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(Amounts in thousands, except share data)</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62"/>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82"/>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06"/>
        </w:trPr>
        <w:tc>
          <w:tcPr>
            <w:tcW w:w="8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47,968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19,629</w:t>
            </w:r>
          </w:p>
        </w:tc>
        <w:tc>
          <w:tcPr>
            <w:tcW w:w="0" w:type="dxa"/>
            <w:vAlign w:val="bottom"/>
          </w:tcPr>
          <w:p>
            <w:pPr>
              <w:spacing w:after="0"/>
              <w:rPr>
                <w:sz w:val="1"/>
                <w:szCs w:val="1"/>
                <w:color w:val="auto"/>
              </w:rPr>
            </w:pPr>
          </w:p>
        </w:tc>
      </w:tr>
      <w:tr>
        <w:trPr>
          <w:trHeight w:val="206"/>
        </w:trPr>
        <w:tc>
          <w:tcPr>
            <w:tcW w:w="8020" w:type="dxa"/>
            <w:vAlign w:val="bottom"/>
          </w:tcPr>
          <w:p>
            <w:pPr>
              <w:ind w:left="340"/>
              <w:spacing w:after="0"/>
              <w:rPr>
                <w:sz w:val="20"/>
                <w:szCs w:val="20"/>
                <w:color w:val="auto"/>
              </w:rPr>
            </w:pPr>
            <w:r>
              <w:rPr>
                <w:rFonts w:ascii="Arial" w:cs="Arial" w:eastAsia="Arial" w:hAnsi="Arial"/>
                <w:sz w:val="16"/>
                <w:szCs w:val="16"/>
                <w:color w:val="auto"/>
              </w:rPr>
              <w:t>Accounts receivable, net of allowance of $3,192 at June 30, 2023, and $2,898 at December 31, 2022</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89,588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43,350</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84,115</w:t>
            </w:r>
          </w:p>
        </w:tc>
        <w:tc>
          <w:tcPr>
            <w:tcW w:w="0" w:type="dxa"/>
            <w:vAlign w:val="bottom"/>
          </w:tcPr>
          <w:p>
            <w:pPr>
              <w:spacing w:after="0"/>
              <w:rPr>
                <w:sz w:val="1"/>
                <w:szCs w:val="1"/>
                <w:color w:val="auto"/>
              </w:rPr>
            </w:pPr>
          </w:p>
        </w:tc>
      </w:tr>
      <w:tr>
        <w:trPr>
          <w:trHeight w:val="206"/>
        </w:trPr>
        <w:tc>
          <w:tcPr>
            <w:tcW w:w="8020" w:type="dxa"/>
            <w:vAlign w:val="bottom"/>
          </w:tcPr>
          <w:p>
            <w:pPr>
              <w:ind w:left="340"/>
              <w:spacing w:after="0"/>
              <w:rPr>
                <w:sz w:val="20"/>
                <w:szCs w:val="20"/>
                <w:color w:val="auto"/>
              </w:rPr>
            </w:pPr>
            <w:r>
              <w:rPr>
                <w:rFonts w:ascii="Arial" w:cs="Arial" w:eastAsia="Arial" w:hAnsi="Arial"/>
                <w:sz w:val="16"/>
                <w:szCs w:val="16"/>
                <w:color w:val="auto"/>
              </w:rPr>
              <w:t>Supplier advances</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Derivative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w:t>
            </w:r>
          </w:p>
        </w:tc>
        <w:tc>
          <w:tcPr>
            <w:tcW w:w="0" w:type="dxa"/>
            <w:vAlign w:val="bottom"/>
          </w:tcPr>
          <w:p>
            <w:pPr>
              <w:spacing w:after="0"/>
              <w:rPr>
                <w:sz w:val="1"/>
                <w:szCs w:val="1"/>
                <w:color w:val="auto"/>
              </w:rPr>
            </w:pPr>
          </w:p>
        </w:tc>
      </w:tr>
      <w:tr>
        <w:trPr>
          <w:trHeight w:val="206"/>
        </w:trPr>
        <w:tc>
          <w:tcPr>
            <w:tcW w:w="8020" w:type="dxa"/>
            <w:vAlign w:val="bottom"/>
          </w:tcPr>
          <w:p>
            <w:pPr>
              <w:ind w:left="340"/>
              <w:spacing w:after="0"/>
              <w:rPr>
                <w:sz w:val="20"/>
                <w:szCs w:val="20"/>
                <w:color w:val="auto"/>
              </w:rPr>
            </w:pPr>
            <w:r>
              <w:rPr>
                <w:rFonts w:ascii="Arial" w:cs="Arial" w:eastAsia="Arial" w:hAnsi="Arial"/>
                <w:sz w:val="16"/>
                <w:szCs w:val="16"/>
                <w:color w:val="auto"/>
              </w:rPr>
              <w:t>Asset held for sale</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22,181</w:t>
            </w:r>
          </w:p>
        </w:tc>
        <w:tc>
          <w:tcPr>
            <w:tcW w:w="0" w:type="dxa"/>
            <w:vAlign w:val="bottom"/>
          </w:tcPr>
          <w:p>
            <w:pPr>
              <w:spacing w:after="0"/>
              <w:rPr>
                <w:sz w:val="1"/>
                <w:szCs w:val="1"/>
                <w:color w:val="auto"/>
              </w:rPr>
            </w:pPr>
          </w:p>
        </w:tc>
      </w:tr>
      <w:tr>
        <w:trPr>
          <w:trHeight w:val="199"/>
        </w:trPr>
        <w:tc>
          <w:tcPr>
            <w:tcW w:w="8020" w:type="dxa"/>
            <w:vAlign w:val="bottom"/>
          </w:tcPr>
          <w:p>
            <w:pPr>
              <w:ind w:left="64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223,510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174,918</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w:t>
            </w:r>
          </w:p>
        </w:tc>
        <w:tc>
          <w:tcPr>
            <w:tcW w:w="0" w:type="dxa"/>
            <w:vAlign w:val="bottom"/>
          </w:tcPr>
          <w:p>
            <w:pPr>
              <w:spacing w:after="0"/>
              <w:rPr>
                <w:sz w:val="1"/>
                <w:szCs w:val="1"/>
                <w:color w:val="auto"/>
              </w:rPr>
            </w:pP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7,791</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advances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w:t>
            </w:r>
          </w:p>
        </w:tc>
        <w:tc>
          <w:tcPr>
            <w:tcW w:w="0" w:type="dxa"/>
            <w:vAlign w:val="bottom"/>
          </w:tcPr>
          <w:p>
            <w:pPr>
              <w:spacing w:after="0"/>
              <w:rPr>
                <w:sz w:val="1"/>
                <w:szCs w:val="1"/>
                <w:color w:val="auto"/>
              </w:rPr>
            </w:pP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4,256</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net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w:t>
            </w:r>
          </w:p>
        </w:tc>
        <w:tc>
          <w:tcPr>
            <w:tcW w:w="0" w:type="dxa"/>
            <w:vAlign w:val="bottom"/>
          </w:tcPr>
          <w:p>
            <w:pPr>
              <w:spacing w:after="0"/>
              <w:rPr>
                <w:sz w:val="1"/>
                <w:szCs w:val="1"/>
                <w:color w:val="auto"/>
              </w:rPr>
            </w:pPr>
          </w:p>
        </w:tc>
      </w:tr>
      <w:tr>
        <w:trPr>
          <w:trHeight w:val="20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197,757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2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18,555</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15,910</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38,342</w:t>
            </w:r>
          </w:p>
        </w:tc>
        <w:tc>
          <w:tcPr>
            <w:tcW w:w="0" w:type="dxa"/>
            <w:vAlign w:val="bottom"/>
          </w:tcPr>
          <w:p>
            <w:pPr>
              <w:spacing w:after="0"/>
              <w:rPr>
                <w:sz w:val="1"/>
                <w:szCs w:val="1"/>
                <w:color w:val="auto"/>
              </w:rPr>
            </w:pPr>
          </w:p>
        </w:tc>
      </w:tr>
      <w:tr>
        <w:trPr>
          <w:trHeight w:val="206"/>
        </w:trPr>
        <w:tc>
          <w:tcPr>
            <w:tcW w:w="8020" w:type="dxa"/>
            <w:vAlign w:val="bottom"/>
          </w:tcPr>
          <w:p>
            <w:pPr>
              <w:ind w:left="340"/>
              <w:spacing w:after="0"/>
              <w:rPr>
                <w:sz w:val="20"/>
                <w:szCs w:val="20"/>
                <w:color w:val="auto"/>
              </w:rPr>
            </w:pPr>
            <w:r>
              <w:rPr>
                <w:rFonts w:ascii="Arial" w:cs="Arial" w:eastAsia="Arial" w:hAnsi="Arial"/>
                <w:sz w:val="16"/>
                <w:szCs w:val="16"/>
                <w:color w:val="auto"/>
              </w:rPr>
              <w:t>Notes payable, current</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Derivative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99"/>
        </w:trPr>
        <w:tc>
          <w:tcPr>
            <w:tcW w:w="8020" w:type="dxa"/>
            <w:vAlign w:val="bottom"/>
          </w:tcPr>
          <w:p>
            <w:pPr>
              <w:ind w:left="64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71,494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54,346</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payable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73,618</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56,664</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line="183" w:lineRule="exact"/>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w w:val="89"/>
              </w:rPr>
              <w:t>Common stock, $0.01 par value; 500,000,000 shares authorized; 62,641,890 and 62,225,250 shares issued at June 30, 2023</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20" w:type="dxa"/>
            <w:vAlign w:val="bottom"/>
            <w:shd w:val="clear" w:color="auto" w:fill="CCEEFF"/>
          </w:tcPr>
          <w:p>
            <w:pPr>
              <w:ind w:left="180"/>
              <w:spacing w:after="0" w:line="157" w:lineRule="exact"/>
              <w:rPr>
                <w:sz w:val="20"/>
                <w:szCs w:val="20"/>
                <w:color w:val="auto"/>
              </w:rPr>
            </w:pPr>
            <w:r>
              <w:rPr>
                <w:rFonts w:ascii="Arial" w:cs="Arial" w:eastAsia="Arial" w:hAnsi="Arial"/>
                <w:sz w:val="16"/>
                <w:szCs w:val="16"/>
                <w:color w:val="auto"/>
                <w:w w:val="90"/>
              </w:rPr>
              <w:t>and December 31, 2022, respectively 56,435,690 and 56,019,050 shares outstanding at June 30, 2023 and December 31,</w:t>
            </w: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2022, respectively</w:t>
            </w:r>
          </w:p>
        </w:tc>
        <w:tc>
          <w:tcPr>
            <w:tcW w:w="2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152,187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145,210</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55,183</w:t>
            </w:r>
          </w:p>
        </w:tc>
        <w:tc>
          <w:tcPr>
            <w:tcW w:w="0" w:type="dxa"/>
            <w:vAlign w:val="bottom"/>
          </w:tcPr>
          <w:p>
            <w:pPr>
              <w:spacing w:after="0"/>
              <w:rPr>
                <w:sz w:val="1"/>
                <w:szCs w:val="1"/>
                <w:color w:val="auto"/>
              </w:rPr>
            </w:pP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12"/>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Treasury stock, 6,206,200 shares at cost as of June 30, 2023, and December 31, 2022, respectively</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(58,928)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(58,928)</w:t>
            </w:r>
          </w:p>
        </w:tc>
        <w:tc>
          <w:tcPr>
            <w:tcW w:w="0" w:type="dxa"/>
            <w:vAlign w:val="bottom"/>
          </w:tcPr>
          <w:p>
            <w:pPr>
              <w:spacing w:after="0"/>
              <w:rPr>
                <w:sz w:val="1"/>
                <w:szCs w:val="1"/>
                <w:color w:val="auto"/>
              </w:rPr>
            </w:pPr>
          </w:p>
        </w:tc>
      </w:tr>
      <w:tr>
        <w:trPr>
          <w:trHeight w:val="199"/>
        </w:trPr>
        <w:tc>
          <w:tcPr>
            <w:tcW w:w="802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Total stockholders’ equity attributable to The Vita Coco Company, Inc.</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171,805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141,093</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197,757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340" w:right="2400"/>
        <w:spacing w:after="0" w:line="276" w:lineRule="auto"/>
        <w:rPr>
          <w:sz w:val="20"/>
          <w:szCs w:val="20"/>
          <w:color w:val="auto"/>
        </w:rPr>
      </w:pPr>
      <w:r>
        <w:rPr>
          <w:rFonts w:ascii="Arial" w:cs="Arial" w:eastAsia="Arial" w:hAnsi="Arial"/>
          <w:sz w:val="17"/>
          <w:szCs w:val="17"/>
          <w:b w:val="1"/>
          <w:bCs w:val="1"/>
          <w:color w:val="auto"/>
        </w:rPr>
        <w:t>THE VITA COCO COMPANY, INC. AND SUBSIDIARIES CONDENSED CONSOLIDATED STATEMENTS OF OPERATIONS (UNAUDITED) (Amounts in thousands, except for share and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7"/>
              </w:rPr>
              <w:t>Three Months Ended June 30,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139,645</w:t>
            </w:r>
          </w:p>
        </w:tc>
        <w:tc>
          <w:tcPr>
            <w:tcW w:w="40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115,305</w:t>
            </w:r>
          </w:p>
        </w:tc>
        <w:tc>
          <w:tcPr>
            <w:tcW w:w="38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249,404</w:t>
            </w:r>
          </w:p>
        </w:tc>
        <w:tc>
          <w:tcPr>
            <w:tcW w:w="38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211,753</w:t>
            </w:r>
          </w:p>
        </w:tc>
        <w:tc>
          <w:tcPr>
            <w:tcW w:w="0" w:type="dxa"/>
            <w:vAlign w:val="bottom"/>
          </w:tcPr>
          <w:p>
            <w:pPr>
              <w:spacing w:after="0"/>
              <w:rPr>
                <w:sz w:val="1"/>
                <w:szCs w:val="1"/>
                <w:color w:val="auto"/>
              </w:rPr>
            </w:pPr>
          </w:p>
        </w:tc>
      </w:tr>
      <w:tr>
        <w:trPr>
          <w:trHeight w:val="222"/>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goods sold</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88,551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86,016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164,649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163,401</w:t>
            </w:r>
          </w:p>
        </w:tc>
        <w:tc>
          <w:tcPr>
            <w:tcW w:w="0" w:type="dxa"/>
            <w:vAlign w:val="bottom"/>
          </w:tcPr>
          <w:p>
            <w:pPr>
              <w:spacing w:after="0"/>
              <w:rPr>
                <w:sz w:val="1"/>
                <w:szCs w:val="1"/>
                <w:color w:val="auto"/>
              </w:rPr>
            </w:pPr>
          </w:p>
        </w:tc>
      </w:tr>
      <w:tr>
        <w:trPr>
          <w:trHeight w:val="215"/>
        </w:trPr>
        <w:tc>
          <w:tcPr>
            <w:tcW w:w="57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rPr>
              <w:t>Gross profit</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51,094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29,289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84,755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48,352</w:t>
            </w:r>
          </w:p>
        </w:tc>
        <w:tc>
          <w:tcPr>
            <w:tcW w:w="0" w:type="dxa"/>
            <w:vAlign w:val="bottom"/>
          </w:tcPr>
          <w:p>
            <w:pPr>
              <w:spacing w:after="0"/>
              <w:rPr>
                <w:sz w:val="1"/>
                <w:szCs w:val="1"/>
                <w:color w:val="auto"/>
              </w:rPr>
            </w:pPr>
          </w:p>
        </w:tc>
      </w:tr>
      <w:tr>
        <w:trPr>
          <w:trHeight w:val="215"/>
        </w:trPr>
        <w:tc>
          <w:tcPr>
            <w:tcW w:w="57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30,249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24,257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57,206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49,058</w:t>
            </w:r>
          </w:p>
        </w:tc>
        <w:tc>
          <w:tcPr>
            <w:tcW w:w="0" w:type="dxa"/>
            <w:vAlign w:val="bottom"/>
          </w:tcPr>
          <w:p>
            <w:pPr>
              <w:spacing w:after="0"/>
              <w:rPr>
                <w:sz w:val="1"/>
                <w:szCs w:val="1"/>
                <w:color w:val="auto"/>
              </w:rPr>
            </w:pPr>
          </w:p>
        </w:tc>
      </w:tr>
      <w:tr>
        <w:trPr>
          <w:trHeight w:val="228"/>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(Loss) from operations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20,845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tcPr>
          <w:p>
            <w:pPr>
              <w:ind w:left="340"/>
              <w:spacing w:after="0"/>
              <w:rPr>
                <w:sz w:val="20"/>
                <w:szCs w:val="20"/>
                <w:color w:val="auto"/>
              </w:rPr>
            </w:pPr>
            <w:r>
              <w:rPr>
                <w:rFonts w:ascii="Arial" w:cs="Arial" w:eastAsia="Arial" w:hAnsi="Arial"/>
                <w:sz w:val="17"/>
                <w:szCs w:val="17"/>
                <w:color w:val="auto"/>
              </w:rPr>
              <w:t>Unrealized gain/(loss) on derivative instruments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5,464</w:t>
            </w:r>
          </w:p>
        </w:tc>
        <w:tc>
          <w:tcPr>
            <w:tcW w:w="0" w:type="dxa"/>
            <w:vAlign w:val="bottom"/>
          </w:tcPr>
          <w:p>
            <w:pPr>
              <w:spacing w:after="0"/>
              <w:rPr>
                <w:sz w:val="1"/>
                <w:szCs w:val="1"/>
                <w:color w:val="auto"/>
              </w:rPr>
            </w:pPr>
          </w:p>
        </w:tc>
      </w:tr>
      <w:tr>
        <w:trPr>
          <w:trHeight w:val="222"/>
        </w:trPr>
        <w:tc>
          <w:tcPr>
            <w:tcW w:w="5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gain/(loss)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29"/>
        </w:trPr>
        <w:tc>
          <w:tcPr>
            <w:tcW w:w="5760" w:type="dxa"/>
            <w:vAlign w:val="bottom"/>
          </w:tcPr>
          <w:p>
            <w:pPr>
              <w:ind w:left="340"/>
              <w:spacing w:after="0"/>
              <w:rPr>
                <w:sz w:val="20"/>
                <w:szCs w:val="20"/>
                <w:color w:val="auto"/>
              </w:rPr>
            </w:pPr>
            <w:r>
              <w:rPr>
                <w:rFonts w:ascii="Arial" w:cs="Arial" w:eastAsia="Arial" w:hAnsi="Arial"/>
                <w:sz w:val="17"/>
                <w:szCs w:val="17"/>
                <w:color w:val="auto"/>
              </w:rPr>
              <w:t>Interest income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15"/>
        </w:trPr>
        <w:tc>
          <w:tcPr>
            <w:tcW w:w="5760" w:type="dxa"/>
            <w:vAlign w:val="bottom"/>
          </w:tcPr>
          <w:p>
            <w:pPr>
              <w:ind w:left="760"/>
              <w:spacing w:after="0"/>
              <w:rPr>
                <w:sz w:val="20"/>
                <w:szCs w:val="20"/>
                <w:color w:val="auto"/>
              </w:rPr>
            </w:pPr>
            <w:r>
              <w:rPr>
                <w:rFonts w:ascii="Arial" w:cs="Arial" w:eastAsia="Arial" w:hAnsi="Arial"/>
                <w:sz w:val="17"/>
                <w:szCs w:val="17"/>
                <w:color w:val="auto"/>
              </w:rPr>
              <w:t>Total other income (expense)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5,247</w:t>
            </w:r>
          </w:p>
        </w:tc>
        <w:tc>
          <w:tcPr>
            <w:tcW w:w="0" w:type="dxa"/>
            <w:vAlign w:val="bottom"/>
          </w:tcPr>
          <w:p>
            <w:pPr>
              <w:spacing w:after="0"/>
              <w:rPr>
                <w:sz w:val="1"/>
                <w:szCs w:val="1"/>
                <w:color w:val="auto"/>
              </w:rPr>
            </w:pPr>
          </w:p>
        </w:tc>
      </w:tr>
      <w:tr>
        <w:trPr>
          <w:trHeight w:val="228"/>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4,541</w:t>
            </w:r>
          </w:p>
        </w:tc>
        <w:tc>
          <w:tcPr>
            <w:tcW w:w="0" w:type="dxa"/>
            <w:vAlign w:val="bottom"/>
          </w:tcPr>
          <w:p>
            <w:pPr>
              <w:spacing w:after="0"/>
              <w:rPr>
                <w:sz w:val="1"/>
                <w:szCs w:val="1"/>
                <w:color w:val="auto"/>
              </w:rPr>
            </w:pPr>
          </w:p>
        </w:tc>
      </w:tr>
      <w:tr>
        <w:trPr>
          <w:trHeight w:val="222"/>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(1,175)</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income</w:t>
            </w:r>
          </w:p>
        </w:tc>
        <w:tc>
          <w:tcPr>
            <w:tcW w:w="280" w:type="dxa"/>
            <w:vAlign w:val="bottom"/>
            <w:shd w:val="clear" w:color="auto" w:fill="CCEEFF"/>
          </w:tcPr>
          <w:p>
            <w:pPr>
              <w:jc w:val="right"/>
              <w:ind w:right="73"/>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17,987</w:t>
            </w:r>
          </w:p>
        </w:tc>
        <w:tc>
          <w:tcPr>
            <w:tcW w:w="400" w:type="dxa"/>
            <w:vAlign w:val="bottom"/>
            <w:gridSpan w:val="2"/>
            <w:shd w:val="clear" w:color="auto" w:fill="CCEEFF"/>
          </w:tcPr>
          <w:p>
            <w:pPr>
              <w:jc w:val="right"/>
              <w:ind w:right="93"/>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1,139</w:t>
            </w:r>
          </w:p>
        </w:tc>
        <w:tc>
          <w:tcPr>
            <w:tcW w:w="380" w:type="dxa"/>
            <w:vAlign w:val="bottom"/>
            <w:gridSpan w:val="2"/>
            <w:shd w:val="clear" w:color="auto" w:fill="CCEEFF"/>
          </w:tcPr>
          <w:p>
            <w:pPr>
              <w:jc w:val="right"/>
              <w:ind w:right="73"/>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24,692</w:t>
            </w:r>
          </w:p>
        </w:tc>
        <w:tc>
          <w:tcPr>
            <w:tcW w:w="380" w:type="dxa"/>
            <w:vAlign w:val="bottom"/>
            <w:gridSpan w:val="2"/>
            <w:shd w:val="clear" w:color="auto" w:fill="CCEEFF"/>
          </w:tcPr>
          <w:p>
            <w:pPr>
              <w:jc w:val="right"/>
              <w:ind w:right="73"/>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3,366</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7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60" w:type="dxa"/>
            <w:vAlign w:val="bottom"/>
          </w:tcPr>
          <w:p>
            <w:pPr>
              <w:ind w:left="340"/>
              <w:spacing w:after="0" w:line="194" w:lineRule="exact"/>
              <w:rPr>
                <w:sz w:val="20"/>
                <w:szCs w:val="20"/>
                <w:color w:val="auto"/>
              </w:rPr>
            </w:pPr>
            <w:r>
              <w:rPr>
                <w:rFonts w:ascii="Arial" w:cs="Arial" w:eastAsia="Arial" w:hAnsi="Arial"/>
                <w:sz w:val="17"/>
                <w:szCs w:val="17"/>
                <w:color w:val="auto"/>
              </w:rPr>
              <w:t>Diluted</w:t>
            </w:r>
          </w:p>
        </w:tc>
        <w:tc>
          <w:tcPr>
            <w:tcW w:w="280" w:type="dxa"/>
            <w:vAlign w:val="bottom"/>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0.31</w:t>
            </w:r>
          </w:p>
        </w:tc>
        <w:tc>
          <w:tcPr>
            <w:tcW w:w="400" w:type="dxa"/>
            <w:vAlign w:val="bottom"/>
            <w:gridSpan w:val="2"/>
          </w:tcPr>
          <w:p>
            <w:pPr>
              <w:jc w:val="right"/>
              <w:ind w:right="93"/>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0.02</w:t>
            </w:r>
          </w:p>
        </w:tc>
        <w:tc>
          <w:tcPr>
            <w:tcW w:w="380" w:type="dxa"/>
            <w:vAlign w:val="bottom"/>
            <w:gridSpan w:val="2"/>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0.42</w:t>
            </w:r>
          </w:p>
        </w:tc>
        <w:tc>
          <w:tcPr>
            <w:tcW w:w="380" w:type="dxa"/>
            <w:vAlign w:val="bottom"/>
            <w:gridSpan w:val="2"/>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number of common shares outstanding</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760" w:type="dxa"/>
            <w:vAlign w:val="bottom"/>
          </w:tcPr>
          <w:p>
            <w:pPr>
              <w:ind w:left="340"/>
              <w:spacing w:after="0"/>
              <w:rPr>
                <w:sz w:val="20"/>
                <w:szCs w:val="20"/>
                <w:color w:val="auto"/>
              </w:rPr>
            </w:pPr>
            <w:r>
              <w:rPr>
                <w:rFonts w:ascii="Arial" w:cs="Arial" w:eastAsia="Arial" w:hAnsi="Arial"/>
                <w:sz w:val="17"/>
                <w:szCs w:val="17"/>
                <w:color w:val="auto"/>
              </w:rPr>
              <w:t>Basic</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56,325,013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55,626,861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56,186,727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55,594,558</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58,854,063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55,804,448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58,103,502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55,752,597</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340" w:right="1800"/>
        <w:spacing w:after="0" w:line="288" w:lineRule="auto"/>
        <w:rPr>
          <w:sz w:val="20"/>
          <w:szCs w:val="20"/>
          <w:color w:val="auto"/>
        </w:rPr>
      </w:pPr>
      <w:r>
        <w:rPr>
          <w:rFonts w:ascii="Arial" w:cs="Arial" w:eastAsia="Arial" w:hAnsi="Arial"/>
          <w:sz w:val="17"/>
          <w:szCs w:val="17"/>
          <w:b w:val="1"/>
          <w:bCs w:val="1"/>
          <w:color w:val="auto"/>
        </w:rPr>
        <w:t>THE VITA COCO COMPANY, INC. AND SUBSIDIARIES CONDENSED CONSOLIDATED STATEMENTS OF COMPREHENSIVE INCOME (UNAUDITED) (Amounts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right"/>
              <w:ind w:right="357"/>
              <w:spacing w:after="0"/>
              <w:rPr>
                <w:sz w:val="20"/>
                <w:szCs w:val="20"/>
                <w:color w:val="auto"/>
              </w:rPr>
            </w:pPr>
            <w:r>
              <w:rPr>
                <w:rFonts w:ascii="Arial" w:cs="Arial" w:eastAsia="Arial" w:hAnsi="Arial"/>
                <w:sz w:val="14"/>
                <w:szCs w:val="14"/>
                <w:b w:val="1"/>
                <w:bCs w:val="1"/>
                <w:color w:val="auto"/>
                <w:w w:val="97"/>
              </w:rPr>
              <w:t>Three Months Ended June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gridSpan w:val="4"/>
          </w:tcPr>
          <w:p>
            <w:pPr>
              <w:jc w:val="right"/>
              <w:ind w:right="417"/>
              <w:spacing w:after="0"/>
              <w:rPr>
                <w:sz w:val="20"/>
                <w:szCs w:val="20"/>
                <w:color w:val="auto"/>
              </w:rPr>
            </w:pPr>
            <w:r>
              <w:rPr>
                <w:rFonts w:ascii="Arial" w:cs="Arial" w:eastAsia="Arial" w:hAnsi="Arial"/>
                <w:sz w:val="14"/>
                <w:szCs w:val="14"/>
                <w:b w:val="1"/>
                <w:bCs w:val="1"/>
                <w:color w:val="auto"/>
              </w:rPr>
              <w:t>Six Months Ended June 30,</w:t>
            </w:r>
          </w:p>
        </w:tc>
      </w:tr>
      <w:tr>
        <w:trPr>
          <w:trHeight w:val="23"/>
        </w:trPr>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6"/>
        </w:trPr>
        <w:tc>
          <w:tcPr>
            <w:tcW w:w="5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17,987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24,692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3,366</w:t>
            </w:r>
          </w:p>
        </w:tc>
      </w:tr>
      <w:tr>
        <w:trPr>
          <w:trHeight w:val="222"/>
        </w:trPr>
        <w:tc>
          <w:tcPr>
            <w:tcW w:w="584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2"/>
        </w:trPr>
        <w:tc>
          <w:tcPr>
            <w:tcW w:w="5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translation adjustment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w:t>
            </w:r>
          </w:p>
        </w:tc>
      </w:tr>
      <w:tr>
        <w:trPr>
          <w:trHeight w:val="215"/>
        </w:trPr>
        <w:tc>
          <w:tcPr>
            <w:tcW w:w="5840" w:type="dxa"/>
            <w:vAlign w:val="bottom"/>
          </w:tcPr>
          <w:p>
            <w:pPr>
              <w:ind w:left="20"/>
              <w:spacing w:after="0"/>
              <w:rPr>
                <w:sz w:val="20"/>
                <w:szCs w:val="20"/>
                <w:color w:val="auto"/>
              </w:rPr>
            </w:pPr>
            <w:r>
              <w:rPr>
                <w:rFonts w:ascii="Arial" w:cs="Arial" w:eastAsia="Arial" w:hAnsi="Arial"/>
                <w:sz w:val="17"/>
                <w:szCs w:val="17"/>
                <w:b w:val="1"/>
                <w:bCs w:val="1"/>
                <w:color w:val="auto"/>
                <w:w w:val="98"/>
              </w:rPr>
              <w:t>Total comprehensive income attributable to The Vita Coco Company, Inc.</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17,923</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943</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24,801</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2,916</w:t>
            </w:r>
          </w:p>
        </w:tc>
      </w:tr>
      <w:tr>
        <w:trPr>
          <w:trHeight w:val="20"/>
        </w:trPr>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10"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THE VITA COCO COMPANY, INC. AND SUBSIDIARIES</w:t>
      </w:r>
    </w:p>
    <w:p>
      <w:pPr>
        <w:spacing w:after="0" w:line="32"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1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(UNAUDITED)</w:t>
      </w:r>
    </w:p>
    <w:p>
      <w:pPr>
        <w:spacing w:after="0" w:line="14" w:lineRule="exact"/>
        <w:rPr>
          <w:sz w:val="20"/>
          <w:szCs w:val="20"/>
          <w:color w:val="auto"/>
        </w:rPr>
      </w:pPr>
    </w:p>
    <w:p>
      <w:pPr>
        <w:jc w:val="center"/>
        <w:ind w:right="-519"/>
        <w:spacing w:after="0"/>
        <w:rPr>
          <w:sz w:val="20"/>
          <w:szCs w:val="20"/>
          <w:color w:val="auto"/>
        </w:rPr>
      </w:pPr>
      <w:r>
        <w:rPr>
          <w:rFonts w:ascii="Arial" w:cs="Arial" w:eastAsia="Arial" w:hAnsi="Arial"/>
          <w:sz w:val="17"/>
          <w:szCs w:val="17"/>
          <w:b w:val="1"/>
          <w:bCs w:val="1"/>
          <w:color w:val="auto"/>
        </w:rPr>
        <w:t>(Amounts in thousands, except for shares)</w:t>
      </w:r>
    </w:p>
    <w:p>
      <w:pPr>
        <w:spacing w:after="0" w:line="200" w:lineRule="exact"/>
        <w:rPr>
          <w:sz w:val="20"/>
          <w:szCs w:val="20"/>
          <w:color w:val="auto"/>
        </w:rPr>
      </w:pPr>
    </w:p>
    <w:p>
      <w:pPr>
        <w:spacing w:after="0" w:line="326" w:lineRule="exact"/>
        <w:rPr>
          <w:sz w:val="20"/>
          <w:szCs w:val="20"/>
          <w:color w:val="auto"/>
        </w:rPr>
      </w:pPr>
    </w:p>
    <w:tbl>
      <w:tblPr>
        <w:tblLayout w:type="fixed"/>
        <w:tblInd w:w="520" w:type="dxa"/>
        <w:tblCellMar>
          <w:top w:w="0" w:type="dxa"/>
          <w:left w:w="0" w:type="dxa"/>
          <w:bottom w:w="0" w:type="dxa"/>
          <w:right w:w="0" w:type="dxa"/>
        </w:tblCellMar>
      </w:tblPr>
      <w:tr>
        <w:trPr>
          <w:trHeight w:val="115"/>
        </w:trPr>
        <w:tc>
          <w:tcPr>
            <w:tcW w:w="1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ind w:right="8"/>
              <w:spacing w:after="0"/>
              <w:rPr>
                <w:sz w:val="20"/>
                <w:szCs w:val="20"/>
                <w:color w:val="auto"/>
              </w:rPr>
            </w:pPr>
            <w:r>
              <w:rPr>
                <w:rFonts w:ascii="Arial" w:cs="Arial" w:eastAsia="Arial" w:hAnsi="Arial"/>
                <w:sz w:val="10"/>
                <w:szCs w:val="10"/>
                <w:b w:val="1"/>
                <w:bCs w:val="1"/>
                <w:color w:val="auto"/>
                <w:w w:val="91"/>
              </w:rPr>
              <w:t>Total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spacing w:after="0" w:line="105" w:lineRule="exact"/>
              <w:rPr>
                <w:sz w:val="20"/>
                <w:szCs w:val="20"/>
                <w:color w:val="auto"/>
              </w:rPr>
            </w:pPr>
            <w:r>
              <w:rPr>
                <w:rFonts w:ascii="Arial" w:cs="Arial" w:eastAsia="Arial" w:hAnsi="Arial"/>
                <w:sz w:val="10"/>
                <w:szCs w:val="10"/>
                <w:b w:val="1"/>
                <w:bCs w:val="1"/>
                <w:color w:val="auto"/>
                <w:w w:val="92"/>
              </w:rPr>
              <w:t>Shareholders’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jc w:val="center"/>
              <w:spacing w:after="0"/>
              <w:rPr>
                <w:sz w:val="20"/>
                <w:szCs w:val="20"/>
                <w:color w:val="auto"/>
              </w:rPr>
            </w:pPr>
            <w:r>
              <w:rPr>
                <w:rFonts w:ascii="Arial" w:cs="Arial" w:eastAsia="Arial" w:hAnsi="Arial"/>
                <w:sz w:val="10"/>
                <w:szCs w:val="10"/>
                <w:b w:val="1"/>
                <w:bCs w:val="1"/>
                <w:color w:val="auto"/>
                <w:w w:val="92"/>
              </w:rPr>
              <w:t>Common Stock</w:t>
            </w:r>
          </w:p>
        </w:tc>
        <w:tc>
          <w:tcPr>
            <w:tcW w:w="80" w:type="dxa"/>
            <w:vAlign w:val="bottom"/>
          </w:tcPr>
          <w:p>
            <w:pPr>
              <w:spacing w:after="0"/>
              <w:rPr>
                <w:sz w:val="11"/>
                <w:szCs w:val="11"/>
                <w:color w:val="auto"/>
              </w:rPr>
            </w:pPr>
          </w:p>
        </w:tc>
        <w:tc>
          <w:tcPr>
            <w:tcW w:w="1120" w:type="dxa"/>
            <w:vAlign w:val="bottom"/>
            <w:gridSpan w:val="4"/>
            <w:vMerge w:val="restart"/>
          </w:tcPr>
          <w:p>
            <w:pPr>
              <w:jc w:val="right"/>
              <w:ind w:right="168"/>
              <w:spacing w:after="0"/>
              <w:rPr>
                <w:sz w:val="20"/>
                <w:szCs w:val="20"/>
                <w:color w:val="auto"/>
              </w:rPr>
            </w:pPr>
            <w:r>
              <w:rPr>
                <w:rFonts w:ascii="Arial" w:cs="Arial" w:eastAsia="Arial" w:hAnsi="Arial"/>
                <w:sz w:val="10"/>
                <w:szCs w:val="10"/>
                <w:b w:val="1"/>
                <w:bCs w:val="1"/>
                <w:color w:val="auto"/>
              </w:rPr>
              <w:t>Total Common</w:t>
            </w:r>
          </w:p>
        </w:tc>
        <w:tc>
          <w:tcPr>
            <w:tcW w:w="80" w:type="dxa"/>
            <w:vAlign w:val="bottom"/>
          </w:tcPr>
          <w:p>
            <w:pPr>
              <w:spacing w:after="0"/>
              <w:rPr>
                <w:sz w:val="11"/>
                <w:szCs w:val="1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2"/>
              </w:rPr>
              <w:t>Accumulated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ind w:right="8"/>
              <w:spacing w:after="0"/>
              <w:rPr>
                <w:sz w:val="20"/>
                <w:szCs w:val="20"/>
                <w:color w:val="auto"/>
              </w:rPr>
            </w:pPr>
            <w:r>
              <w:rPr>
                <w:rFonts w:ascii="Arial" w:cs="Arial" w:eastAsia="Arial" w:hAnsi="Arial"/>
                <w:sz w:val="10"/>
                <w:szCs w:val="10"/>
                <w:b w:val="1"/>
                <w:bCs w:val="1"/>
                <w:color w:val="auto"/>
                <w:w w:val="98"/>
              </w:rPr>
              <w:t>Equity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jc w:val="right"/>
              <w:ind w:right="108"/>
              <w:spacing w:after="0"/>
              <w:rPr>
                <w:sz w:val="20"/>
                <w:szCs w:val="20"/>
                <w:color w:val="auto"/>
              </w:rPr>
            </w:pPr>
            <w:r>
              <w:rPr>
                <w:rFonts w:ascii="Arial" w:cs="Arial" w:eastAsia="Arial" w:hAnsi="Arial"/>
                <w:sz w:val="10"/>
                <w:szCs w:val="10"/>
                <w:b w:val="1"/>
                <w:bCs w:val="1"/>
                <w:color w:val="auto"/>
              </w:rPr>
              <w:t>Non-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20" w:type="dxa"/>
            <w:vAlign w:val="bottom"/>
          </w:tcPr>
          <w:p>
            <w:pPr>
              <w:spacing w:after="0"/>
              <w:rPr>
                <w:sz w:val="9"/>
                <w:szCs w:val="9"/>
                <w:color w:val="auto"/>
              </w:rPr>
            </w:pPr>
          </w:p>
        </w:tc>
        <w:tc>
          <w:tcPr>
            <w:tcW w:w="1100" w:type="dxa"/>
            <w:vAlign w:val="bottom"/>
            <w:gridSpan w:val="4"/>
            <w:vMerge w:val="restart"/>
          </w:tcPr>
          <w:p>
            <w:pPr>
              <w:jc w:val="right"/>
              <w:ind w:right="148"/>
              <w:spacing w:after="0"/>
              <w:rPr>
                <w:sz w:val="20"/>
                <w:szCs w:val="20"/>
                <w:color w:val="auto"/>
              </w:rPr>
            </w:pPr>
            <w:r>
              <w:rPr>
                <w:rFonts w:ascii="Arial" w:cs="Arial" w:eastAsia="Arial" w:hAnsi="Arial"/>
                <w:sz w:val="10"/>
                <w:szCs w:val="10"/>
                <w:b w:val="1"/>
                <w:bCs w:val="1"/>
                <w:color w:val="auto"/>
              </w:rPr>
              <w:t>Common Stock</w:t>
            </w:r>
          </w:p>
        </w:tc>
        <w:tc>
          <w:tcPr>
            <w:tcW w:w="80" w:type="dxa"/>
            <w:vAlign w:val="bottom"/>
          </w:tcPr>
          <w:p>
            <w:pPr>
              <w:spacing w:after="0"/>
              <w:rPr>
                <w:sz w:val="9"/>
                <w:szCs w:val="9"/>
                <w:color w:val="auto"/>
              </w:rPr>
            </w:pPr>
          </w:p>
        </w:tc>
        <w:tc>
          <w:tcPr>
            <w:tcW w:w="1100" w:type="dxa"/>
            <w:vAlign w:val="bottom"/>
            <w:gridSpan w:val="4"/>
          </w:tcPr>
          <w:p>
            <w:pPr>
              <w:jc w:val="center"/>
              <w:spacing w:after="0" w:line="105" w:lineRule="exact"/>
              <w:rPr>
                <w:sz w:val="20"/>
                <w:szCs w:val="20"/>
                <w:color w:val="auto"/>
              </w:rPr>
            </w:pPr>
            <w:r>
              <w:rPr>
                <w:rFonts w:ascii="Arial" w:cs="Arial" w:eastAsia="Arial" w:hAnsi="Arial"/>
                <w:sz w:val="10"/>
                <w:szCs w:val="10"/>
                <w:b w:val="1"/>
                <w:bCs w:val="1"/>
                <w:color w:val="auto"/>
              </w:rPr>
              <w:t>with Exit</w:t>
            </w:r>
          </w:p>
        </w:tc>
        <w:tc>
          <w:tcPr>
            <w:tcW w:w="8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140" w:type="dxa"/>
            <w:vAlign w:val="bottom"/>
            <w:gridSpan w:val="4"/>
            <w:vMerge w:val="restart"/>
          </w:tcPr>
          <w:p>
            <w:pPr>
              <w:ind w:left="240"/>
              <w:spacing w:after="0"/>
              <w:rPr>
                <w:sz w:val="20"/>
                <w:szCs w:val="20"/>
                <w:color w:val="auto"/>
              </w:rPr>
            </w:pPr>
            <w:r>
              <w:rPr>
                <w:rFonts w:ascii="Arial" w:cs="Arial" w:eastAsia="Arial" w:hAnsi="Arial"/>
                <w:sz w:val="10"/>
                <w:szCs w:val="10"/>
                <w:b w:val="1"/>
                <w:bCs w:val="1"/>
                <w:color w:val="auto"/>
              </w:rPr>
              <w:t>Treasury Stock</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center"/>
              <w:ind w:right="28"/>
              <w:spacing w:after="0" w:line="105" w:lineRule="exact"/>
              <w:rPr>
                <w:sz w:val="20"/>
                <w:szCs w:val="20"/>
                <w:color w:val="auto"/>
              </w:rPr>
            </w:pPr>
            <w:r>
              <w:rPr>
                <w:rFonts w:ascii="Arial" w:cs="Arial" w:eastAsia="Arial" w:hAnsi="Arial"/>
                <w:sz w:val="10"/>
                <w:szCs w:val="10"/>
                <w:b w:val="1"/>
                <w:bCs w:val="1"/>
                <w:color w:val="auto"/>
                <w:w w:val="99"/>
              </w:rPr>
              <w:t>Attributable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center"/>
              <w:ind w:right="88"/>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5"/>
        </w:trPr>
        <w:tc>
          <w:tcPr>
            <w:tcW w:w="112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4"/>
          </w:tcPr>
          <w:p>
            <w:pPr>
              <w:jc w:val="center"/>
              <w:spacing w:after="0" w:line="105" w:lineRule="exact"/>
              <w:rPr>
                <w:sz w:val="20"/>
                <w:szCs w:val="20"/>
                <w:color w:val="auto"/>
              </w:rPr>
            </w:pPr>
            <w:r>
              <w:rPr>
                <w:rFonts w:ascii="Arial" w:cs="Arial" w:eastAsia="Arial" w:hAnsi="Arial"/>
                <w:sz w:val="10"/>
                <w:szCs w:val="10"/>
                <w:b w:val="1"/>
                <w:bCs w:val="1"/>
                <w:color w:val="auto"/>
                <w:w w:val="96"/>
              </w:rPr>
              <w:t>Warrants</w:t>
            </w:r>
          </w:p>
        </w:tc>
        <w:tc>
          <w:tcPr>
            <w:tcW w:w="80" w:type="dxa"/>
            <w:vAlign w:val="bottom"/>
          </w:tcPr>
          <w:p>
            <w:pPr>
              <w:spacing w:after="0"/>
              <w:rPr>
                <w:sz w:val="9"/>
                <w:szCs w:val="9"/>
                <w:color w:val="auto"/>
              </w:rPr>
            </w:pPr>
          </w:p>
        </w:tc>
        <w:tc>
          <w:tcPr>
            <w:tcW w:w="720" w:type="dxa"/>
            <w:vAlign w:val="bottom"/>
            <w:gridSpan w:val="3"/>
          </w:tcPr>
          <w:p>
            <w:pPr>
              <w:jc w:val="right"/>
              <w:spacing w:after="0" w:line="105" w:lineRule="exact"/>
              <w:rPr>
                <w:sz w:val="20"/>
                <w:szCs w:val="20"/>
                <w:color w:val="auto"/>
              </w:rPr>
            </w:pPr>
            <w:r>
              <w:rPr>
                <w:rFonts w:ascii="Arial" w:cs="Arial" w:eastAsia="Arial" w:hAnsi="Arial"/>
                <w:sz w:val="10"/>
                <w:szCs w:val="10"/>
                <w:b w:val="1"/>
                <w:bCs w:val="1"/>
                <w:color w:val="auto"/>
              </w:rPr>
              <w:t>Stock</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48"/>
              <w:spacing w:after="0" w:line="105"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w w:val="97"/>
              </w:rPr>
              <w:t>Other</w:t>
            </w:r>
          </w:p>
        </w:tc>
        <w:tc>
          <w:tcPr>
            <w:tcW w:w="11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center"/>
              <w:ind w:right="8"/>
              <w:spacing w:after="0" w:line="105" w:lineRule="exact"/>
              <w:rPr>
                <w:sz w:val="20"/>
                <w:szCs w:val="20"/>
                <w:color w:val="auto"/>
              </w:rPr>
            </w:pPr>
            <w:r>
              <w:rPr>
                <w:rFonts w:ascii="Arial" w:cs="Arial" w:eastAsia="Arial" w:hAnsi="Arial"/>
                <w:sz w:val="10"/>
                <w:szCs w:val="10"/>
                <w:b w:val="1"/>
                <w:bCs w:val="1"/>
                <w:color w:val="auto"/>
                <w:w w:val="97"/>
              </w:rPr>
              <w:t>to The Vita</w:t>
            </w:r>
          </w:p>
        </w:tc>
        <w:tc>
          <w:tcPr>
            <w:tcW w:w="80" w:type="dxa"/>
            <w:vAlign w:val="bottom"/>
          </w:tcPr>
          <w:p>
            <w:pPr>
              <w:spacing w:after="0"/>
              <w:rPr>
                <w:sz w:val="9"/>
                <w:szCs w:val="9"/>
                <w:color w:val="auto"/>
              </w:rPr>
            </w:pPr>
          </w:p>
        </w:tc>
        <w:tc>
          <w:tcPr>
            <w:tcW w:w="560" w:type="dxa"/>
            <w:vAlign w:val="bottom"/>
            <w:gridSpan w:val="2"/>
          </w:tcPr>
          <w:p>
            <w:pPr>
              <w:jc w:val="right"/>
              <w:spacing w:after="0" w:line="105" w:lineRule="exact"/>
              <w:rPr>
                <w:sz w:val="20"/>
                <w:szCs w:val="20"/>
                <w:color w:val="auto"/>
              </w:rPr>
            </w:pPr>
            <w:r>
              <w:rPr>
                <w:rFonts w:ascii="Arial" w:cs="Arial" w:eastAsia="Arial" w:hAnsi="Arial"/>
                <w:sz w:val="10"/>
                <w:szCs w:val="10"/>
                <w:b w:val="1"/>
                <w:bCs w:val="1"/>
                <w:color w:val="auto"/>
                <w:w w:val="96"/>
              </w:rPr>
              <w:t>controlling</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1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jc w:val="right"/>
              <w:ind w:right="49"/>
              <w:spacing w:after="0" w:line="53" w:lineRule="exact"/>
              <w:rPr>
                <w:sz w:val="20"/>
                <w:szCs w:val="20"/>
                <w:color w:val="auto"/>
              </w:rPr>
            </w:pPr>
            <w:r>
              <w:rPr>
                <w:rFonts w:ascii="Arial" w:cs="Arial" w:eastAsia="Arial" w:hAnsi="Arial"/>
                <w:sz w:val="6"/>
                <w:szCs w:val="6"/>
                <w:b w:val="1"/>
                <w:bCs w:val="1"/>
                <w:color w:val="auto"/>
              </w:rPr>
              <w:t>Retained</w:t>
            </w:r>
          </w:p>
        </w:tc>
        <w:tc>
          <w:tcPr>
            <w:tcW w:w="80" w:type="dxa"/>
            <w:vAlign w:val="bottom"/>
          </w:tcPr>
          <w:p>
            <w:pPr>
              <w:spacing w:after="0"/>
              <w:rPr>
                <w:sz w:val="4"/>
                <w:szCs w:val="4"/>
                <w:color w:val="auto"/>
              </w:rPr>
            </w:pPr>
          </w:p>
        </w:tc>
        <w:tc>
          <w:tcPr>
            <w:tcW w:w="860" w:type="dxa"/>
            <w:vAlign w:val="bottom"/>
            <w:gridSpan w:val="3"/>
          </w:tcPr>
          <w:p>
            <w:pPr>
              <w:jc w:val="center"/>
              <w:ind w:right="80"/>
              <w:spacing w:after="0" w:line="53" w:lineRule="exact"/>
              <w:rPr>
                <w:sz w:val="20"/>
                <w:szCs w:val="20"/>
                <w:color w:val="auto"/>
              </w:rPr>
            </w:pPr>
            <w:r>
              <w:rPr>
                <w:rFonts w:ascii="Arial" w:cs="Arial" w:eastAsia="Arial" w:hAnsi="Arial"/>
                <w:sz w:val="6"/>
                <w:szCs w:val="6"/>
                <w:b w:val="1"/>
                <w:bCs w:val="1"/>
                <w:color w:val="auto"/>
              </w:rPr>
              <w:t>Comprehensive</w:t>
            </w: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jc w:val="center"/>
              <w:ind w:right="8"/>
              <w:spacing w:after="0" w:line="53" w:lineRule="exact"/>
              <w:rPr>
                <w:sz w:val="20"/>
                <w:szCs w:val="20"/>
                <w:color w:val="auto"/>
              </w:rPr>
            </w:pPr>
            <w:r>
              <w:rPr>
                <w:rFonts w:ascii="Arial" w:cs="Arial" w:eastAsia="Arial" w:hAnsi="Arial"/>
                <w:sz w:val="6"/>
                <w:szCs w:val="6"/>
                <w:b w:val="1"/>
                <w:bCs w:val="1"/>
                <w:color w:val="auto"/>
              </w:rPr>
              <w:t>Coco</w:t>
            </w:r>
          </w:p>
        </w:tc>
        <w:tc>
          <w:tcPr>
            <w:tcW w:w="80" w:type="dxa"/>
            <w:vAlign w:val="bottom"/>
          </w:tcPr>
          <w:p>
            <w:pPr>
              <w:spacing w:after="0"/>
              <w:rPr>
                <w:sz w:val="4"/>
                <w:szCs w:val="4"/>
                <w:color w:val="auto"/>
              </w:rPr>
            </w:pPr>
          </w:p>
        </w:tc>
        <w:tc>
          <w:tcPr>
            <w:tcW w:w="560" w:type="dxa"/>
            <w:vAlign w:val="bottom"/>
            <w:gridSpan w:val="2"/>
          </w:tcPr>
          <w:p>
            <w:pPr>
              <w:jc w:val="right"/>
              <w:spacing w:after="0" w:line="53" w:lineRule="exact"/>
              <w:rPr>
                <w:sz w:val="20"/>
                <w:szCs w:val="20"/>
                <w:color w:val="auto"/>
              </w:rPr>
            </w:pPr>
            <w:r>
              <w:rPr>
                <w:rFonts w:ascii="Arial" w:cs="Arial" w:eastAsia="Arial" w:hAnsi="Arial"/>
                <w:sz w:val="6"/>
                <w:szCs w:val="6"/>
                <w:b w:val="1"/>
                <w:bCs w:val="1"/>
                <w:color w:val="auto"/>
              </w:rPr>
              <w:t>Interest in</w:t>
            </w:r>
          </w:p>
        </w:tc>
        <w:tc>
          <w:tcPr>
            <w:tcW w:w="80" w:type="dxa"/>
            <w:vAlign w:val="bottom"/>
          </w:tcPr>
          <w:p>
            <w:pPr>
              <w:spacing w:after="0"/>
              <w:rPr>
                <w:sz w:val="4"/>
                <w:szCs w:val="4"/>
                <w:color w:val="auto"/>
              </w:rPr>
            </w:pPr>
          </w:p>
        </w:tc>
        <w:tc>
          <w:tcPr>
            <w:tcW w:w="700" w:type="dxa"/>
            <w:vAlign w:val="bottom"/>
            <w:gridSpan w:val="2"/>
          </w:tcPr>
          <w:p>
            <w:pPr>
              <w:jc w:val="center"/>
              <w:spacing w:after="0" w:line="53" w:lineRule="exact"/>
              <w:rPr>
                <w:sz w:val="20"/>
                <w:szCs w:val="20"/>
                <w:color w:val="auto"/>
              </w:rPr>
            </w:pPr>
            <w:r>
              <w:rPr>
                <w:rFonts w:ascii="Arial" w:cs="Arial" w:eastAsia="Arial" w:hAnsi="Arial"/>
                <w:sz w:val="6"/>
                <w:szCs w:val="6"/>
                <w:b w:val="1"/>
                <w:bCs w:val="1"/>
                <w:color w:val="auto"/>
              </w:rPr>
              <w:t>Shareholders’</w:t>
            </w: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540" w:type="dxa"/>
            <w:vAlign w:val="bottom"/>
          </w:tcPr>
          <w:p>
            <w:pPr>
              <w:jc w:val="right"/>
              <w:ind w:right="68"/>
              <w:spacing w:after="0"/>
              <w:rPr>
                <w:sz w:val="20"/>
                <w:szCs w:val="20"/>
                <w:color w:val="auto"/>
              </w:rPr>
            </w:pPr>
            <w:r>
              <w:rPr>
                <w:rFonts w:ascii="Arial" w:cs="Arial" w:eastAsia="Arial" w:hAnsi="Arial"/>
                <w:sz w:val="10"/>
                <w:szCs w:val="10"/>
                <w:b w:val="1"/>
                <w:bCs w:val="1"/>
                <w:color w:val="auto"/>
              </w:rPr>
              <w:t>Shares</w:t>
            </w:r>
          </w:p>
        </w:tc>
        <w:tc>
          <w:tcPr>
            <w:tcW w:w="16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w w:val="95"/>
              </w:rPr>
              <w:t>Amount</w:t>
            </w:r>
          </w:p>
        </w:tc>
        <w:tc>
          <w:tcPr>
            <w:tcW w:w="80" w:type="dxa"/>
            <w:vAlign w:val="bottom"/>
          </w:tcPr>
          <w:p>
            <w:pPr>
              <w:spacing w:after="0"/>
              <w:rPr>
                <w:sz w:val="12"/>
                <w:szCs w:val="12"/>
                <w:color w:val="auto"/>
              </w:rPr>
            </w:pPr>
          </w:p>
        </w:tc>
        <w:tc>
          <w:tcPr>
            <w:tcW w:w="540" w:type="dxa"/>
            <w:vAlign w:val="bottom"/>
          </w:tcPr>
          <w:p>
            <w:pPr>
              <w:jc w:val="right"/>
              <w:ind w:right="68"/>
              <w:spacing w:after="0"/>
              <w:rPr>
                <w:sz w:val="20"/>
                <w:szCs w:val="20"/>
                <w:color w:val="auto"/>
              </w:rPr>
            </w:pPr>
            <w:r>
              <w:rPr>
                <w:rFonts w:ascii="Arial" w:cs="Arial" w:eastAsia="Arial" w:hAnsi="Arial"/>
                <w:sz w:val="10"/>
                <w:szCs w:val="10"/>
                <w:b w:val="1"/>
                <w:bCs w:val="1"/>
                <w:color w:val="auto"/>
              </w:rPr>
              <w:t>Shares</w:t>
            </w:r>
          </w:p>
        </w:tc>
        <w:tc>
          <w:tcPr>
            <w:tcW w:w="16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w w:val="95"/>
              </w:rPr>
              <w:t>Amount</w:t>
            </w:r>
          </w:p>
        </w:tc>
        <w:tc>
          <w:tcPr>
            <w:tcW w:w="80" w:type="dxa"/>
            <w:vAlign w:val="bottom"/>
          </w:tcPr>
          <w:p>
            <w:pPr>
              <w:spacing w:after="0"/>
              <w:rPr>
                <w:sz w:val="12"/>
                <w:szCs w:val="12"/>
                <w:color w:val="auto"/>
              </w:rPr>
            </w:pPr>
          </w:p>
        </w:tc>
        <w:tc>
          <w:tcPr>
            <w:tcW w:w="560" w:type="dxa"/>
            <w:vAlign w:val="bottom"/>
          </w:tcPr>
          <w:p>
            <w:pPr>
              <w:jc w:val="right"/>
              <w:ind w:right="88"/>
              <w:spacing w:after="0"/>
              <w:rPr>
                <w:sz w:val="20"/>
                <w:szCs w:val="20"/>
                <w:color w:val="auto"/>
              </w:rPr>
            </w:pPr>
            <w:r>
              <w:rPr>
                <w:rFonts w:ascii="Arial" w:cs="Arial" w:eastAsia="Arial" w:hAnsi="Arial"/>
                <w:sz w:val="10"/>
                <w:szCs w:val="10"/>
                <w:b w:val="1"/>
                <w:bCs w:val="1"/>
                <w:color w:val="auto"/>
              </w:rPr>
              <w:t>Shares</w:t>
            </w:r>
          </w:p>
        </w:tc>
        <w:tc>
          <w:tcPr>
            <w:tcW w:w="16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w w:val="95"/>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48"/>
              <w:spacing w:after="0"/>
              <w:rPr>
                <w:sz w:val="20"/>
                <w:szCs w:val="20"/>
                <w:color w:val="auto"/>
              </w:rPr>
            </w:pPr>
            <w:r>
              <w:rPr>
                <w:rFonts w:ascii="Arial" w:cs="Arial" w:eastAsia="Arial" w:hAnsi="Arial"/>
                <w:sz w:val="10"/>
                <w:szCs w:val="10"/>
                <w:b w:val="1"/>
                <w:bCs w:val="1"/>
                <w:color w:val="auto"/>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49"/>
              <w:spacing w:after="0"/>
              <w:rPr>
                <w:sz w:val="20"/>
                <w:szCs w:val="20"/>
                <w:color w:val="auto"/>
              </w:rPr>
            </w:pPr>
            <w:r>
              <w:rPr>
                <w:rFonts w:ascii="Arial" w:cs="Arial" w:eastAsia="Arial" w:hAnsi="Arial"/>
                <w:sz w:val="10"/>
                <w:szCs w:val="10"/>
                <w:b w:val="1"/>
                <w:bCs w:val="1"/>
                <w:color w:val="auto"/>
                <w:w w:val="93"/>
              </w:rPr>
              <w:t>Earnings</w:t>
            </w:r>
          </w:p>
        </w:tc>
        <w:tc>
          <w:tcPr>
            <w:tcW w:w="80" w:type="dxa"/>
            <w:vAlign w:val="bottom"/>
          </w:tcPr>
          <w:p>
            <w:pPr>
              <w:spacing w:after="0"/>
              <w:rPr>
                <w:sz w:val="12"/>
                <w:szCs w:val="12"/>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2"/>
              </w:rPr>
              <w:t>Income / (Loss)</w:t>
            </w:r>
          </w:p>
        </w:tc>
        <w:tc>
          <w:tcPr>
            <w:tcW w:w="540" w:type="dxa"/>
            <w:vAlign w:val="bottom"/>
          </w:tcPr>
          <w:p>
            <w:pPr>
              <w:jc w:val="right"/>
              <w:ind w:right="68"/>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2"/>
                <w:szCs w:val="12"/>
                <w:color w:val="auto"/>
              </w:rPr>
            </w:pP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w w:val="96"/>
              </w:rPr>
              <w:t>Company, Inc.</w:t>
            </w:r>
          </w:p>
        </w:tc>
        <w:tc>
          <w:tcPr>
            <w:tcW w:w="8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0"/>
                <w:szCs w:val="10"/>
                <w:b w:val="1"/>
                <w:bCs w:val="1"/>
                <w:color w:val="auto"/>
                <w:w w:val="97"/>
              </w:rPr>
              <w:t>Subsidiary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ind w:right="88"/>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1120" w:type="dxa"/>
            <w:vAlign w:val="bottom"/>
            <w:shd w:val="clear" w:color="auto" w:fill="CCEEFF"/>
          </w:tcPr>
          <w:p>
            <w:pPr>
              <w:ind w:left="20"/>
              <w:spacing w:after="0" w:line="98" w:lineRule="exact"/>
              <w:rPr>
                <w:sz w:val="20"/>
                <w:szCs w:val="20"/>
                <w:color w:val="auto"/>
              </w:rPr>
            </w:pPr>
            <w:r>
              <w:rPr>
                <w:rFonts w:ascii="Arial" w:cs="Arial" w:eastAsia="Arial" w:hAnsi="Arial"/>
                <w:sz w:val="10"/>
                <w:szCs w:val="10"/>
                <w:b w:val="1"/>
                <w:bCs w:val="1"/>
                <w:color w:val="auto"/>
              </w:rPr>
              <w:t>Balance at</w:t>
            </w: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91"/>
              </w:rPr>
              <w:t>53,651,477</w:t>
            </w:r>
          </w:p>
        </w:tc>
        <w:tc>
          <w:tcPr>
            <w:tcW w:w="80" w:type="dxa"/>
            <w:vAlign w:val="bottom"/>
            <w:vMerge w:val="restart"/>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537</w:t>
            </w:r>
          </w:p>
        </w:tc>
        <w:tc>
          <w:tcPr>
            <w:tcW w:w="80" w:type="dxa"/>
            <w:vAlign w:val="bottom"/>
            <w:vMerge w:val="restart"/>
            <w:shd w:val="clear" w:color="auto" w:fill="CCEEFF"/>
          </w:tcPr>
          <w:p>
            <w:pPr>
              <w:spacing w:after="0"/>
              <w:rPr>
                <w:sz w:val="8"/>
                <w:szCs w:val="8"/>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8,113,105</w:t>
            </w:r>
          </w:p>
        </w:tc>
        <w:tc>
          <w:tcPr>
            <w:tcW w:w="60" w:type="dxa"/>
            <w:vAlign w:val="bottom"/>
            <w:vMerge w:val="restart"/>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81</w:t>
            </w:r>
          </w:p>
        </w:tc>
        <w:tc>
          <w:tcPr>
            <w:tcW w:w="80" w:type="dxa"/>
            <w:vAlign w:val="bottom"/>
            <w:vMerge w:val="restart"/>
            <w:shd w:val="clear" w:color="auto" w:fill="CCEEFF"/>
          </w:tcPr>
          <w:p>
            <w:pPr>
              <w:spacing w:after="0"/>
              <w:rPr>
                <w:sz w:val="8"/>
                <w:szCs w:val="8"/>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95"/>
              </w:rPr>
              <w:t>61,764,582</w:t>
            </w:r>
          </w:p>
        </w:tc>
        <w:tc>
          <w:tcPr>
            <w:tcW w:w="80" w:type="dxa"/>
            <w:vAlign w:val="bottom"/>
            <w:vMerge w:val="restart"/>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618</w:t>
            </w:r>
          </w:p>
        </w:tc>
        <w:tc>
          <w:tcPr>
            <w:tcW w:w="80" w:type="dxa"/>
            <w:vAlign w:val="bottom"/>
            <w:vMerge w:val="restart"/>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134,730</w:t>
            </w:r>
          </w:p>
        </w:tc>
        <w:tc>
          <w:tcPr>
            <w:tcW w:w="80" w:type="dxa"/>
            <w:vAlign w:val="bottom"/>
            <w:vMerge w:val="restart"/>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47,369</w:t>
            </w:r>
          </w:p>
        </w:tc>
        <w:tc>
          <w:tcPr>
            <w:tcW w:w="80" w:type="dxa"/>
            <w:vAlign w:val="bottom"/>
            <w:vMerge w:val="restart"/>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(616)</w:t>
            </w:r>
          </w:p>
        </w:tc>
        <w:tc>
          <w:tcPr>
            <w:tcW w:w="8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6,206,200</w:t>
            </w:r>
          </w:p>
        </w:tc>
        <w:tc>
          <w:tcPr>
            <w:tcW w:w="80" w:type="dxa"/>
            <w:vAlign w:val="bottom"/>
            <w:vMerge w:val="restart"/>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shd w:val="clear" w:color="auto" w:fill="CCEEFF"/>
          </w:tcPr>
          <w:p>
            <w:pPr>
              <w:ind w:left="60"/>
              <w:spacing w:after="0"/>
              <w:rPr>
                <w:sz w:val="20"/>
                <w:szCs w:val="20"/>
                <w:color w:val="auto"/>
              </w:rPr>
            </w:pPr>
            <w:r>
              <w:rPr>
                <w:rFonts w:ascii="Arial" w:cs="Arial" w:eastAsia="Arial" w:hAnsi="Arial"/>
                <w:sz w:val="10"/>
                <w:szCs w:val="10"/>
                <w:b w:val="1"/>
                <w:bCs w:val="1"/>
                <w:color w:val="auto"/>
              </w:rPr>
              <w:t>(58,928)</w:t>
            </w:r>
          </w:p>
        </w:tc>
        <w:tc>
          <w:tcPr>
            <w:tcW w:w="80" w:type="dxa"/>
            <w:vAlign w:val="bottom"/>
            <w:vMerge w:val="restart"/>
            <w:shd w:val="clear" w:color="auto" w:fill="CCEEFF"/>
          </w:tcPr>
          <w:p>
            <w:pPr>
              <w:spacing w:after="0"/>
              <w:rPr>
                <w:sz w:val="8"/>
                <w:szCs w:val="8"/>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123,173</w:t>
            </w:r>
          </w:p>
        </w:tc>
        <w:tc>
          <w:tcPr>
            <w:tcW w:w="80" w:type="dxa"/>
            <w:vAlign w:val="bottom"/>
            <w:vMerge w:val="restart"/>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vMerge w:val="restart"/>
            <w:shd w:val="clear" w:color="auto" w:fill="CCEEFF"/>
          </w:tcPr>
          <w:p>
            <w:pPr>
              <w:spacing w:after="0"/>
              <w:rPr>
                <w:sz w:val="8"/>
                <w:szCs w:val="8"/>
                <w:color w:val="auto"/>
              </w:rPr>
            </w:pPr>
          </w:p>
        </w:tc>
        <w:tc>
          <w:tcPr>
            <w:tcW w:w="140" w:type="dxa"/>
            <w:vAlign w:val="bottom"/>
            <w:vMerge w:val="restart"/>
            <w:shd w:val="clear" w:color="auto" w:fill="CCEEFF"/>
          </w:tcPr>
          <w:p>
            <w:pPr>
              <w:jc w:val="right"/>
              <w:ind w:right="15"/>
              <w:spacing w:after="0"/>
              <w:rPr>
                <w:sz w:val="20"/>
                <w:szCs w:val="20"/>
                <w:color w:val="auto"/>
              </w:rPr>
            </w:pPr>
            <w:r>
              <w:rPr>
                <w:rFonts w:ascii="Arial" w:cs="Arial" w:eastAsia="Arial" w:hAnsi="Arial"/>
                <w:sz w:val="10"/>
                <w:szCs w:val="10"/>
                <w:b w:val="1"/>
                <w:bCs w:val="1"/>
                <w:color w:val="auto"/>
              </w:rPr>
              <w:t>$</w:t>
            </w: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123,173</w:t>
            </w:r>
          </w:p>
        </w:tc>
        <w:tc>
          <w:tcPr>
            <w:tcW w:w="0" w:type="dxa"/>
            <w:vAlign w:val="bottom"/>
          </w:tcPr>
          <w:p>
            <w:pPr>
              <w:spacing w:after="0"/>
              <w:rPr>
                <w:sz w:val="1"/>
                <w:szCs w:val="1"/>
                <w:color w:val="auto"/>
              </w:rPr>
            </w:pPr>
          </w:p>
        </w:tc>
      </w:tr>
      <w:tr>
        <w:trPr>
          <w:trHeight w:val="139"/>
        </w:trPr>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2021</w:t>
            </w: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auto"/>
            </w:tcBorders>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auto"/>
            </w:tcBorders>
            <w:vMerge w:val="continue"/>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auto"/>
            </w:tcBorders>
            <w:vMerge w:val="continue"/>
            <w:shd w:val="clear" w:color="auto" w:fill="CCEEFF"/>
          </w:tcPr>
          <w:p>
            <w:pPr>
              <w:spacing w:after="0"/>
              <w:rPr>
                <w:sz w:val="12"/>
                <w:szCs w:val="12"/>
                <w:color w:val="auto"/>
              </w:rPr>
            </w:pPr>
          </w:p>
        </w:tc>
        <w:tc>
          <w:tcPr>
            <w:tcW w:w="4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auto"/>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12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5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2,227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2,227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8"/>
              <w:spacing w:after="0"/>
              <w:rPr>
                <w:sz w:val="20"/>
                <w:szCs w:val="20"/>
                <w:color w:val="auto"/>
              </w:rPr>
            </w:pPr>
            <w:r>
              <w:rPr>
                <w:rFonts w:ascii="Arial" w:cs="Arial" w:eastAsia="Arial" w:hAnsi="Arial"/>
                <w:sz w:val="10"/>
                <w:szCs w:val="10"/>
                <w:color w:val="auto"/>
              </w:rPr>
              <w:t>2,227</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12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color w:val="auto"/>
              </w:rPr>
              <w:t>Stock-based</w:t>
            </w: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2,386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2,386</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2,386</w:t>
            </w:r>
          </w:p>
        </w:tc>
        <w:tc>
          <w:tcPr>
            <w:tcW w:w="0" w:type="dxa"/>
            <w:vAlign w:val="bottom"/>
          </w:tcPr>
          <w:p>
            <w:pPr>
              <w:spacing w:after="0"/>
              <w:rPr>
                <w:sz w:val="1"/>
                <w:szCs w:val="1"/>
                <w:color w:val="auto"/>
              </w:rPr>
            </w:pPr>
          </w:p>
        </w:tc>
      </w:tr>
      <w:tr>
        <w:trPr>
          <w:trHeight w:val="133"/>
        </w:trPr>
        <w:tc>
          <w:tcPr>
            <w:tcW w:w="1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compensation</w:t>
            </w:r>
          </w:p>
        </w:tc>
        <w:tc>
          <w:tcPr>
            <w:tcW w:w="5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vMerge w:val="continue"/>
            <w:shd w:val="clear" w:color="auto" w:fill="CCEEFF"/>
          </w:tcPr>
          <w:p>
            <w:pPr>
              <w:spacing w:after="0"/>
              <w:rPr>
                <w:sz w:val="11"/>
                <w:szCs w:val="11"/>
                <w:color w:val="auto"/>
              </w:rPr>
            </w:pPr>
          </w:p>
        </w:tc>
        <w:tc>
          <w:tcPr>
            <w:tcW w:w="5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Arial" w:cs="Arial" w:eastAsia="Arial" w:hAnsi="Arial"/>
                <w:sz w:val="10"/>
                <w:szCs w:val="10"/>
                <w:color w:val="auto"/>
                <w:w w:val="97"/>
              </w:rPr>
              <w:t>Exercise of stock options</w:t>
            </w:r>
          </w:p>
        </w:tc>
        <w:tc>
          <w:tcPr>
            <w:tcW w:w="540" w:type="dxa"/>
            <w:vAlign w:val="bottom"/>
          </w:tcPr>
          <w:p>
            <w:pPr>
              <w:jc w:val="right"/>
              <w:ind w:right="8"/>
              <w:spacing w:after="0"/>
              <w:rPr>
                <w:sz w:val="20"/>
                <w:szCs w:val="20"/>
                <w:color w:val="auto"/>
              </w:rPr>
            </w:pPr>
            <w:r>
              <w:rPr>
                <w:rFonts w:ascii="Arial" w:cs="Arial" w:eastAsia="Arial" w:hAnsi="Arial"/>
                <w:sz w:val="10"/>
                <w:szCs w:val="10"/>
                <w:color w:val="auto"/>
              </w:rPr>
              <w:t>26,845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8"/>
              <w:spacing w:after="0"/>
              <w:rPr>
                <w:sz w:val="20"/>
                <w:szCs w:val="20"/>
                <w:color w:val="auto"/>
              </w:rPr>
            </w:pPr>
            <w:r>
              <w:rPr>
                <w:rFonts w:ascii="Arial" w:cs="Arial" w:eastAsia="Arial" w:hAnsi="Arial"/>
                <w:sz w:val="10"/>
                <w:szCs w:val="10"/>
                <w:color w:val="auto"/>
              </w:rPr>
              <w:t>26,845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151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151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8"/>
              <w:spacing w:after="0"/>
              <w:rPr>
                <w:sz w:val="20"/>
                <w:szCs w:val="20"/>
                <w:color w:val="auto"/>
              </w:rPr>
            </w:pPr>
            <w:r>
              <w:rPr>
                <w:rFonts w:ascii="Arial" w:cs="Arial" w:eastAsia="Arial" w:hAnsi="Arial"/>
                <w:sz w:val="10"/>
                <w:szCs w:val="10"/>
                <w:color w:val="auto"/>
              </w:rPr>
              <w:t>151</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12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color w:val="auto"/>
              </w:rPr>
              <w:t>Foreign currency</w:t>
            </w: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(254)</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(254)</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(254)</w:t>
            </w:r>
          </w:p>
        </w:tc>
        <w:tc>
          <w:tcPr>
            <w:tcW w:w="0" w:type="dxa"/>
            <w:vAlign w:val="bottom"/>
          </w:tcPr>
          <w:p>
            <w:pPr>
              <w:spacing w:after="0"/>
              <w:rPr>
                <w:sz w:val="1"/>
                <w:szCs w:val="1"/>
                <w:color w:val="auto"/>
              </w:rPr>
            </w:pPr>
          </w:p>
        </w:tc>
      </w:tr>
      <w:tr>
        <w:trPr>
          <w:trHeight w:val="133"/>
        </w:trPr>
        <w:tc>
          <w:tcPr>
            <w:tcW w:w="1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translation adjustment</w:t>
            </w:r>
          </w:p>
        </w:tc>
        <w:tc>
          <w:tcPr>
            <w:tcW w:w="5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20" w:type="dxa"/>
            <w:vAlign w:val="bottom"/>
          </w:tcPr>
          <w:p>
            <w:pPr>
              <w:ind w:left="20"/>
              <w:spacing w:after="0" w:line="105" w:lineRule="exact"/>
              <w:rPr>
                <w:sz w:val="20"/>
                <w:szCs w:val="20"/>
                <w:color w:val="auto"/>
              </w:rPr>
            </w:pPr>
            <w:r>
              <w:rPr>
                <w:rFonts w:ascii="Arial" w:cs="Arial" w:eastAsia="Arial" w:hAnsi="Arial"/>
                <w:sz w:val="10"/>
                <w:szCs w:val="10"/>
                <w:b w:val="1"/>
                <w:bCs w:val="1"/>
                <w:color w:val="auto"/>
              </w:rPr>
              <w:t>Balance at March 31,</w:t>
            </w:r>
          </w:p>
        </w:tc>
        <w:tc>
          <w:tcPr>
            <w:tcW w:w="54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w w:val="91"/>
              </w:rPr>
              <w:t>53,678,322</w:t>
            </w:r>
          </w:p>
        </w:tc>
        <w:tc>
          <w:tcPr>
            <w:tcW w:w="16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537</w:t>
            </w:r>
          </w:p>
        </w:tc>
        <w:tc>
          <w:tcPr>
            <w:tcW w:w="620" w:type="dxa"/>
            <w:vAlign w:val="bottom"/>
            <w:gridSpan w:val="2"/>
            <w:vMerge w:val="restart"/>
          </w:tcPr>
          <w:p>
            <w:pPr>
              <w:jc w:val="right"/>
              <w:ind w:right="8"/>
              <w:spacing w:after="0"/>
              <w:rPr>
                <w:sz w:val="20"/>
                <w:szCs w:val="20"/>
                <w:color w:val="auto"/>
              </w:rPr>
            </w:pPr>
            <w:r>
              <w:rPr>
                <w:rFonts w:ascii="Arial" w:cs="Arial" w:eastAsia="Arial" w:hAnsi="Arial"/>
                <w:sz w:val="10"/>
                <w:szCs w:val="10"/>
                <w:b w:val="1"/>
                <w:bCs w:val="1"/>
                <w:color w:val="auto"/>
              </w:rPr>
              <w:t>8,113,105</w:t>
            </w:r>
          </w:p>
        </w:tc>
        <w:tc>
          <w:tcPr>
            <w:tcW w:w="16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81</w:t>
            </w:r>
          </w:p>
        </w:tc>
        <w:tc>
          <w:tcPr>
            <w:tcW w:w="640" w:type="dxa"/>
            <w:vAlign w:val="bottom"/>
            <w:gridSpan w:val="2"/>
            <w:vMerge w:val="restart"/>
          </w:tcPr>
          <w:p>
            <w:pPr>
              <w:jc w:val="right"/>
              <w:ind w:right="8"/>
              <w:spacing w:after="0"/>
              <w:rPr>
                <w:sz w:val="20"/>
                <w:szCs w:val="20"/>
                <w:color w:val="auto"/>
              </w:rPr>
            </w:pPr>
            <w:r>
              <w:rPr>
                <w:rFonts w:ascii="Arial" w:cs="Arial" w:eastAsia="Arial" w:hAnsi="Arial"/>
                <w:sz w:val="10"/>
                <w:szCs w:val="10"/>
                <w:b w:val="1"/>
                <w:bCs w:val="1"/>
                <w:color w:val="auto"/>
              </w:rPr>
              <w:t>61,791,427</w:t>
            </w:r>
          </w:p>
        </w:tc>
        <w:tc>
          <w:tcPr>
            <w:tcW w:w="16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618</w:t>
            </w:r>
          </w:p>
        </w:tc>
        <w:tc>
          <w:tcPr>
            <w:tcW w:w="18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137,267</w:t>
            </w:r>
          </w:p>
        </w:tc>
        <w:tc>
          <w:tcPr>
            <w:tcW w:w="16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2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49,596</w:t>
            </w:r>
          </w:p>
        </w:tc>
        <w:tc>
          <w:tcPr>
            <w:tcW w:w="16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(870)</w:t>
            </w:r>
          </w:p>
        </w:tc>
        <w:tc>
          <w:tcPr>
            <w:tcW w:w="80" w:type="dxa"/>
            <w:vAlign w:val="bottom"/>
          </w:tcPr>
          <w:p>
            <w:pPr>
              <w:spacing w:after="0"/>
              <w:rPr>
                <w:sz w:val="9"/>
                <w:szCs w:val="9"/>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6,206,200</w:t>
            </w:r>
          </w:p>
        </w:tc>
        <w:tc>
          <w:tcPr>
            <w:tcW w:w="1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(58,928)</w:t>
            </w:r>
          </w:p>
        </w:tc>
        <w:tc>
          <w:tcPr>
            <w:tcW w:w="1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w w:val="71"/>
              </w:rPr>
              <w:t>$</w:t>
            </w:r>
          </w:p>
        </w:tc>
        <w:tc>
          <w:tcPr>
            <w:tcW w:w="64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127,683</w:t>
            </w:r>
          </w:p>
        </w:tc>
        <w:tc>
          <w:tcPr>
            <w:tcW w:w="2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w:t>
            </w:r>
          </w:p>
        </w:tc>
        <w:tc>
          <w:tcPr>
            <w:tcW w:w="220" w:type="dxa"/>
            <w:vAlign w:val="bottom"/>
            <w:gridSpan w:val="2"/>
            <w:vMerge w:val="restart"/>
          </w:tcPr>
          <w:p>
            <w:pPr>
              <w:jc w:val="right"/>
              <w:ind w:right="15"/>
              <w:spacing w:after="0"/>
              <w:rPr>
                <w:sz w:val="20"/>
                <w:szCs w:val="20"/>
                <w:color w:val="auto"/>
              </w:rPr>
            </w:pPr>
            <w:r>
              <w:rPr>
                <w:rFonts w:ascii="Arial" w:cs="Arial" w:eastAsia="Arial" w:hAnsi="Arial"/>
                <w:sz w:val="10"/>
                <w:szCs w:val="10"/>
                <w:b w:val="1"/>
                <w:bCs w:val="1"/>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127,683</w:t>
            </w: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Arial" w:cs="Arial" w:eastAsia="Arial" w:hAnsi="Arial"/>
                <w:sz w:val="10"/>
                <w:szCs w:val="10"/>
                <w:b w:val="1"/>
                <w:bCs w:val="1"/>
                <w:color w:val="auto"/>
              </w:rPr>
              <w:t>2022</w:t>
            </w:r>
          </w:p>
        </w:tc>
        <w:tc>
          <w:tcPr>
            <w:tcW w:w="54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income</w:t>
            </w: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1,139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1,139</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1,139</w:t>
            </w:r>
          </w:p>
        </w:tc>
        <w:tc>
          <w:tcPr>
            <w:tcW w:w="0" w:type="dxa"/>
            <w:vAlign w:val="bottom"/>
          </w:tcPr>
          <w:p>
            <w:pPr>
              <w:spacing w:after="0"/>
              <w:rPr>
                <w:sz w:val="1"/>
                <w:szCs w:val="1"/>
                <w:color w:val="auto"/>
              </w:rPr>
            </w:pPr>
          </w:p>
        </w:tc>
      </w:tr>
      <w:tr>
        <w:trPr>
          <w:trHeight w:val="108"/>
        </w:trPr>
        <w:tc>
          <w:tcPr>
            <w:tcW w:w="1120" w:type="dxa"/>
            <w:vAlign w:val="bottom"/>
          </w:tcPr>
          <w:p>
            <w:pPr>
              <w:ind w:left="20"/>
              <w:spacing w:after="0" w:line="108" w:lineRule="exact"/>
              <w:rPr>
                <w:sz w:val="20"/>
                <w:szCs w:val="20"/>
                <w:color w:val="auto"/>
              </w:rPr>
            </w:pPr>
            <w:r>
              <w:rPr>
                <w:rFonts w:ascii="Arial" w:cs="Arial" w:eastAsia="Arial" w:hAnsi="Arial"/>
                <w:sz w:val="10"/>
                <w:szCs w:val="10"/>
                <w:color w:val="auto"/>
              </w:rPr>
              <w:t>Stock-based</w:t>
            </w:r>
          </w:p>
        </w:tc>
        <w:tc>
          <w:tcPr>
            <w:tcW w:w="54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1,814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w:t>
            </w:r>
          </w:p>
        </w:tc>
        <w:tc>
          <w:tcPr>
            <w:tcW w:w="54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1,814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1,814</w:t>
            </w:r>
          </w:p>
        </w:tc>
        <w:tc>
          <w:tcPr>
            <w:tcW w:w="0" w:type="dxa"/>
            <w:vAlign w:val="bottom"/>
          </w:tcPr>
          <w:p>
            <w:pPr>
              <w:spacing w:after="0"/>
              <w:rPr>
                <w:sz w:val="1"/>
                <w:szCs w:val="1"/>
                <w:color w:val="auto"/>
              </w:rPr>
            </w:pPr>
          </w:p>
        </w:tc>
      </w:tr>
      <w:tr>
        <w:trPr>
          <w:trHeight w:val="131"/>
        </w:trPr>
        <w:tc>
          <w:tcPr>
            <w:tcW w:w="1120" w:type="dxa"/>
            <w:vAlign w:val="bottom"/>
          </w:tcPr>
          <w:p>
            <w:pPr>
              <w:ind w:left="20"/>
              <w:spacing w:after="0"/>
              <w:rPr>
                <w:sz w:val="20"/>
                <w:szCs w:val="20"/>
                <w:color w:val="auto"/>
              </w:rPr>
            </w:pPr>
            <w:r>
              <w:rPr>
                <w:rFonts w:ascii="Arial" w:cs="Arial" w:eastAsia="Arial" w:hAnsi="Arial"/>
                <w:sz w:val="10"/>
                <w:szCs w:val="10"/>
                <w:color w:val="auto"/>
              </w:rPr>
              <w:t>compensation expense</w:t>
            </w: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97"/>
              </w:rPr>
              <w:t>Exercise of stock options</w:t>
            </w: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66,272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66,272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90</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90</w:t>
            </w:r>
          </w:p>
        </w:tc>
        <w:tc>
          <w:tcPr>
            <w:tcW w:w="0" w:type="dxa"/>
            <w:vAlign w:val="bottom"/>
          </w:tcPr>
          <w:p>
            <w:pPr>
              <w:spacing w:after="0"/>
              <w:rPr>
                <w:sz w:val="1"/>
                <w:szCs w:val="1"/>
                <w:color w:val="auto"/>
              </w:rPr>
            </w:pPr>
          </w:p>
        </w:tc>
      </w:tr>
      <w:tr>
        <w:trPr>
          <w:trHeight w:val="108"/>
        </w:trPr>
        <w:tc>
          <w:tcPr>
            <w:tcW w:w="1120" w:type="dxa"/>
            <w:vAlign w:val="bottom"/>
          </w:tcPr>
          <w:p>
            <w:pPr>
              <w:ind w:left="20"/>
              <w:spacing w:after="0" w:line="108" w:lineRule="exact"/>
              <w:rPr>
                <w:sz w:val="20"/>
                <w:szCs w:val="20"/>
                <w:color w:val="auto"/>
              </w:rPr>
            </w:pPr>
            <w:r>
              <w:rPr>
                <w:rFonts w:ascii="Arial" w:cs="Arial" w:eastAsia="Arial" w:hAnsi="Arial"/>
                <w:sz w:val="10"/>
                <w:szCs w:val="10"/>
                <w:color w:val="auto"/>
              </w:rPr>
              <w:t>Foreign currency</w:t>
            </w:r>
          </w:p>
        </w:tc>
        <w:tc>
          <w:tcPr>
            <w:tcW w:w="54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(196)</w:t>
            </w:r>
          </w:p>
        </w:tc>
        <w:tc>
          <w:tcPr>
            <w:tcW w:w="80" w:type="dxa"/>
            <w:vAlign w:val="bottom"/>
          </w:tcPr>
          <w:p>
            <w:pPr>
              <w:spacing w:after="0"/>
              <w:rPr>
                <w:sz w:val="9"/>
                <w:szCs w:val="9"/>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(196)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(196)</w:t>
            </w:r>
          </w:p>
        </w:tc>
        <w:tc>
          <w:tcPr>
            <w:tcW w:w="0" w:type="dxa"/>
            <w:vAlign w:val="bottom"/>
          </w:tcPr>
          <w:p>
            <w:pPr>
              <w:spacing w:after="0"/>
              <w:rPr>
                <w:sz w:val="1"/>
                <w:szCs w:val="1"/>
                <w:color w:val="auto"/>
              </w:rPr>
            </w:pPr>
          </w:p>
        </w:tc>
      </w:tr>
      <w:tr>
        <w:trPr>
          <w:trHeight w:val="136"/>
        </w:trPr>
        <w:tc>
          <w:tcPr>
            <w:tcW w:w="1120" w:type="dxa"/>
            <w:vAlign w:val="bottom"/>
          </w:tcPr>
          <w:p>
            <w:pPr>
              <w:ind w:left="20"/>
              <w:spacing w:after="0"/>
              <w:rPr>
                <w:sz w:val="20"/>
                <w:szCs w:val="20"/>
                <w:color w:val="auto"/>
              </w:rPr>
            </w:pPr>
            <w:r>
              <w:rPr>
                <w:rFonts w:ascii="Arial" w:cs="Arial" w:eastAsia="Arial" w:hAnsi="Arial"/>
                <w:sz w:val="10"/>
                <w:szCs w:val="10"/>
                <w:color w:val="auto"/>
              </w:rPr>
              <w:t>translation adjustment</w:t>
            </w: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120" w:type="dxa"/>
            <w:vAlign w:val="bottom"/>
            <w:shd w:val="clear" w:color="auto" w:fill="CCEEFF"/>
          </w:tcPr>
          <w:p>
            <w:pPr>
              <w:ind w:left="20"/>
              <w:spacing w:after="0" w:line="103" w:lineRule="exact"/>
              <w:rPr>
                <w:sz w:val="20"/>
                <w:szCs w:val="20"/>
                <w:color w:val="auto"/>
              </w:rPr>
            </w:pPr>
            <w:r>
              <w:rPr>
                <w:rFonts w:ascii="Arial" w:cs="Arial" w:eastAsia="Arial" w:hAnsi="Arial"/>
                <w:sz w:val="10"/>
                <w:szCs w:val="10"/>
                <w:b w:val="1"/>
                <w:bCs w:val="1"/>
                <w:color w:val="auto"/>
              </w:rPr>
              <w:t>Balance at June 30,</w:t>
            </w: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91"/>
              </w:rPr>
              <w:t>53,744,594</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538</w:t>
            </w:r>
          </w:p>
        </w:tc>
        <w:tc>
          <w:tcPr>
            <w:tcW w:w="6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8,113,105</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81</w:t>
            </w:r>
          </w:p>
        </w:tc>
        <w:tc>
          <w:tcPr>
            <w:tcW w:w="64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61,857,699</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619</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139,170</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50,735</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(1,066)</w:t>
            </w:r>
          </w:p>
        </w:tc>
        <w:tc>
          <w:tcPr>
            <w:tcW w:w="8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6,206,200</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vMerge w:val="restart"/>
            <w:shd w:val="clear" w:color="auto" w:fill="CCEEFF"/>
          </w:tcPr>
          <w:p>
            <w:pPr>
              <w:ind w:left="60"/>
              <w:spacing w:after="0"/>
              <w:rPr>
                <w:sz w:val="20"/>
                <w:szCs w:val="20"/>
                <w:color w:val="auto"/>
              </w:rPr>
            </w:pPr>
            <w:r>
              <w:rPr>
                <w:rFonts w:ascii="Arial" w:cs="Arial" w:eastAsia="Arial" w:hAnsi="Arial"/>
                <w:sz w:val="10"/>
                <w:szCs w:val="10"/>
                <w:b w:val="1"/>
                <w:bCs w:val="1"/>
                <w:color w:val="auto"/>
              </w:rPr>
              <w:t>(58,928)</w:t>
            </w:r>
          </w:p>
        </w:tc>
        <w:tc>
          <w:tcPr>
            <w:tcW w:w="140" w:type="dxa"/>
            <w:vAlign w:val="bottom"/>
            <w:gridSpan w:val="2"/>
            <w:vMerge w:val="restart"/>
            <w:shd w:val="clear" w:color="auto" w:fill="CCEEFF"/>
          </w:tcPr>
          <w:p>
            <w:pPr>
              <w:ind w:left="80"/>
              <w:spacing w:after="0"/>
              <w:rPr>
                <w:sz w:val="20"/>
                <w:szCs w:val="20"/>
                <w:color w:val="auto"/>
              </w:rPr>
            </w:pPr>
            <w:r>
              <w:rPr>
                <w:rFonts w:ascii="Arial" w:cs="Arial" w:eastAsia="Arial" w:hAnsi="Arial"/>
                <w:sz w:val="10"/>
                <w:szCs w:val="10"/>
                <w:b w:val="1"/>
                <w:bCs w:val="1"/>
                <w:color w:val="auto"/>
                <w:w w:val="71"/>
              </w:rPr>
              <w:t>$</w:t>
            </w: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130,530</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220" w:type="dxa"/>
            <w:vAlign w:val="bottom"/>
            <w:gridSpan w:val="2"/>
            <w:vMerge w:val="restart"/>
            <w:shd w:val="clear" w:color="auto" w:fill="CCEEFF"/>
          </w:tcPr>
          <w:p>
            <w:pPr>
              <w:jc w:val="right"/>
              <w:ind w:right="15"/>
              <w:spacing w:after="0"/>
              <w:rPr>
                <w:sz w:val="20"/>
                <w:szCs w:val="20"/>
                <w:color w:val="auto"/>
              </w:rPr>
            </w:pPr>
            <w:r>
              <w:rPr>
                <w:rFonts w:ascii="Arial" w:cs="Arial" w:eastAsia="Arial" w:hAnsi="Arial"/>
                <w:sz w:val="10"/>
                <w:szCs w:val="10"/>
                <w:b w:val="1"/>
                <w:bCs w:val="1"/>
                <w:color w:val="auto"/>
              </w:rPr>
              <w:t>$</w:t>
            </w: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130,530</w:t>
            </w:r>
          </w:p>
        </w:tc>
        <w:tc>
          <w:tcPr>
            <w:tcW w:w="0" w:type="dxa"/>
            <w:vAlign w:val="bottom"/>
          </w:tcPr>
          <w:p>
            <w:pPr>
              <w:spacing w:after="0"/>
              <w:rPr>
                <w:sz w:val="1"/>
                <w:szCs w:val="1"/>
                <w:color w:val="auto"/>
              </w:rPr>
            </w:pPr>
          </w:p>
        </w:tc>
      </w:tr>
      <w:tr>
        <w:trPr>
          <w:trHeight w:val="151"/>
        </w:trPr>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2022</w:t>
            </w: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auto"/>
            </w:tcBorders>
            <w:gridSpan w:val="2"/>
            <w:vMerge w:val="continue"/>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gridSpan w:val="2"/>
            <w:vMerge w:val="continue"/>
            <w:shd w:val="clear" w:color="auto" w:fill="CCEEFF"/>
          </w:tcPr>
          <w:p>
            <w:pPr>
              <w:spacing w:after="0"/>
              <w:rPr>
                <w:sz w:val="13"/>
                <w:szCs w:val="13"/>
                <w:color w:val="auto"/>
              </w:rPr>
            </w:pPr>
          </w:p>
        </w:tc>
        <w:tc>
          <w:tcPr>
            <w:tcW w:w="160" w:type="dxa"/>
            <w:vAlign w:val="bottom"/>
            <w:tcBorders>
              <w:bottom w:val="single" w:sz="8" w:color="auto"/>
            </w:tcBorders>
            <w:gridSpan w:val="2"/>
            <w:vMerge w:val="continue"/>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640" w:type="dxa"/>
            <w:vAlign w:val="bottom"/>
            <w:tcBorders>
              <w:bottom w:val="single" w:sz="8" w:color="auto"/>
            </w:tcBorders>
            <w:gridSpan w:val="2"/>
            <w:vMerge w:val="continue"/>
            <w:shd w:val="clear" w:color="auto" w:fill="CCEEFF"/>
          </w:tcPr>
          <w:p>
            <w:pPr>
              <w:spacing w:after="0"/>
              <w:rPr>
                <w:sz w:val="13"/>
                <w:szCs w:val="13"/>
                <w:color w:val="auto"/>
              </w:rPr>
            </w:pPr>
          </w:p>
        </w:tc>
        <w:tc>
          <w:tcPr>
            <w:tcW w:w="160" w:type="dxa"/>
            <w:vAlign w:val="bottom"/>
            <w:tcBorders>
              <w:bottom w:val="single" w:sz="8" w:color="auto"/>
            </w:tcBorders>
            <w:gridSpan w:val="2"/>
            <w:vMerge w:val="continue"/>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tcBorders>
              <w:bottom w:val="single" w:sz="8" w:color="auto"/>
            </w:tcBorders>
            <w:gridSpan w:val="2"/>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auto"/>
            </w:tcBorders>
            <w:gridSpan w:val="2"/>
            <w:vMerge w:val="continue"/>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auto"/>
            </w:tcBorders>
            <w:gridSpan w:val="2"/>
            <w:vMerge w:val="continue"/>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gridSpan w:val="2"/>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gridSpan w:val="2"/>
            <w:vMerge w:val="continue"/>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200" w:type="dxa"/>
            <w:vAlign w:val="bottom"/>
            <w:tcBorders>
              <w:bottom w:val="single" w:sz="8" w:color="auto"/>
            </w:tcBorders>
            <w:gridSpan w:val="2"/>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220" w:type="dxa"/>
            <w:vAlign w:val="bottom"/>
            <w:tcBorders>
              <w:bottom w:val="single" w:sz="8" w:color="auto"/>
            </w:tcBorders>
            <w:gridSpan w:val="2"/>
            <w:vMerge w:val="continue"/>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12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b w:val="1"/>
                <w:bCs w:val="1"/>
                <w:color w:val="auto"/>
              </w:rPr>
              <w:t>Balance at</w:t>
            </w: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91"/>
              </w:rPr>
              <w:t>54,112,145</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541</w:t>
            </w:r>
          </w:p>
        </w:tc>
        <w:tc>
          <w:tcPr>
            <w:tcW w:w="6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8,113,105</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81</w:t>
            </w:r>
          </w:p>
        </w:tc>
        <w:tc>
          <w:tcPr>
            <w:tcW w:w="64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62,225,250</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622</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145,210</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55,183</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(994)</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6,206,200</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vMerge w:val="restart"/>
            <w:shd w:val="clear" w:color="auto" w:fill="CCEEFF"/>
          </w:tcPr>
          <w:p>
            <w:pPr>
              <w:ind w:left="60"/>
              <w:spacing w:after="0"/>
              <w:rPr>
                <w:sz w:val="20"/>
                <w:szCs w:val="20"/>
                <w:color w:val="auto"/>
              </w:rPr>
            </w:pPr>
            <w:r>
              <w:rPr>
                <w:rFonts w:ascii="Arial" w:cs="Arial" w:eastAsia="Arial" w:hAnsi="Arial"/>
                <w:sz w:val="10"/>
                <w:szCs w:val="10"/>
                <w:b w:val="1"/>
                <w:bCs w:val="1"/>
                <w:color w:val="auto"/>
              </w:rPr>
              <w:t>(58,928)</w:t>
            </w:r>
          </w:p>
        </w:tc>
        <w:tc>
          <w:tcPr>
            <w:tcW w:w="140" w:type="dxa"/>
            <w:vAlign w:val="bottom"/>
            <w:gridSpan w:val="2"/>
            <w:vMerge w:val="restart"/>
            <w:shd w:val="clear" w:color="auto" w:fill="CCEEFF"/>
          </w:tcPr>
          <w:p>
            <w:pPr>
              <w:ind w:left="80"/>
              <w:spacing w:after="0"/>
              <w:rPr>
                <w:sz w:val="20"/>
                <w:szCs w:val="20"/>
                <w:color w:val="auto"/>
              </w:rPr>
            </w:pPr>
            <w:r>
              <w:rPr>
                <w:rFonts w:ascii="Arial" w:cs="Arial" w:eastAsia="Arial" w:hAnsi="Arial"/>
                <w:sz w:val="10"/>
                <w:szCs w:val="10"/>
                <w:b w:val="1"/>
                <w:bCs w:val="1"/>
                <w:color w:val="auto"/>
                <w:w w:val="71"/>
              </w:rPr>
              <w:t>$</w:t>
            </w: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141,093</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220" w:type="dxa"/>
            <w:vAlign w:val="bottom"/>
            <w:gridSpan w:val="2"/>
            <w:vMerge w:val="restart"/>
            <w:shd w:val="clear" w:color="auto" w:fill="CCEEFF"/>
          </w:tcPr>
          <w:p>
            <w:pPr>
              <w:jc w:val="right"/>
              <w:ind w:right="15"/>
              <w:spacing w:after="0"/>
              <w:rPr>
                <w:sz w:val="20"/>
                <w:szCs w:val="20"/>
                <w:color w:val="auto"/>
              </w:rPr>
            </w:pPr>
            <w:r>
              <w:rPr>
                <w:rFonts w:ascii="Arial" w:cs="Arial" w:eastAsia="Arial" w:hAnsi="Arial"/>
                <w:sz w:val="10"/>
                <w:szCs w:val="10"/>
                <w:b w:val="1"/>
                <w:bCs w:val="1"/>
                <w:color w:val="auto"/>
              </w:rPr>
              <w:t>$</w:t>
            </w: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141,093</w:t>
            </w:r>
          </w:p>
        </w:tc>
        <w:tc>
          <w:tcPr>
            <w:tcW w:w="0" w:type="dxa"/>
            <w:vAlign w:val="bottom"/>
          </w:tcPr>
          <w:p>
            <w:pPr>
              <w:spacing w:after="0"/>
              <w:rPr>
                <w:sz w:val="1"/>
                <w:szCs w:val="1"/>
                <w:color w:val="auto"/>
              </w:rPr>
            </w:pPr>
          </w:p>
        </w:tc>
      </w:tr>
      <w:tr>
        <w:trPr>
          <w:trHeight w:val="137"/>
        </w:trPr>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2022</w:t>
            </w:r>
          </w:p>
        </w:tc>
        <w:tc>
          <w:tcPr>
            <w:tcW w:w="540" w:type="dxa"/>
            <w:vAlign w:val="bottom"/>
            <w:tcBorders>
              <w:bottom w:val="single" w:sz="8" w:color="CCEEFF"/>
            </w:tcBorders>
            <w:vMerge w:val="continue"/>
            <w:shd w:val="clear" w:color="auto" w:fill="CCEEFF"/>
          </w:tcPr>
          <w:p>
            <w:pPr>
              <w:spacing w:after="0"/>
              <w:rPr>
                <w:sz w:val="11"/>
                <w:szCs w:val="11"/>
                <w:color w:val="auto"/>
              </w:rPr>
            </w:pPr>
          </w:p>
        </w:tc>
        <w:tc>
          <w:tcPr>
            <w:tcW w:w="160" w:type="dxa"/>
            <w:vAlign w:val="bottom"/>
            <w:tcBorders>
              <w:bottom w:val="single" w:sz="8" w:color="CCEEFF"/>
            </w:tcBorders>
            <w:gridSpan w:val="2"/>
            <w:vMerge w:val="continue"/>
            <w:shd w:val="clear" w:color="auto" w:fill="CCEEFF"/>
          </w:tcPr>
          <w:p>
            <w:pPr>
              <w:spacing w:after="0"/>
              <w:rPr>
                <w:sz w:val="11"/>
                <w:szCs w:val="11"/>
                <w:color w:val="auto"/>
              </w:rPr>
            </w:pPr>
          </w:p>
        </w:tc>
        <w:tc>
          <w:tcPr>
            <w:tcW w:w="400" w:type="dxa"/>
            <w:vAlign w:val="bottom"/>
            <w:tcBorders>
              <w:bottom w:val="single" w:sz="8" w:color="CCEEFF"/>
            </w:tcBorders>
            <w:vMerge w:val="continue"/>
            <w:shd w:val="clear" w:color="auto" w:fill="CCEEFF"/>
          </w:tcPr>
          <w:p>
            <w:pPr>
              <w:spacing w:after="0"/>
              <w:rPr>
                <w:sz w:val="11"/>
                <w:szCs w:val="11"/>
                <w:color w:val="auto"/>
              </w:rPr>
            </w:pPr>
          </w:p>
        </w:tc>
        <w:tc>
          <w:tcPr>
            <w:tcW w:w="620" w:type="dxa"/>
            <w:vAlign w:val="bottom"/>
            <w:tcBorders>
              <w:bottom w:val="single" w:sz="8" w:color="CCEEFF"/>
            </w:tcBorders>
            <w:gridSpan w:val="2"/>
            <w:vMerge w:val="continue"/>
            <w:shd w:val="clear" w:color="auto" w:fill="CCEEFF"/>
          </w:tcPr>
          <w:p>
            <w:pPr>
              <w:spacing w:after="0"/>
              <w:rPr>
                <w:sz w:val="11"/>
                <w:szCs w:val="11"/>
                <w:color w:val="auto"/>
              </w:rPr>
            </w:pPr>
          </w:p>
        </w:tc>
        <w:tc>
          <w:tcPr>
            <w:tcW w:w="160" w:type="dxa"/>
            <w:vAlign w:val="bottom"/>
            <w:tcBorders>
              <w:bottom w:val="single" w:sz="8" w:color="CCEEFF"/>
            </w:tcBorders>
            <w:gridSpan w:val="2"/>
            <w:vMerge w:val="continue"/>
            <w:shd w:val="clear" w:color="auto" w:fill="CCEEFF"/>
          </w:tcPr>
          <w:p>
            <w:pPr>
              <w:spacing w:after="0"/>
              <w:rPr>
                <w:sz w:val="11"/>
                <w:szCs w:val="11"/>
                <w:color w:val="auto"/>
              </w:rPr>
            </w:pPr>
          </w:p>
        </w:tc>
        <w:tc>
          <w:tcPr>
            <w:tcW w:w="400" w:type="dxa"/>
            <w:vAlign w:val="bottom"/>
            <w:tcBorders>
              <w:bottom w:val="single" w:sz="8" w:color="CCEEFF"/>
            </w:tcBorders>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160" w:type="dxa"/>
            <w:vAlign w:val="bottom"/>
            <w:tcBorders>
              <w:bottom w:val="single" w:sz="8" w:color="CCEEFF"/>
            </w:tcBorders>
            <w:gridSpan w:val="2"/>
            <w:vMerge w:val="continue"/>
            <w:shd w:val="clear" w:color="auto" w:fill="CCEEFF"/>
          </w:tcPr>
          <w:p>
            <w:pPr>
              <w:spacing w:after="0"/>
              <w:rPr>
                <w:sz w:val="11"/>
                <w:szCs w:val="11"/>
                <w:color w:val="auto"/>
              </w:rPr>
            </w:pPr>
          </w:p>
        </w:tc>
        <w:tc>
          <w:tcPr>
            <w:tcW w:w="400" w:type="dxa"/>
            <w:vAlign w:val="bottom"/>
            <w:tcBorders>
              <w:bottom w:val="single" w:sz="8" w:color="CCEEFF"/>
            </w:tcBorders>
            <w:vMerge w:val="continue"/>
            <w:shd w:val="clear" w:color="auto" w:fill="CCEEFF"/>
          </w:tcPr>
          <w:p>
            <w:pPr>
              <w:spacing w:after="0"/>
              <w:rPr>
                <w:sz w:val="11"/>
                <w:szCs w:val="11"/>
                <w:color w:val="auto"/>
              </w:rPr>
            </w:pPr>
          </w:p>
        </w:tc>
        <w:tc>
          <w:tcPr>
            <w:tcW w:w="180" w:type="dxa"/>
            <w:vAlign w:val="bottom"/>
            <w:tcBorders>
              <w:bottom w:val="single" w:sz="8" w:color="CCEEFF"/>
            </w:tcBorders>
            <w:gridSpan w:val="2"/>
            <w:vMerge w:val="continue"/>
            <w:shd w:val="clear" w:color="auto" w:fill="CCEEFF"/>
          </w:tcPr>
          <w:p>
            <w:pPr>
              <w:spacing w:after="0"/>
              <w:rPr>
                <w:sz w:val="11"/>
                <w:szCs w:val="11"/>
                <w:color w:val="auto"/>
              </w:rPr>
            </w:pPr>
          </w:p>
        </w:tc>
        <w:tc>
          <w:tcPr>
            <w:tcW w:w="460" w:type="dxa"/>
            <w:vAlign w:val="bottom"/>
            <w:tcBorders>
              <w:bottom w:val="single" w:sz="8" w:color="CCEEFF"/>
            </w:tcBorders>
            <w:vMerge w:val="continue"/>
            <w:shd w:val="clear" w:color="auto" w:fill="CCEEFF"/>
          </w:tcPr>
          <w:p>
            <w:pPr>
              <w:spacing w:after="0"/>
              <w:rPr>
                <w:sz w:val="11"/>
                <w:szCs w:val="11"/>
                <w:color w:val="auto"/>
              </w:rPr>
            </w:pPr>
          </w:p>
        </w:tc>
        <w:tc>
          <w:tcPr>
            <w:tcW w:w="160" w:type="dxa"/>
            <w:vAlign w:val="bottom"/>
            <w:tcBorders>
              <w:bottom w:val="single" w:sz="8" w:color="CCEEFF"/>
            </w:tcBorders>
            <w:gridSpan w:val="2"/>
            <w:vMerge w:val="continue"/>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160" w:type="dxa"/>
            <w:vAlign w:val="bottom"/>
            <w:tcBorders>
              <w:bottom w:val="single" w:sz="8" w:color="CCEEFF"/>
            </w:tcBorders>
            <w:gridSpan w:val="2"/>
            <w:vMerge w:val="continue"/>
            <w:shd w:val="clear" w:color="auto" w:fill="CCEEFF"/>
          </w:tcPr>
          <w:p>
            <w:pPr>
              <w:spacing w:after="0"/>
              <w:rPr>
                <w:sz w:val="11"/>
                <w:szCs w:val="11"/>
                <w:color w:val="auto"/>
              </w:rPr>
            </w:pP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vMerge w:val="continue"/>
            <w:shd w:val="clear" w:color="auto" w:fill="CCEEFF"/>
          </w:tcPr>
          <w:p>
            <w:pPr>
              <w:spacing w:after="0"/>
              <w:rPr>
                <w:sz w:val="11"/>
                <w:szCs w:val="11"/>
                <w:color w:val="auto"/>
              </w:rPr>
            </w:pPr>
          </w:p>
        </w:tc>
        <w:tc>
          <w:tcPr>
            <w:tcW w:w="140" w:type="dxa"/>
            <w:vAlign w:val="bottom"/>
            <w:tcBorders>
              <w:bottom w:val="single" w:sz="8" w:color="CCEEFF"/>
            </w:tcBorders>
            <w:gridSpan w:val="2"/>
            <w:vMerge w:val="continue"/>
            <w:shd w:val="clear" w:color="auto" w:fill="CCEEFF"/>
          </w:tcPr>
          <w:p>
            <w:pPr>
              <w:spacing w:after="0"/>
              <w:rPr>
                <w:sz w:val="11"/>
                <w:szCs w:val="11"/>
                <w:color w:val="auto"/>
              </w:rPr>
            </w:pPr>
          </w:p>
        </w:tc>
        <w:tc>
          <w:tcPr>
            <w:tcW w:w="460" w:type="dxa"/>
            <w:vAlign w:val="bottom"/>
            <w:tcBorders>
              <w:bottom w:val="single" w:sz="8" w:color="CCEEFF"/>
            </w:tcBorders>
            <w:vMerge w:val="continue"/>
            <w:shd w:val="clear" w:color="auto" w:fill="CCEEFF"/>
          </w:tcPr>
          <w:p>
            <w:pPr>
              <w:spacing w:after="0"/>
              <w:rPr>
                <w:sz w:val="11"/>
                <w:szCs w:val="11"/>
                <w:color w:val="auto"/>
              </w:rPr>
            </w:pPr>
          </w:p>
        </w:tc>
        <w:tc>
          <w:tcPr>
            <w:tcW w:w="14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200" w:type="dxa"/>
            <w:vAlign w:val="bottom"/>
            <w:tcBorders>
              <w:bottom w:val="single" w:sz="8" w:color="CCEEFF"/>
            </w:tcBorders>
            <w:gridSpan w:val="2"/>
            <w:vMerge w:val="continue"/>
            <w:shd w:val="clear" w:color="auto" w:fill="CCEEFF"/>
          </w:tcPr>
          <w:p>
            <w:pPr>
              <w:spacing w:after="0"/>
              <w:rPr>
                <w:sz w:val="11"/>
                <w:szCs w:val="11"/>
                <w:color w:val="auto"/>
              </w:rPr>
            </w:pPr>
          </w:p>
        </w:tc>
        <w:tc>
          <w:tcPr>
            <w:tcW w:w="440" w:type="dxa"/>
            <w:vAlign w:val="bottom"/>
            <w:tcBorders>
              <w:bottom w:val="single" w:sz="8" w:color="CCEEFF"/>
            </w:tcBorders>
            <w:vMerge w:val="continue"/>
            <w:shd w:val="clear" w:color="auto" w:fill="CCEEFF"/>
          </w:tcPr>
          <w:p>
            <w:pPr>
              <w:spacing w:after="0"/>
              <w:rPr>
                <w:sz w:val="11"/>
                <w:szCs w:val="11"/>
                <w:color w:val="auto"/>
              </w:rPr>
            </w:pPr>
          </w:p>
        </w:tc>
        <w:tc>
          <w:tcPr>
            <w:tcW w:w="220" w:type="dxa"/>
            <w:vAlign w:val="bottom"/>
            <w:tcBorders>
              <w:bottom w:val="single" w:sz="8" w:color="CCEEFF"/>
            </w:tcBorders>
            <w:gridSpan w:val="2"/>
            <w:vMerge w:val="continue"/>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54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54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56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b w:val="1"/>
                <w:bCs w:val="1"/>
                <w:color w:val="auto"/>
              </w:rPr>
              <w:t>6,705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54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8"/>
              <w:spacing w:after="0"/>
              <w:rPr>
                <w:sz w:val="20"/>
                <w:szCs w:val="20"/>
                <w:color w:val="auto"/>
              </w:rPr>
            </w:pPr>
            <w:r>
              <w:rPr>
                <w:rFonts w:ascii="Arial" w:cs="Arial" w:eastAsia="Arial" w:hAnsi="Arial"/>
                <w:sz w:val="10"/>
                <w:szCs w:val="10"/>
                <w:b w:val="1"/>
                <w:bCs w:val="1"/>
                <w:color w:val="auto"/>
              </w:rPr>
              <w:t>6,705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8"/>
              <w:spacing w:after="0"/>
              <w:rPr>
                <w:sz w:val="20"/>
                <w:szCs w:val="20"/>
                <w:color w:val="auto"/>
              </w:rPr>
            </w:pPr>
            <w:r>
              <w:rPr>
                <w:rFonts w:ascii="Arial" w:cs="Arial" w:eastAsia="Arial" w:hAnsi="Arial"/>
                <w:sz w:val="10"/>
                <w:szCs w:val="10"/>
                <w:b w:val="1"/>
                <w:bCs w:val="1"/>
                <w:color w:val="auto"/>
              </w:rPr>
              <w:t>6,705</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12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color w:val="auto"/>
              </w:rPr>
              <w:t>Cumulative-effect</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2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w w:val="98"/>
              </w:rPr>
              <w:t>adjustment related to the</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2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adoption of accounting</w:t>
            </w: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(1,070)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(1,070)</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(1,070)</w:t>
            </w:r>
          </w:p>
        </w:tc>
        <w:tc>
          <w:tcPr>
            <w:tcW w:w="0" w:type="dxa"/>
            <w:vAlign w:val="bottom"/>
          </w:tcPr>
          <w:p>
            <w:pPr>
              <w:spacing w:after="0"/>
              <w:rPr>
                <w:sz w:val="1"/>
                <w:szCs w:val="1"/>
                <w:color w:val="auto"/>
              </w:rPr>
            </w:pPr>
          </w:p>
        </w:tc>
      </w:tr>
      <w:tr>
        <w:trPr>
          <w:trHeight w:val="133"/>
        </w:trPr>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95"/>
              </w:rPr>
              <w:t>guidance for credit losses</w:t>
            </w:r>
          </w:p>
        </w:tc>
        <w:tc>
          <w:tcPr>
            <w:tcW w:w="5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vMerge w:val="continue"/>
            <w:shd w:val="clear" w:color="auto" w:fill="CCEEFF"/>
          </w:tcPr>
          <w:p>
            <w:pPr>
              <w:spacing w:after="0"/>
              <w:rPr>
                <w:sz w:val="11"/>
                <w:szCs w:val="11"/>
                <w:color w:val="auto"/>
              </w:rPr>
            </w:pPr>
          </w:p>
        </w:tc>
        <w:tc>
          <w:tcPr>
            <w:tcW w:w="5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120" w:type="dxa"/>
            <w:vAlign w:val="bottom"/>
          </w:tcPr>
          <w:p>
            <w:pPr>
              <w:ind w:left="20"/>
              <w:spacing w:after="0" w:line="108" w:lineRule="exact"/>
              <w:rPr>
                <w:sz w:val="20"/>
                <w:szCs w:val="20"/>
                <w:color w:val="auto"/>
              </w:rPr>
            </w:pPr>
            <w:r>
              <w:rPr>
                <w:rFonts w:ascii="Arial" w:cs="Arial" w:eastAsia="Arial" w:hAnsi="Arial"/>
                <w:sz w:val="10"/>
                <w:szCs w:val="10"/>
                <w:color w:val="auto"/>
              </w:rPr>
              <w:t>Stock-based</w:t>
            </w:r>
          </w:p>
        </w:tc>
        <w:tc>
          <w:tcPr>
            <w:tcW w:w="54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2,162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vMerge w:val="restart"/>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0"/>
                <w:szCs w:val="10"/>
                <w:color w:val="auto"/>
              </w:rPr>
              <w:t>2,162</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0"/>
                <w:szCs w:val="10"/>
                <w:color w:val="auto"/>
              </w:rPr>
              <w:t>2,162</w:t>
            </w:r>
          </w:p>
        </w:tc>
        <w:tc>
          <w:tcPr>
            <w:tcW w:w="0" w:type="dxa"/>
            <w:vAlign w:val="bottom"/>
          </w:tcPr>
          <w:p>
            <w:pPr>
              <w:spacing w:after="0"/>
              <w:rPr>
                <w:sz w:val="1"/>
                <w:szCs w:val="1"/>
                <w:color w:val="auto"/>
              </w:rPr>
            </w:pPr>
          </w:p>
        </w:tc>
      </w:tr>
      <w:tr>
        <w:trPr>
          <w:trHeight w:val="131"/>
        </w:trPr>
        <w:tc>
          <w:tcPr>
            <w:tcW w:w="1120" w:type="dxa"/>
            <w:vAlign w:val="bottom"/>
          </w:tcPr>
          <w:p>
            <w:pPr>
              <w:ind w:left="100"/>
              <w:spacing w:after="0"/>
              <w:rPr>
                <w:sz w:val="20"/>
                <w:szCs w:val="20"/>
                <w:color w:val="auto"/>
              </w:rPr>
            </w:pPr>
            <w:r>
              <w:rPr>
                <w:rFonts w:ascii="Arial" w:cs="Arial" w:eastAsia="Arial" w:hAnsi="Arial"/>
                <w:sz w:val="10"/>
                <w:szCs w:val="10"/>
                <w:color w:val="auto"/>
              </w:rPr>
              <w:t>compensation</w:t>
            </w: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97"/>
              </w:rPr>
              <w:t>Exercise of stock options</w:t>
            </w: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185,783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rPr>
              <w:t>185,783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601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603</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603</w:t>
            </w:r>
          </w:p>
        </w:tc>
        <w:tc>
          <w:tcPr>
            <w:tcW w:w="0" w:type="dxa"/>
            <w:vAlign w:val="bottom"/>
          </w:tcPr>
          <w:p>
            <w:pPr>
              <w:spacing w:after="0"/>
              <w:rPr>
                <w:sz w:val="1"/>
                <w:szCs w:val="1"/>
                <w:color w:val="auto"/>
              </w:rPr>
            </w:pPr>
          </w:p>
        </w:tc>
      </w:tr>
      <w:tr>
        <w:trPr>
          <w:trHeight w:val="108"/>
        </w:trPr>
        <w:tc>
          <w:tcPr>
            <w:tcW w:w="1120" w:type="dxa"/>
            <w:vAlign w:val="bottom"/>
          </w:tcPr>
          <w:p>
            <w:pPr>
              <w:ind w:left="20"/>
              <w:spacing w:after="0" w:line="108" w:lineRule="exact"/>
              <w:rPr>
                <w:sz w:val="20"/>
                <w:szCs w:val="20"/>
                <w:color w:val="auto"/>
              </w:rPr>
            </w:pPr>
            <w:r>
              <w:rPr>
                <w:rFonts w:ascii="Arial" w:cs="Arial" w:eastAsia="Arial" w:hAnsi="Arial"/>
                <w:sz w:val="10"/>
                <w:szCs w:val="10"/>
                <w:color w:val="auto"/>
              </w:rPr>
              <w:t>Foreign currency</w:t>
            </w:r>
          </w:p>
        </w:tc>
        <w:tc>
          <w:tcPr>
            <w:tcW w:w="54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173</w:t>
            </w:r>
          </w:p>
        </w:tc>
        <w:tc>
          <w:tcPr>
            <w:tcW w:w="80" w:type="dxa"/>
            <w:vAlign w:val="bottom"/>
          </w:tcPr>
          <w:p>
            <w:pPr>
              <w:spacing w:after="0"/>
              <w:rPr>
                <w:sz w:val="9"/>
                <w:szCs w:val="9"/>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vMerge w:val="restart"/>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0"/>
                <w:szCs w:val="10"/>
                <w:color w:val="auto"/>
              </w:rPr>
              <w:t>173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0"/>
                <w:szCs w:val="10"/>
                <w:color w:val="auto"/>
              </w:rPr>
              <w:t>173</w:t>
            </w:r>
          </w:p>
        </w:tc>
        <w:tc>
          <w:tcPr>
            <w:tcW w:w="0" w:type="dxa"/>
            <w:vAlign w:val="bottom"/>
          </w:tcPr>
          <w:p>
            <w:pPr>
              <w:spacing w:after="0"/>
              <w:rPr>
                <w:sz w:val="1"/>
                <w:szCs w:val="1"/>
                <w:color w:val="auto"/>
              </w:rPr>
            </w:pPr>
          </w:p>
        </w:tc>
      </w:tr>
      <w:tr>
        <w:trPr>
          <w:trHeight w:val="131"/>
        </w:trPr>
        <w:tc>
          <w:tcPr>
            <w:tcW w:w="1120" w:type="dxa"/>
            <w:vAlign w:val="bottom"/>
          </w:tcPr>
          <w:p>
            <w:pPr>
              <w:ind w:left="100"/>
              <w:spacing w:after="0"/>
              <w:rPr>
                <w:sz w:val="20"/>
                <w:szCs w:val="20"/>
                <w:color w:val="auto"/>
              </w:rPr>
            </w:pPr>
            <w:r>
              <w:rPr>
                <w:rFonts w:ascii="Arial" w:cs="Arial" w:eastAsia="Arial" w:hAnsi="Arial"/>
                <w:sz w:val="10"/>
                <w:szCs w:val="10"/>
                <w:color w:val="auto"/>
              </w:rPr>
              <w:t>translation adjustment</w:t>
            </w: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12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b w:val="1"/>
                <w:bCs w:val="1"/>
                <w:color w:val="auto"/>
              </w:rPr>
              <w:t>Balance at March 31,</w:t>
            </w: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91"/>
              </w:rPr>
              <w:t>54,297,928</w:t>
            </w:r>
          </w:p>
        </w:tc>
        <w:tc>
          <w:tcPr>
            <w:tcW w:w="80" w:type="dxa"/>
            <w:vAlign w:val="bottom"/>
            <w:vMerge w:val="restart"/>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543</w:t>
            </w:r>
          </w:p>
        </w:tc>
        <w:tc>
          <w:tcPr>
            <w:tcW w:w="80" w:type="dxa"/>
            <w:vAlign w:val="bottom"/>
            <w:vMerge w:val="restart"/>
            <w:shd w:val="clear" w:color="auto" w:fill="CCEEFF"/>
          </w:tcPr>
          <w:p>
            <w:pPr>
              <w:spacing w:after="0"/>
              <w:rPr>
                <w:sz w:val="9"/>
                <w:szCs w:val="9"/>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8,113,105</w:t>
            </w:r>
          </w:p>
        </w:tc>
        <w:tc>
          <w:tcPr>
            <w:tcW w:w="60" w:type="dxa"/>
            <w:vAlign w:val="bottom"/>
            <w:vMerge w:val="restart"/>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81</w:t>
            </w:r>
          </w:p>
        </w:tc>
        <w:tc>
          <w:tcPr>
            <w:tcW w:w="80" w:type="dxa"/>
            <w:vAlign w:val="bottom"/>
            <w:vMerge w:val="restart"/>
            <w:shd w:val="clear" w:color="auto" w:fill="CCEEFF"/>
          </w:tcPr>
          <w:p>
            <w:pPr>
              <w:spacing w:after="0"/>
              <w:rPr>
                <w:sz w:val="9"/>
                <w:szCs w:val="9"/>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95"/>
              </w:rPr>
              <w:t>62,411,033</w:t>
            </w:r>
          </w:p>
        </w:tc>
        <w:tc>
          <w:tcPr>
            <w:tcW w:w="80" w:type="dxa"/>
            <w:vAlign w:val="bottom"/>
            <w:vMerge w:val="restart"/>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624</w:t>
            </w:r>
          </w:p>
        </w:tc>
        <w:tc>
          <w:tcPr>
            <w:tcW w:w="80" w:type="dxa"/>
            <w:vAlign w:val="bottom"/>
            <w:vMerge w:val="restart"/>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147,973</w:t>
            </w:r>
          </w:p>
        </w:tc>
        <w:tc>
          <w:tcPr>
            <w:tcW w:w="80" w:type="dxa"/>
            <w:vAlign w:val="bottom"/>
            <w:vMerge w:val="restart"/>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60,818</w:t>
            </w:r>
          </w:p>
        </w:tc>
        <w:tc>
          <w:tcPr>
            <w:tcW w:w="80" w:type="dxa"/>
            <w:vAlign w:val="bottom"/>
            <w:vMerge w:val="restart"/>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(821)</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6,206,200</w:t>
            </w:r>
          </w:p>
        </w:tc>
        <w:tc>
          <w:tcPr>
            <w:tcW w:w="80" w:type="dxa"/>
            <w:vAlign w:val="bottom"/>
            <w:vMerge w:val="restart"/>
            <w:shd w:val="clear" w:color="auto" w:fill="CCEEFF"/>
          </w:tcPr>
          <w:p>
            <w:pPr>
              <w:spacing w:after="0"/>
              <w:rPr>
                <w:sz w:val="9"/>
                <w:szCs w:val="9"/>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shd w:val="clear" w:color="auto" w:fill="CCEEFF"/>
          </w:tcPr>
          <w:p>
            <w:pPr>
              <w:ind w:left="60"/>
              <w:spacing w:after="0"/>
              <w:rPr>
                <w:sz w:val="20"/>
                <w:szCs w:val="20"/>
                <w:color w:val="auto"/>
              </w:rPr>
            </w:pPr>
            <w:r>
              <w:rPr>
                <w:rFonts w:ascii="Arial" w:cs="Arial" w:eastAsia="Arial" w:hAnsi="Arial"/>
                <w:sz w:val="10"/>
                <w:szCs w:val="10"/>
                <w:b w:val="1"/>
                <w:bCs w:val="1"/>
                <w:color w:val="auto"/>
              </w:rPr>
              <w:t>(58,928)</w:t>
            </w:r>
          </w:p>
        </w:tc>
        <w:tc>
          <w:tcPr>
            <w:tcW w:w="80" w:type="dxa"/>
            <w:vAlign w:val="bottom"/>
            <w:vMerge w:val="restart"/>
            <w:shd w:val="clear" w:color="auto" w:fill="CCEEFF"/>
          </w:tcPr>
          <w:p>
            <w:pPr>
              <w:spacing w:after="0"/>
              <w:rPr>
                <w:sz w:val="9"/>
                <w:szCs w:val="9"/>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149,666</w:t>
            </w:r>
          </w:p>
        </w:tc>
        <w:tc>
          <w:tcPr>
            <w:tcW w:w="80" w:type="dxa"/>
            <w:vAlign w:val="bottom"/>
            <w:vMerge w:val="restart"/>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w:t>
            </w:r>
          </w:p>
        </w:tc>
        <w:tc>
          <w:tcPr>
            <w:tcW w:w="80" w:type="dxa"/>
            <w:vAlign w:val="bottom"/>
            <w:vMerge w:val="restart"/>
            <w:shd w:val="clear" w:color="auto" w:fill="CCEEFF"/>
          </w:tcPr>
          <w:p>
            <w:pPr>
              <w:spacing w:after="0"/>
              <w:rPr>
                <w:sz w:val="9"/>
                <w:szCs w:val="9"/>
                <w:color w:val="auto"/>
              </w:rPr>
            </w:pPr>
          </w:p>
        </w:tc>
        <w:tc>
          <w:tcPr>
            <w:tcW w:w="140" w:type="dxa"/>
            <w:vAlign w:val="bottom"/>
            <w:vMerge w:val="restart"/>
            <w:shd w:val="clear" w:color="auto" w:fill="CCEEFF"/>
          </w:tcPr>
          <w:p>
            <w:pPr>
              <w:jc w:val="right"/>
              <w:ind w:right="15"/>
              <w:spacing w:after="0"/>
              <w:rPr>
                <w:sz w:val="20"/>
                <w:szCs w:val="20"/>
                <w:color w:val="auto"/>
              </w:rPr>
            </w:pPr>
            <w:r>
              <w:rPr>
                <w:rFonts w:ascii="Arial" w:cs="Arial" w:eastAsia="Arial" w:hAnsi="Arial"/>
                <w:sz w:val="10"/>
                <w:szCs w:val="10"/>
                <w:b w:val="1"/>
                <w:bCs w:val="1"/>
                <w:color w:val="auto"/>
              </w:rPr>
              <w:t>$</w:t>
            </w: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rPr>
              <w:t>149,666</w:t>
            </w:r>
          </w:p>
        </w:tc>
        <w:tc>
          <w:tcPr>
            <w:tcW w:w="0" w:type="dxa"/>
            <w:vAlign w:val="bottom"/>
          </w:tcPr>
          <w:p>
            <w:pPr>
              <w:spacing w:after="0"/>
              <w:rPr>
                <w:sz w:val="1"/>
                <w:szCs w:val="1"/>
                <w:color w:val="auto"/>
              </w:rPr>
            </w:pPr>
          </w:p>
        </w:tc>
      </w:tr>
      <w:tr>
        <w:trPr>
          <w:trHeight w:val="139"/>
        </w:trPr>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2023</w:t>
            </w: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auto"/>
            </w:tcBorders>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auto"/>
            </w:tcBorders>
            <w:vMerge w:val="continue"/>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auto"/>
            </w:tcBorders>
            <w:vMerge w:val="continue"/>
            <w:shd w:val="clear" w:color="auto" w:fill="CCEEFF"/>
          </w:tcPr>
          <w:p>
            <w:pPr>
              <w:spacing w:after="0"/>
              <w:rPr>
                <w:sz w:val="12"/>
                <w:szCs w:val="12"/>
                <w:color w:val="auto"/>
              </w:rPr>
            </w:pPr>
          </w:p>
        </w:tc>
        <w:tc>
          <w:tcPr>
            <w:tcW w:w="4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auto"/>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12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5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17,987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17,987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8"/>
              <w:spacing w:after="0"/>
              <w:rPr>
                <w:sz w:val="20"/>
                <w:szCs w:val="20"/>
                <w:color w:val="auto"/>
              </w:rPr>
            </w:pPr>
            <w:r>
              <w:rPr>
                <w:rFonts w:ascii="Arial" w:cs="Arial" w:eastAsia="Arial" w:hAnsi="Arial"/>
                <w:sz w:val="10"/>
                <w:szCs w:val="10"/>
                <w:color w:val="auto"/>
              </w:rPr>
              <w:t>17,987</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12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color w:val="auto"/>
              </w:rPr>
              <w:t>Stock-based</w:t>
            </w: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2,102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2,102</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2,102</w:t>
            </w:r>
          </w:p>
        </w:tc>
        <w:tc>
          <w:tcPr>
            <w:tcW w:w="0" w:type="dxa"/>
            <w:vAlign w:val="bottom"/>
          </w:tcPr>
          <w:p>
            <w:pPr>
              <w:spacing w:after="0"/>
              <w:rPr>
                <w:sz w:val="1"/>
                <w:szCs w:val="1"/>
                <w:color w:val="auto"/>
              </w:rPr>
            </w:pPr>
          </w:p>
        </w:tc>
      </w:tr>
      <w:tr>
        <w:trPr>
          <w:trHeight w:val="133"/>
        </w:trPr>
        <w:tc>
          <w:tcPr>
            <w:tcW w:w="1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compensation</w:t>
            </w:r>
          </w:p>
        </w:tc>
        <w:tc>
          <w:tcPr>
            <w:tcW w:w="5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vMerge w:val="continue"/>
            <w:shd w:val="clear" w:color="auto" w:fill="CCEEFF"/>
          </w:tcPr>
          <w:p>
            <w:pPr>
              <w:spacing w:after="0"/>
              <w:rPr>
                <w:sz w:val="11"/>
                <w:szCs w:val="11"/>
                <w:color w:val="auto"/>
              </w:rPr>
            </w:pPr>
          </w:p>
        </w:tc>
        <w:tc>
          <w:tcPr>
            <w:tcW w:w="5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Arial" w:cs="Arial" w:eastAsia="Arial" w:hAnsi="Arial"/>
                <w:sz w:val="10"/>
                <w:szCs w:val="10"/>
                <w:color w:val="auto"/>
                <w:w w:val="97"/>
              </w:rPr>
              <w:t>Exercise of stock options</w:t>
            </w:r>
          </w:p>
        </w:tc>
        <w:tc>
          <w:tcPr>
            <w:tcW w:w="540" w:type="dxa"/>
            <w:vAlign w:val="bottom"/>
          </w:tcPr>
          <w:p>
            <w:pPr>
              <w:jc w:val="right"/>
              <w:ind w:right="8"/>
              <w:spacing w:after="0"/>
              <w:rPr>
                <w:sz w:val="20"/>
                <w:szCs w:val="20"/>
                <w:color w:val="auto"/>
              </w:rPr>
            </w:pPr>
            <w:r>
              <w:rPr>
                <w:rFonts w:ascii="Arial" w:cs="Arial" w:eastAsia="Arial" w:hAnsi="Arial"/>
                <w:sz w:val="10"/>
                <w:szCs w:val="10"/>
                <w:color w:val="auto"/>
              </w:rPr>
              <w:t>230,857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5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8"/>
              <w:spacing w:after="0"/>
              <w:rPr>
                <w:sz w:val="20"/>
                <w:szCs w:val="20"/>
                <w:color w:val="auto"/>
              </w:rPr>
            </w:pPr>
            <w:r>
              <w:rPr>
                <w:rFonts w:ascii="Arial" w:cs="Arial" w:eastAsia="Arial" w:hAnsi="Arial"/>
                <w:sz w:val="10"/>
                <w:szCs w:val="10"/>
                <w:color w:val="auto"/>
              </w:rPr>
              <w:t>230,857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2,112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2,114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8"/>
              <w:spacing w:after="0"/>
              <w:rPr>
                <w:sz w:val="20"/>
                <w:szCs w:val="20"/>
                <w:color w:val="auto"/>
              </w:rPr>
            </w:pPr>
            <w:r>
              <w:rPr>
                <w:rFonts w:ascii="Arial" w:cs="Arial" w:eastAsia="Arial" w:hAnsi="Arial"/>
                <w:sz w:val="10"/>
                <w:szCs w:val="10"/>
                <w:color w:val="auto"/>
              </w:rPr>
              <w:t>2,114</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12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color w:val="auto"/>
              </w:rPr>
              <w:t>Foreign currency</w:t>
            </w: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(64)</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(64)</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(64)</w:t>
            </w:r>
          </w:p>
        </w:tc>
        <w:tc>
          <w:tcPr>
            <w:tcW w:w="0" w:type="dxa"/>
            <w:vAlign w:val="bottom"/>
          </w:tcPr>
          <w:p>
            <w:pPr>
              <w:spacing w:after="0"/>
              <w:rPr>
                <w:sz w:val="1"/>
                <w:szCs w:val="1"/>
                <w:color w:val="auto"/>
              </w:rPr>
            </w:pPr>
          </w:p>
        </w:tc>
      </w:tr>
      <w:tr>
        <w:trPr>
          <w:trHeight w:val="153"/>
        </w:trPr>
        <w:tc>
          <w:tcPr>
            <w:tcW w:w="1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translation adjustment</w:t>
            </w:r>
          </w:p>
        </w:tc>
        <w:tc>
          <w:tcPr>
            <w:tcW w:w="5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1120" w:type="dxa"/>
            <w:vAlign w:val="bottom"/>
          </w:tcPr>
          <w:p>
            <w:pPr>
              <w:ind w:left="20"/>
              <w:spacing w:after="0" w:line="85" w:lineRule="exact"/>
              <w:rPr>
                <w:sz w:val="20"/>
                <w:szCs w:val="20"/>
                <w:color w:val="auto"/>
              </w:rPr>
            </w:pPr>
            <w:r>
              <w:rPr>
                <w:rFonts w:ascii="Arial" w:cs="Arial" w:eastAsia="Arial" w:hAnsi="Arial"/>
                <w:sz w:val="9"/>
                <w:szCs w:val="9"/>
                <w:b w:val="1"/>
                <w:bCs w:val="1"/>
                <w:color w:val="auto"/>
              </w:rPr>
              <w:t>Balance at June 30,</w:t>
            </w:r>
          </w:p>
        </w:tc>
        <w:tc>
          <w:tcPr>
            <w:tcW w:w="5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b w:val="1"/>
                <w:bCs w:val="1"/>
                <w:color w:val="auto"/>
                <w:w w:val="91"/>
              </w:rPr>
              <w:t>54,528,785</w:t>
            </w:r>
          </w:p>
        </w:tc>
        <w:tc>
          <w:tcPr>
            <w:tcW w:w="1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rPr>
              <w:t>545</w:t>
            </w:r>
          </w:p>
        </w:tc>
        <w:tc>
          <w:tcPr>
            <w:tcW w:w="620" w:type="dxa"/>
            <w:vAlign w:val="bottom"/>
            <w:tcBorders>
              <w:top w:val="single" w:sz="8" w:color="auto"/>
            </w:tcBorders>
            <w:gridSpan w:val="2"/>
            <w:vMerge w:val="restart"/>
          </w:tcPr>
          <w:p>
            <w:pPr>
              <w:jc w:val="right"/>
              <w:ind w:right="8"/>
              <w:spacing w:after="0"/>
              <w:rPr>
                <w:sz w:val="20"/>
                <w:szCs w:val="20"/>
                <w:color w:val="auto"/>
              </w:rPr>
            </w:pPr>
            <w:r>
              <w:rPr>
                <w:rFonts w:ascii="Arial" w:cs="Arial" w:eastAsia="Arial" w:hAnsi="Arial"/>
                <w:sz w:val="10"/>
                <w:szCs w:val="10"/>
                <w:b w:val="1"/>
                <w:bCs w:val="1"/>
                <w:color w:val="auto"/>
              </w:rPr>
              <w:t>8,113,105</w:t>
            </w:r>
          </w:p>
        </w:tc>
        <w:tc>
          <w:tcPr>
            <w:tcW w:w="1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b w:val="1"/>
                <w:bCs w:val="1"/>
                <w:color w:val="auto"/>
              </w:rPr>
              <w:t>81</w:t>
            </w:r>
          </w:p>
        </w:tc>
        <w:tc>
          <w:tcPr>
            <w:tcW w:w="640" w:type="dxa"/>
            <w:vAlign w:val="bottom"/>
            <w:tcBorders>
              <w:top w:val="single" w:sz="8" w:color="auto"/>
            </w:tcBorders>
            <w:gridSpan w:val="2"/>
            <w:vMerge w:val="restart"/>
          </w:tcPr>
          <w:p>
            <w:pPr>
              <w:jc w:val="right"/>
              <w:ind w:right="8"/>
              <w:spacing w:after="0"/>
              <w:rPr>
                <w:sz w:val="20"/>
                <w:szCs w:val="20"/>
                <w:color w:val="auto"/>
              </w:rPr>
            </w:pPr>
            <w:r>
              <w:rPr>
                <w:rFonts w:ascii="Arial" w:cs="Arial" w:eastAsia="Arial" w:hAnsi="Arial"/>
                <w:sz w:val="10"/>
                <w:szCs w:val="10"/>
                <w:b w:val="1"/>
                <w:bCs w:val="1"/>
                <w:color w:val="auto"/>
              </w:rPr>
              <w:t>62,641,890</w:t>
            </w:r>
          </w:p>
        </w:tc>
        <w:tc>
          <w:tcPr>
            <w:tcW w:w="1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rPr>
              <w:t>626</w:t>
            </w:r>
          </w:p>
        </w:tc>
        <w:tc>
          <w:tcPr>
            <w:tcW w:w="1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rPr>
              <w:t>152,187</w:t>
            </w:r>
          </w:p>
        </w:tc>
        <w:tc>
          <w:tcPr>
            <w:tcW w:w="1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2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0"/>
                <w:szCs w:val="10"/>
                <w:b w:val="1"/>
                <w:bCs w:val="1"/>
                <w:color w:val="auto"/>
              </w:rPr>
              <w:t>78,805</w:t>
            </w:r>
          </w:p>
        </w:tc>
        <w:tc>
          <w:tcPr>
            <w:tcW w:w="1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rPr>
              <w:t>(885)</w:t>
            </w: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b w:val="1"/>
                <w:bCs w:val="1"/>
                <w:color w:val="auto"/>
              </w:rPr>
              <w:t>6,206,200</w:t>
            </w:r>
          </w:p>
        </w:tc>
        <w:tc>
          <w:tcPr>
            <w:tcW w:w="1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tcBorders>
            <w:vMerge w:val="restart"/>
          </w:tcPr>
          <w:p>
            <w:pPr>
              <w:ind w:left="60"/>
              <w:spacing w:after="0"/>
              <w:rPr>
                <w:sz w:val="20"/>
                <w:szCs w:val="20"/>
                <w:color w:val="auto"/>
              </w:rPr>
            </w:pPr>
            <w:r>
              <w:rPr>
                <w:rFonts w:ascii="Arial" w:cs="Arial" w:eastAsia="Arial" w:hAnsi="Arial"/>
                <w:sz w:val="10"/>
                <w:szCs w:val="10"/>
                <w:b w:val="1"/>
                <w:bCs w:val="1"/>
                <w:color w:val="auto"/>
              </w:rPr>
              <w:t>(58,928)</w:t>
            </w:r>
          </w:p>
        </w:tc>
        <w:tc>
          <w:tcPr>
            <w:tcW w:w="1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b w:val="1"/>
                <w:bCs w:val="1"/>
                <w:color w:val="auto"/>
              </w:rPr>
              <w:t>171,805</w:t>
            </w:r>
          </w:p>
        </w:tc>
        <w:tc>
          <w:tcPr>
            <w:tcW w:w="2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b w:val="1"/>
                <w:bCs w:val="1"/>
                <w:color w:val="auto"/>
              </w:rPr>
              <w:t>—</w:t>
            </w:r>
          </w:p>
        </w:tc>
        <w:tc>
          <w:tcPr>
            <w:tcW w:w="220" w:type="dxa"/>
            <w:vAlign w:val="bottom"/>
            <w:tcBorders>
              <w:top w:val="single" w:sz="8" w:color="auto"/>
            </w:tcBorders>
            <w:gridSpan w:val="2"/>
            <w:vMerge w:val="restart"/>
          </w:tcPr>
          <w:p>
            <w:pPr>
              <w:jc w:val="right"/>
              <w:ind w:right="15"/>
              <w:spacing w:after="0"/>
              <w:rPr>
                <w:sz w:val="20"/>
                <w:szCs w:val="20"/>
                <w:color w:val="auto"/>
              </w:rPr>
            </w:pPr>
            <w:r>
              <w:rPr>
                <w:rFonts w:ascii="Arial" w:cs="Arial" w:eastAsia="Arial" w:hAnsi="Arial"/>
                <w:sz w:val="10"/>
                <w:szCs w:val="10"/>
                <w:b w:val="1"/>
                <w:bCs w:val="1"/>
                <w:color w:val="auto"/>
              </w:rPr>
              <w:t>$</w:t>
            </w:r>
          </w:p>
        </w:tc>
        <w:tc>
          <w:tcPr>
            <w:tcW w:w="5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b w:val="1"/>
                <w:bCs w:val="1"/>
                <w:color w:val="auto"/>
              </w:rPr>
              <w:t>171,805</w:t>
            </w:r>
          </w:p>
        </w:tc>
        <w:tc>
          <w:tcPr>
            <w:tcW w:w="0" w:type="dxa"/>
            <w:vAlign w:val="bottom"/>
          </w:tcPr>
          <w:p>
            <w:pPr>
              <w:spacing w:after="0"/>
              <w:rPr>
                <w:sz w:val="1"/>
                <w:szCs w:val="1"/>
                <w:color w:val="auto"/>
              </w:rPr>
            </w:pPr>
          </w:p>
        </w:tc>
      </w:tr>
      <w:tr>
        <w:trPr>
          <w:trHeight w:val="131"/>
        </w:trPr>
        <w:tc>
          <w:tcPr>
            <w:tcW w:w="1120" w:type="dxa"/>
            <w:vAlign w:val="bottom"/>
          </w:tcPr>
          <w:p>
            <w:pPr>
              <w:ind w:left="20"/>
              <w:spacing w:after="0"/>
              <w:rPr>
                <w:sz w:val="20"/>
                <w:szCs w:val="20"/>
                <w:color w:val="auto"/>
              </w:rPr>
            </w:pPr>
            <w:r>
              <w:rPr>
                <w:rFonts w:ascii="Arial" w:cs="Arial" w:eastAsia="Arial" w:hAnsi="Arial"/>
                <w:sz w:val="10"/>
                <w:szCs w:val="10"/>
                <w:b w:val="1"/>
                <w:bCs w:val="1"/>
                <w:color w:val="auto"/>
              </w:rPr>
              <w:t>2023</w:t>
            </w:r>
          </w:p>
        </w:tc>
        <w:tc>
          <w:tcPr>
            <w:tcW w:w="54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gridSpan w:val="2"/>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gridSpan w:val="2"/>
            <w:vMerge w:val="continue"/>
          </w:tcPr>
          <w:p>
            <w:pPr>
              <w:spacing w:after="0"/>
              <w:rPr>
                <w:sz w:val="11"/>
                <w:szCs w:val="11"/>
                <w:color w:val="auto"/>
              </w:rPr>
            </w:pPr>
          </w:p>
        </w:tc>
        <w:tc>
          <w:tcPr>
            <w:tcW w:w="160" w:type="dxa"/>
            <w:vAlign w:val="bottom"/>
            <w:tcBorders>
              <w:bottom w:val="single" w:sz="8" w:color="auto"/>
            </w:tcBorders>
            <w:gridSpan w:val="2"/>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gridSpan w:val="2"/>
            <w:vMerge w:val="continue"/>
          </w:tcPr>
          <w:p>
            <w:pPr>
              <w:spacing w:after="0"/>
              <w:rPr>
                <w:sz w:val="11"/>
                <w:szCs w:val="11"/>
                <w:color w:val="auto"/>
              </w:rPr>
            </w:pPr>
          </w:p>
        </w:tc>
        <w:tc>
          <w:tcPr>
            <w:tcW w:w="160" w:type="dxa"/>
            <w:vAlign w:val="bottom"/>
            <w:tcBorders>
              <w:bottom w:val="single" w:sz="8" w:color="auto"/>
            </w:tcBorders>
            <w:gridSpan w:val="2"/>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gridSpan w:val="2"/>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gridSpan w:val="2"/>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gridSpan w:val="2"/>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gridSpan w:val="2"/>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gridSpan w:val="2"/>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gridSpan w:val="2"/>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tcBorders>
            <w:gridSpan w:val="2"/>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left="2960"/>
        <w:spacing w:after="0"/>
        <w:rPr>
          <w:sz w:val="20"/>
          <w:szCs w:val="20"/>
          <w:color w:val="auto"/>
        </w:rPr>
      </w:pPr>
      <w:r>
        <w:rPr>
          <w:rFonts w:ascii="Arial" w:cs="Arial" w:eastAsia="Arial" w:hAnsi="Arial"/>
          <w:sz w:val="17"/>
          <w:szCs w:val="17"/>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720"/>
          </w:cols>
          <w:pgMar w:left="320" w:top="435" w:right="85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line="276" w:lineRule="auto"/>
        <w:rPr>
          <w:sz w:val="20"/>
          <w:szCs w:val="20"/>
          <w:color w:val="auto"/>
        </w:rPr>
      </w:pPr>
      <w:r>
        <w:rPr>
          <w:rFonts w:ascii="Arial" w:cs="Arial" w:eastAsia="Arial" w:hAnsi="Arial"/>
          <w:sz w:val="17"/>
          <w:szCs w:val="17"/>
          <w:b w:val="1"/>
          <w:bCs w:val="1"/>
          <w:color w:val="auto"/>
        </w:rPr>
        <w:t>THE VITA COCO COMPANY, INC. AND SUBSIDIARIES CONDENSED CONSOLIDATED STATEMENTS OF CASH FLOWS (UNAUDITED)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26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Pr>
          <w:p>
            <w:pPr>
              <w:spacing w:after="0"/>
              <w:rPr>
                <w:sz w:val="15"/>
                <w:szCs w:val="15"/>
                <w:color w:val="auto"/>
              </w:rPr>
            </w:pPr>
          </w:p>
        </w:tc>
      </w:tr>
      <w:tr>
        <w:trPr>
          <w:trHeight w:val="23"/>
        </w:trPr>
        <w:tc>
          <w:tcPr>
            <w:tcW w:w="7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76"/>
        </w:trPr>
        <w:tc>
          <w:tcPr>
            <w:tcW w:w="7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5"/>
                <w:szCs w:val="15"/>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9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22"/>
        </w:trPr>
        <w:tc>
          <w:tcPr>
            <w:tcW w:w="7960" w:type="dxa"/>
            <w:vAlign w:val="bottom"/>
          </w:tcPr>
          <w:p>
            <w:pPr>
              <w:ind w:left="340"/>
              <w:spacing w:after="0"/>
              <w:rPr>
                <w:sz w:val="20"/>
                <w:szCs w:val="20"/>
                <w:color w:val="auto"/>
              </w:rPr>
            </w:pPr>
            <w:r>
              <w:rPr>
                <w:rFonts w:ascii="Arial" w:cs="Arial" w:eastAsia="Arial" w:hAnsi="Arial"/>
                <w:sz w:val="17"/>
                <w:szCs w:val="17"/>
                <w:color w:val="auto"/>
              </w:rPr>
              <w:t>Net income</w:t>
            </w:r>
          </w:p>
        </w:tc>
        <w:tc>
          <w:tcPr>
            <w:tcW w:w="960" w:type="dxa"/>
            <w:vAlign w:val="bottom"/>
          </w:tcPr>
          <w:p>
            <w:pPr>
              <w:jc w:val="right"/>
              <w:ind w:right="762"/>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24,692</w:t>
            </w:r>
          </w:p>
        </w:tc>
        <w:tc>
          <w:tcPr>
            <w:tcW w:w="1040" w:type="dxa"/>
            <w:vAlign w:val="bottom"/>
            <w:gridSpan w:val="2"/>
          </w:tcPr>
          <w:p>
            <w:pPr>
              <w:jc w:val="right"/>
              <w:ind w:right="84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3,366</w:t>
            </w:r>
          </w:p>
        </w:tc>
      </w:tr>
      <w:tr>
        <w:trPr>
          <w:trHeight w:val="235"/>
        </w:trPr>
        <w:tc>
          <w:tcPr>
            <w:tcW w:w="7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Adjustments required to reconcile net income to cash flows from operating activities:</w:t>
            </w: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22"/>
        </w:trPr>
        <w:tc>
          <w:tcPr>
            <w:tcW w:w="7960" w:type="dxa"/>
            <w:vAlign w:val="bottom"/>
          </w:tcPr>
          <w:p>
            <w:pPr>
              <w:ind w:left="640"/>
              <w:spacing w:after="0"/>
              <w:rPr>
                <w:sz w:val="20"/>
                <w:szCs w:val="20"/>
                <w:color w:val="auto"/>
              </w:rPr>
            </w:pPr>
            <w:r>
              <w:rPr>
                <w:rFonts w:ascii="Arial" w:cs="Arial" w:eastAsia="Arial" w:hAnsi="Arial"/>
                <w:sz w:val="17"/>
                <w:szCs w:val="17"/>
                <w:color w:val="auto"/>
              </w:rPr>
              <w:t>Depreciation and amortization</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340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945</w:t>
            </w:r>
          </w:p>
        </w:tc>
      </w:tr>
      <w:tr>
        <w:trPr>
          <w:trHeight w:val="222"/>
        </w:trPr>
        <w:tc>
          <w:tcPr>
            <w:tcW w:w="79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(Gain)/loss on disposal of equipment</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7960" w:type="dxa"/>
            <w:vAlign w:val="bottom"/>
          </w:tcPr>
          <w:p>
            <w:pPr>
              <w:ind w:left="640"/>
              <w:spacing w:after="0"/>
              <w:rPr>
                <w:sz w:val="20"/>
                <w:szCs w:val="20"/>
                <w:color w:val="auto"/>
              </w:rPr>
            </w:pPr>
            <w:r>
              <w:rPr>
                <w:rFonts w:ascii="Arial" w:cs="Arial" w:eastAsia="Arial" w:hAnsi="Arial"/>
                <w:sz w:val="17"/>
                <w:szCs w:val="17"/>
                <w:color w:val="auto"/>
              </w:rPr>
              <w:t>Bad debt expense</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157</w:t>
            </w:r>
          </w:p>
        </w:tc>
      </w:tr>
      <w:tr>
        <w:trPr>
          <w:trHeight w:val="229"/>
        </w:trPr>
        <w:tc>
          <w:tcPr>
            <w:tcW w:w="79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Unrealized (gain)/loss on derivative instruments</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(5,464)</w:t>
            </w:r>
          </w:p>
        </w:tc>
      </w:tr>
      <w:tr>
        <w:trPr>
          <w:trHeight w:val="222"/>
        </w:trPr>
        <w:tc>
          <w:tcPr>
            <w:tcW w:w="7960" w:type="dxa"/>
            <w:vAlign w:val="bottom"/>
          </w:tcPr>
          <w:p>
            <w:pPr>
              <w:ind w:left="640"/>
              <w:spacing w:after="0"/>
              <w:rPr>
                <w:sz w:val="20"/>
                <w:szCs w:val="20"/>
                <w:color w:val="auto"/>
              </w:rPr>
            </w:pPr>
            <w:r>
              <w:rPr>
                <w:rFonts w:ascii="Arial" w:cs="Arial" w:eastAsia="Arial" w:hAnsi="Arial"/>
                <w:sz w:val="17"/>
                <w:szCs w:val="17"/>
                <w:color w:val="auto"/>
              </w:rPr>
              <w:t>Stock-based compensation</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4,264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4,200</w:t>
            </w:r>
          </w:p>
        </w:tc>
      </w:tr>
      <w:tr>
        <w:trPr>
          <w:trHeight w:val="235"/>
        </w:trPr>
        <w:tc>
          <w:tcPr>
            <w:tcW w:w="79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Noncash lease expense</w:t>
            </w: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w:t>
            </w:r>
          </w:p>
        </w:tc>
      </w:tr>
      <w:tr>
        <w:trPr>
          <w:trHeight w:val="222"/>
        </w:trPr>
        <w:tc>
          <w:tcPr>
            <w:tcW w:w="7960" w:type="dxa"/>
            <w:vAlign w:val="bottom"/>
          </w:tcPr>
          <w:p>
            <w:pPr>
              <w:ind w:left="340"/>
              <w:spacing w:after="0"/>
              <w:rPr>
                <w:sz w:val="20"/>
                <w:szCs w:val="20"/>
                <w:color w:val="auto"/>
              </w:rPr>
            </w:pPr>
            <w:r>
              <w:rPr>
                <w:rFonts w:ascii="Arial" w:cs="Arial" w:eastAsia="Arial" w:hAnsi="Arial"/>
                <w:sz w:val="17"/>
                <w:szCs w:val="17"/>
                <w:color w:val="auto"/>
              </w:rPr>
              <w:t>Changes in operating assets and liabilities:</w:t>
            </w: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2"/>
        </w:trPr>
        <w:tc>
          <w:tcPr>
            <w:tcW w:w="796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Accounts receivable</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(46,605)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(27,167)</w:t>
            </w:r>
          </w:p>
        </w:tc>
      </w:tr>
      <w:tr>
        <w:trPr>
          <w:trHeight w:val="229"/>
        </w:trPr>
        <w:tc>
          <w:tcPr>
            <w:tcW w:w="7960" w:type="dxa"/>
            <w:vAlign w:val="bottom"/>
          </w:tcPr>
          <w:p>
            <w:pPr>
              <w:ind w:left="1060"/>
              <w:spacing w:after="0"/>
              <w:rPr>
                <w:sz w:val="20"/>
                <w:szCs w:val="20"/>
                <w:color w:val="auto"/>
              </w:rPr>
            </w:pPr>
            <w:r>
              <w:rPr>
                <w:rFonts w:ascii="Arial" w:cs="Arial" w:eastAsia="Arial" w:hAnsi="Arial"/>
                <w:sz w:val="17"/>
                <w:szCs w:val="17"/>
                <w:color w:val="auto"/>
              </w:rPr>
              <w:t>Inventory</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27,253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4,730</w:t>
            </w:r>
          </w:p>
        </w:tc>
      </w:tr>
      <w:tr>
        <w:trPr>
          <w:trHeight w:val="229"/>
        </w:trPr>
        <w:tc>
          <w:tcPr>
            <w:tcW w:w="796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Prepaid expenses, net supplier advances, and other assets</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(5,713)</w:t>
            </w:r>
          </w:p>
        </w:tc>
      </w:tr>
      <w:tr>
        <w:trPr>
          <w:trHeight w:val="222"/>
        </w:trPr>
        <w:tc>
          <w:tcPr>
            <w:tcW w:w="7960" w:type="dxa"/>
            <w:vAlign w:val="bottom"/>
            <w:tcBorders>
              <w:bottom w:val="single" w:sz="8" w:color="CCEEFF"/>
            </w:tcBorders>
          </w:tcPr>
          <w:p>
            <w:pPr>
              <w:ind w:left="1060"/>
              <w:spacing w:after="0"/>
              <w:rPr>
                <w:sz w:val="20"/>
                <w:szCs w:val="20"/>
                <w:color w:val="auto"/>
              </w:rPr>
            </w:pPr>
            <w:r>
              <w:rPr>
                <w:rFonts w:ascii="Arial" w:cs="Arial" w:eastAsia="Arial" w:hAnsi="Arial"/>
                <w:sz w:val="17"/>
                <w:szCs w:val="17"/>
                <w:color w:val="auto"/>
              </w:rPr>
              <w:t>Accounts payable, accrued expenses, and other liabilities</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14,822</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(8,939)</w:t>
            </w:r>
          </w:p>
        </w:tc>
      </w:tr>
      <w:tr>
        <w:trPr>
          <w:trHeight w:val="215"/>
        </w:trPr>
        <w:tc>
          <w:tcPr>
            <w:tcW w:w="796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7"/>
                <w:szCs w:val="17"/>
                <w:color w:val="auto"/>
              </w:rPr>
              <w:t>Net cash provided by (used in) operating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26,071</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(33,372)</w:t>
            </w:r>
          </w:p>
        </w:tc>
      </w:tr>
      <w:tr>
        <w:trPr>
          <w:trHeight w:val="215"/>
        </w:trPr>
        <w:tc>
          <w:tcPr>
            <w:tcW w:w="796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7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paid for property and equipment</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w:t>
            </w:r>
          </w:p>
        </w:tc>
      </w:tr>
      <w:tr>
        <w:trPr>
          <w:trHeight w:val="235"/>
        </w:trPr>
        <w:tc>
          <w:tcPr>
            <w:tcW w:w="79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Proceeds from sale of property and equipment</w:t>
            </w:r>
          </w:p>
        </w:tc>
        <w:tc>
          <w:tcPr>
            <w:tcW w:w="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796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7"/>
                <w:szCs w:val="17"/>
                <w:color w:val="auto"/>
              </w:rPr>
              <w:t>Net cash used in investing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(857)</w:t>
            </w:r>
          </w:p>
        </w:tc>
      </w:tr>
      <w:tr>
        <w:trPr>
          <w:trHeight w:val="215"/>
        </w:trPr>
        <w:tc>
          <w:tcPr>
            <w:tcW w:w="796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7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exercise of stock options/warrants</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r>
      <w:tr>
        <w:trPr>
          <w:trHeight w:val="229"/>
        </w:trPr>
        <w:tc>
          <w:tcPr>
            <w:tcW w:w="7960" w:type="dxa"/>
            <w:vAlign w:val="bottom"/>
          </w:tcPr>
          <w:p>
            <w:pPr>
              <w:ind w:left="340"/>
              <w:spacing w:after="0"/>
              <w:rPr>
                <w:sz w:val="20"/>
                <w:szCs w:val="20"/>
                <w:color w:val="auto"/>
              </w:rPr>
            </w:pPr>
            <w:r>
              <w:rPr>
                <w:rFonts w:ascii="Arial" w:cs="Arial" w:eastAsia="Arial" w:hAnsi="Arial"/>
                <w:sz w:val="17"/>
                <w:szCs w:val="17"/>
                <w:color w:val="auto"/>
              </w:rPr>
              <w:t>Borrowings on credit facility</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22,000</w:t>
            </w:r>
          </w:p>
        </w:tc>
      </w:tr>
      <w:tr>
        <w:trPr>
          <w:trHeight w:val="229"/>
        </w:trPr>
        <w:tc>
          <w:tcPr>
            <w:tcW w:w="7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Repayments of borrowings on credit facility</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9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Cash received (paid) on notes payable</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r>
      <w:tr>
        <w:trPr>
          <w:trHeight w:val="215"/>
        </w:trPr>
        <w:tc>
          <w:tcPr>
            <w:tcW w:w="796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7"/>
                <w:szCs w:val="17"/>
                <w:color w:val="auto"/>
              </w:rPr>
              <w:t>Net cash provided by (used in)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2,705</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22,226</w:t>
            </w:r>
          </w:p>
        </w:tc>
      </w:tr>
      <w:tr>
        <w:trPr>
          <w:trHeight w:val="215"/>
        </w:trPr>
        <w:tc>
          <w:tcPr>
            <w:tcW w:w="7960" w:type="dxa"/>
            <w:vAlign w:val="bottom"/>
          </w:tcPr>
          <w:p>
            <w:pPr>
              <w:ind w:left="20"/>
              <w:spacing w:after="0"/>
              <w:rPr>
                <w:sz w:val="20"/>
                <w:szCs w:val="20"/>
                <w:color w:val="auto"/>
              </w:rPr>
            </w:pPr>
            <w:r>
              <w:rPr>
                <w:rFonts w:ascii="Arial" w:cs="Arial" w:eastAsia="Arial" w:hAnsi="Arial"/>
                <w:sz w:val="17"/>
                <w:szCs w:val="17"/>
                <w:color w:val="auto"/>
              </w:rPr>
              <w:t>Effects of exchange rate changes on cash and cash equivalents</w:t>
            </w: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r>
      <w:tr>
        <w:trPr>
          <w:trHeight w:val="228"/>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increase/(decrease) in cash and cash equivalents</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28,665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(12,279)</w:t>
            </w:r>
          </w:p>
        </w:tc>
      </w:tr>
      <w:tr>
        <w:trPr>
          <w:trHeight w:val="222"/>
        </w:trPr>
        <w:tc>
          <w:tcPr>
            <w:tcW w:w="7960" w:type="dxa"/>
            <w:vAlign w:val="bottom"/>
          </w:tcPr>
          <w:p>
            <w:pPr>
              <w:ind w:left="20"/>
              <w:spacing w:after="0"/>
              <w:rPr>
                <w:sz w:val="20"/>
                <w:szCs w:val="20"/>
                <w:color w:val="auto"/>
              </w:rPr>
            </w:pPr>
            <w:r>
              <w:rPr>
                <w:rFonts w:ascii="Arial" w:cs="Arial" w:eastAsia="Arial" w:hAnsi="Arial"/>
                <w:sz w:val="17"/>
                <w:szCs w:val="17"/>
                <w:color w:val="auto"/>
              </w:rPr>
              <w:t>Cash and cash equivalents at beginning of the period</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19,629</w:t>
            </w:r>
          </w:p>
        </w:tc>
        <w:tc>
          <w:tcPr>
            <w:tcW w:w="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28,690</w:t>
            </w:r>
          </w:p>
        </w:tc>
      </w:tr>
      <w:tr>
        <w:trPr>
          <w:trHeight w:val="235"/>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end of the period (1)</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48,294</w:t>
            </w:r>
          </w:p>
        </w:tc>
        <w:tc>
          <w:tcPr>
            <w:tcW w:w="104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16,411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7"/>
          <w:szCs w:val="17"/>
          <w:color w:val="auto"/>
        </w:rPr>
        <w:t>Includes $326 and $0 of restricted cash as of June 30, 2023 and 2022, respectively, that were included in other current assets.</w:t>
      </w:r>
    </w:p>
    <w:p>
      <w:pPr>
        <w:spacing w:after="0" w:line="172" w:lineRule="exact"/>
        <w:rPr>
          <w:sz w:val="20"/>
          <w:szCs w:val="20"/>
          <w:color w:val="auto"/>
        </w:rPr>
      </w:pPr>
    </w:p>
    <w:p>
      <w:pPr>
        <w:ind w:left="2960"/>
        <w:spacing w:after="0"/>
        <w:rPr>
          <w:sz w:val="20"/>
          <w:szCs w:val="20"/>
          <w:color w:val="auto"/>
        </w:rPr>
      </w:pPr>
      <w:r>
        <w:rPr>
          <w:rFonts w:ascii="Arial" w:cs="Arial" w:eastAsia="Arial" w:hAnsi="Arial"/>
          <w:sz w:val="17"/>
          <w:szCs w:val="17"/>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20" w:right="2080"/>
        <w:spacing w:after="0" w:line="276" w:lineRule="auto"/>
        <w:rPr>
          <w:sz w:val="20"/>
          <w:szCs w:val="20"/>
          <w:color w:val="auto"/>
        </w:rPr>
      </w:pPr>
      <w:r>
        <w:rPr>
          <w:rFonts w:ascii="Arial" w:cs="Arial" w:eastAsia="Arial" w:hAnsi="Arial"/>
          <w:sz w:val="17"/>
          <w:szCs w:val="17"/>
          <w:b w:val="1"/>
          <w:bCs w:val="1"/>
          <w:color w:val="auto"/>
        </w:rPr>
        <w:t>THE VITA COCO COMPANY, INC. AND SUBSIDIARIES NOTES TO CONDENSED CONSOLIDATED FINANCIAL STATEMENTS (UNAUDITED) (Amounts in thousands, except share and per share amounts)</w:t>
      </w:r>
    </w:p>
    <w:p>
      <w:pPr>
        <w:spacing w:after="0" w:line="273" w:lineRule="exact"/>
        <w:rPr>
          <w:sz w:val="20"/>
          <w:szCs w:val="20"/>
          <w:color w:val="auto"/>
        </w:rPr>
      </w:pPr>
    </w:p>
    <w:p>
      <w:pPr>
        <w:ind w:left="180" w:hanging="175"/>
        <w:spacing w:after="0"/>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NATURE OF BUSINESS AND BASIS OF PRESENTATION</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Vita Coco Company, Inc. and subsidiaries (the “Company”) develops, markets, and distributes various coconut water products under the brand name</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Vita Coco </w:t>
      </w:r>
      <w:r>
        <w:rPr>
          <w:rFonts w:ascii="Arial" w:cs="Arial" w:eastAsia="Arial" w:hAnsi="Arial"/>
          <w:sz w:val="15"/>
          <w:szCs w:val="15"/>
          <w:color w:val="auto"/>
        </w:rPr>
        <w:t>and for retailers' own brands, predominantly in the United States. Other products include coconut milk, natural energy drinks (under the brand name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Runa</w:t>
      </w:r>
      <w:r>
        <w:rPr>
          <w:rFonts w:ascii="Arial" w:cs="Arial" w:eastAsia="Arial" w:hAnsi="Arial"/>
          <w:sz w:val="16"/>
          <w:szCs w:val="16"/>
          <w:color w:val="auto"/>
        </w:rPr>
        <w:t>), coconut oil, water (under the brand name</w:t>
      </w:r>
      <w:r>
        <w:rPr>
          <w:rFonts w:ascii="Arial" w:cs="Arial" w:eastAsia="Arial" w:hAnsi="Arial"/>
          <w:sz w:val="16"/>
          <w:szCs w:val="16"/>
          <w:i w:val="1"/>
          <w:iCs w:val="1"/>
          <w:color w:val="auto"/>
        </w:rPr>
        <w:t xml:space="preserve"> Ever &amp; Ever</w:t>
      </w:r>
      <w:r>
        <w:rPr>
          <w:rFonts w:ascii="Arial" w:cs="Arial" w:eastAsia="Arial" w:hAnsi="Arial"/>
          <w:sz w:val="16"/>
          <w:szCs w:val="16"/>
          <w:color w:val="auto"/>
        </w:rPr>
        <w:t>), protein infused fitness drinks (under the brand name</w:t>
      </w:r>
      <w:r>
        <w:rPr>
          <w:rFonts w:ascii="Arial" w:cs="Arial" w:eastAsia="Arial" w:hAnsi="Arial"/>
          <w:sz w:val="16"/>
          <w:szCs w:val="16"/>
          <w:i w:val="1"/>
          <w:iCs w:val="1"/>
          <w:color w:val="auto"/>
        </w:rPr>
        <w:t xml:space="preserve"> PWR LIFT) </w:t>
      </w:r>
      <w:r>
        <w:rPr>
          <w:rFonts w:ascii="Arial" w:cs="Arial" w:eastAsia="Arial" w:hAnsi="Arial"/>
          <w:sz w:val="16"/>
          <w:szCs w:val="16"/>
          <w:color w:val="auto"/>
        </w:rPr>
        <w:t>and coconut as a commodity.</w:t>
      </w:r>
    </w:p>
    <w:p>
      <w:pPr>
        <w:spacing w:after="0" w:line="222" w:lineRule="exact"/>
        <w:rPr>
          <w:sz w:val="20"/>
          <w:szCs w:val="20"/>
          <w:color w:val="auto"/>
        </w:rPr>
      </w:pPr>
    </w:p>
    <w:p>
      <w:pPr>
        <w:ind w:right="320" w:firstLine="470"/>
        <w:spacing w:after="0" w:line="358" w:lineRule="auto"/>
        <w:rPr>
          <w:sz w:val="20"/>
          <w:szCs w:val="20"/>
          <w:color w:val="auto"/>
        </w:rPr>
      </w:pPr>
      <w:r>
        <w:rPr>
          <w:rFonts w:ascii="Arial" w:cs="Arial" w:eastAsia="Arial" w:hAnsi="Arial"/>
          <w:sz w:val="15"/>
          <w:szCs w:val="15"/>
          <w:color w:val="auto"/>
        </w:rPr>
        <w:t xml:space="preserve">The Company was incorporated in Delaware as All Market Inc. on January 17, 2007. On September 9, 2021, we changed our name to The Vita Coco Company, Inc. In 2018, the Company purchased certain assets and liabilities of </w:t>
      </w:r>
      <w:r>
        <w:rPr>
          <w:rFonts w:ascii="Arial" w:cs="Arial" w:eastAsia="Arial" w:hAnsi="Arial"/>
          <w:sz w:val="15"/>
          <w:szCs w:val="15"/>
          <w:i w:val="1"/>
          <w:iCs w:val="1"/>
          <w:color w:val="auto"/>
        </w:rPr>
        <w:t>Runa</w:t>
      </w:r>
      <w:r>
        <w:rPr>
          <w:rFonts w:ascii="Arial" w:cs="Arial" w:eastAsia="Arial" w:hAnsi="Arial"/>
          <w:sz w:val="15"/>
          <w:szCs w:val="15"/>
          <w:color w:val="auto"/>
        </w:rPr>
        <w:t>, which is marketed and distributed primarily in the United States.</w:t>
      </w:r>
    </w:p>
    <w:p>
      <w:pPr>
        <w:spacing w:after="0" w:line="113" w:lineRule="exact"/>
        <w:rPr>
          <w:sz w:val="20"/>
          <w:szCs w:val="20"/>
          <w:color w:val="auto"/>
        </w:rPr>
      </w:pPr>
    </w:p>
    <w:p>
      <w:pPr>
        <w:ind w:right="20" w:firstLine="470"/>
        <w:spacing w:after="0" w:line="324" w:lineRule="auto"/>
        <w:rPr>
          <w:sz w:val="20"/>
          <w:szCs w:val="20"/>
          <w:color w:val="auto"/>
        </w:rPr>
      </w:pPr>
      <w:r>
        <w:rPr>
          <w:rFonts w:ascii="Arial" w:cs="Arial" w:eastAsia="Arial" w:hAnsi="Arial"/>
          <w:sz w:val="15"/>
          <w:szCs w:val="15"/>
          <w:color w:val="auto"/>
        </w:rPr>
        <w:t>We are a public benefit corporation under Section 362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w:t>
      </w:r>
    </w:p>
    <w:p>
      <w:pPr>
        <w:spacing w:after="0" w:line="13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Company has nine wholly-owned subsidiaries including four wholly-owned Asian subsidiaries established between fiscal 2012 and 2015, four North American subsidiaries established between 2012 and 2018, as well as All Market Europe, Ltd. ("AME") in the United Kingdom of which the Company became the sole shareholder as of December 31, 2021.</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Unaudited interim financial information</w:t>
      </w:r>
    </w:p>
    <w:p>
      <w:pPr>
        <w:spacing w:after="0" w:line="118" w:lineRule="exact"/>
        <w:rPr>
          <w:sz w:val="20"/>
          <w:szCs w:val="20"/>
          <w:color w:val="auto"/>
        </w:rPr>
      </w:pPr>
    </w:p>
    <w:p>
      <w:pPr>
        <w:ind w:right="20" w:firstLine="470"/>
        <w:spacing w:after="0" w:line="280" w:lineRule="auto"/>
        <w:rPr>
          <w:sz w:val="20"/>
          <w:szCs w:val="20"/>
          <w:color w:val="auto"/>
        </w:rPr>
      </w:pPr>
      <w:r>
        <w:rPr>
          <w:rFonts w:ascii="Arial" w:cs="Arial" w:eastAsia="Arial" w:hAnsi="Arial"/>
          <w:sz w:val="16"/>
          <w:szCs w:val="16"/>
          <w:color w:val="auto"/>
        </w:rPr>
        <w:t>The Company’s condensed consolidated interim financial statements are prepared in accordance with accounting principles generally accepted in the United States of America (“U.S. GAAP”) and Article 10 of Regulation S-X. As permitted under those rules, certain footnotes or other financial information that are normally required by U.S. GAAP can be condensed or omitted. In the opinion of the Company, the accompanying unaudited condensed consolidated financial statements contain all adjustments, consisting of only normal recurring adjustments, necessary for a fair presentation of the Company’s financial information for the interim period presented. These interim results are not necessarily indicative of the results to be expected for the year ending December 31, 2023 or for any other interim period or for any other future year. The condensed consolidated balance sheet as of June 30, 2023 is unaudited and should be read in conjunction with the audited consolidated financial statements and the related notes thereto for the fiscal year ended December 31, 2022.</w:t>
      </w:r>
    </w:p>
    <w:p>
      <w:pPr>
        <w:spacing w:after="0" w:line="170" w:lineRule="exact"/>
        <w:rPr>
          <w:sz w:val="20"/>
          <w:szCs w:val="20"/>
          <w:color w:val="auto"/>
        </w:rPr>
      </w:pPr>
    </w:p>
    <w:p>
      <w:pPr>
        <w:jc w:val="both"/>
        <w:ind w:right="440" w:firstLine="470"/>
        <w:spacing w:after="0" w:line="272" w:lineRule="auto"/>
        <w:rPr>
          <w:sz w:val="20"/>
          <w:szCs w:val="20"/>
          <w:color w:val="auto"/>
        </w:rPr>
      </w:pPr>
      <w:r>
        <w:rPr>
          <w:rFonts w:ascii="Arial" w:cs="Arial" w:eastAsia="Arial" w:hAnsi="Arial"/>
          <w:sz w:val="17"/>
          <w:szCs w:val="17"/>
          <w:color w:val="auto"/>
        </w:rPr>
        <w:t>During the six months ended June 30, 2023, there were no significant changes to the Company’s significant accounting policies as described in the Company’s audited consolidated financial statements as of and for the year ended December 31, 2022, except for the adoption of ASU 2016-13, Financial Instruments - Credit Losses (Topic 326):</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Measurement of Credit Losses on Financial Instruments as described in Note 2, under "Recently Adopted Accounting Pronouncements".</w:t>
      </w:r>
    </w:p>
    <w:p>
      <w:pPr>
        <w:spacing w:after="0" w:line="327" w:lineRule="exact"/>
        <w:rPr>
          <w:sz w:val="20"/>
          <w:szCs w:val="20"/>
          <w:color w:val="auto"/>
        </w:rPr>
      </w:pPr>
    </w:p>
    <w:p>
      <w:pPr>
        <w:ind w:left="180" w:hanging="175"/>
        <w:spacing w:after="0"/>
        <w:tabs>
          <w:tab w:leader="none" w:pos="1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SUMMARY OF SIGNIFICANT ACCOUNTING POLICIES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of Presentation</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accompanying condensed consolidated financial statements are presented in accordance with U.S. GAAP.</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Principles of Consolidation</w:t>
      </w:r>
    </w:p>
    <w:p>
      <w:pPr>
        <w:spacing w:after="0" w:line="118" w:lineRule="exact"/>
        <w:rPr>
          <w:sz w:val="20"/>
          <w:szCs w:val="20"/>
          <w:color w:val="auto"/>
        </w:rPr>
      </w:pPr>
    </w:p>
    <w:p>
      <w:pPr>
        <w:ind w:right="120" w:firstLine="470"/>
        <w:spacing w:after="0" w:line="288" w:lineRule="auto"/>
        <w:rPr>
          <w:sz w:val="20"/>
          <w:szCs w:val="20"/>
          <w:color w:val="auto"/>
        </w:rPr>
      </w:pPr>
      <w:r>
        <w:rPr>
          <w:rFonts w:ascii="Arial" w:cs="Arial" w:eastAsia="Arial" w:hAnsi="Arial"/>
          <w:sz w:val="17"/>
          <w:szCs w:val="17"/>
          <w:color w:val="auto"/>
        </w:rPr>
        <w:t>The condensed consolidated financial statements include all the accounts of the wholly-owned subsidiaries. All intercompany accounts and transactions have been eliminated in consolidation.</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 of Estimates</w:t>
      </w:r>
    </w:p>
    <w:p>
      <w:pPr>
        <w:spacing w:after="0" w:line="26" w:lineRule="exact"/>
        <w:rPr>
          <w:sz w:val="20"/>
          <w:szCs w:val="20"/>
          <w:color w:val="auto"/>
        </w:rPr>
      </w:pPr>
    </w:p>
    <w:p>
      <w:pPr>
        <w:ind w:right="20" w:firstLine="470"/>
        <w:spacing w:after="0" w:line="257" w:lineRule="auto"/>
        <w:rPr>
          <w:sz w:val="20"/>
          <w:szCs w:val="20"/>
          <w:color w:val="auto"/>
        </w:rPr>
      </w:pPr>
      <w:r>
        <w:rPr>
          <w:rFonts w:ascii="Arial" w:cs="Arial" w:eastAsia="Arial" w:hAnsi="Arial"/>
          <w:sz w:val="17"/>
          <w:szCs w:val="17"/>
          <w:color w:val="auto"/>
        </w:rPr>
        <w:t>Preparation of condensed consolidated financial statements in conformity with U.S. GAAP requires management to make estimates and assumptions that affect the reported amounts of assets and liabilities and disclosure of contingent assets</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and liabilities at the date of the condensed consolidated financial statements and the reported amounts of revenues and expenses during the reporting period. Management considers many factors in selecting appropriate financial accounting policies and controls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Additionally, uncertainty in the macroeconomic environment resulting from current geopolitical and economic instability (including the effects of the conflict between Ukraine and Russia) and the high interest rate and inflationary cost environment make estimates and assumptions difficult to calculate with precision. The estimation process often may yield a range of reasonable estimates of the ultimate future outcomes, and management must select an amount that falls within that range of reasonable estimates. The most significant estimates in the condensed consolidated financial statements relate to share-based compensation, assessing long-lived assets for impairment, estimating the net realizable value of inventories, determining the accounts receivables reserve, assessing goodwill for impairment, determining the value of trade promotions, and assessing the realizability of deferred income taxes. Actual results could differ from those estimates.</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Concentration of Credit Risk</w:t>
      </w:r>
    </w:p>
    <w:p>
      <w:pPr>
        <w:spacing w:after="0" w:line="118" w:lineRule="exact"/>
        <w:rPr>
          <w:sz w:val="20"/>
          <w:szCs w:val="20"/>
          <w:color w:val="auto"/>
        </w:rPr>
      </w:pPr>
    </w:p>
    <w:p>
      <w:pPr>
        <w:ind w:right="240" w:firstLine="470"/>
        <w:spacing w:after="0" w:line="264" w:lineRule="auto"/>
        <w:rPr>
          <w:sz w:val="20"/>
          <w:szCs w:val="20"/>
          <w:color w:val="auto"/>
        </w:rPr>
      </w:pPr>
      <w:r>
        <w:rPr>
          <w:rFonts w:ascii="Arial" w:cs="Arial" w:eastAsia="Arial" w:hAnsi="Arial"/>
          <w:sz w:val="17"/>
          <w:szCs w:val="17"/>
          <w:color w:val="auto"/>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institutions, which may include banks, financial institutions and investment firms, and invest daily or reserve operating cash in money market funds, government securities, bank obligations, municipal securities or other investment vehicles with short-term maturities.</w:t>
      </w:r>
    </w:p>
    <w:p>
      <w:pPr>
        <w:spacing w:after="0" w:line="75" w:lineRule="exact"/>
        <w:rPr>
          <w:sz w:val="20"/>
          <w:szCs w:val="20"/>
          <w:color w:val="auto"/>
        </w:rPr>
      </w:pPr>
    </w:p>
    <w:p>
      <w:pPr>
        <w:ind w:right="160" w:firstLine="470"/>
        <w:spacing w:after="0" w:line="261" w:lineRule="auto"/>
        <w:rPr>
          <w:sz w:val="20"/>
          <w:szCs w:val="20"/>
          <w:color w:val="auto"/>
        </w:rPr>
      </w:pPr>
      <w:r>
        <w:rPr>
          <w:rFonts w:ascii="Arial" w:cs="Arial" w:eastAsia="Arial" w:hAnsi="Arial"/>
          <w:sz w:val="17"/>
          <w:szCs w:val="17"/>
          <w:color w:val="auto"/>
        </w:rPr>
        <w:t xml:space="preserve">Substantially all of the Company’s customers are either wholesalers or retailers of beverages. A material default in payment, a material reduction in purchases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in aggregate represented 53% and 54% of total net sales for the six months ended June 30, 2023 and 2022, respectively. In addition, the two customers in aggregate also accounted for 52% and 39% of total accounts receivable as of June 30, 2023 and December 31, 2022, respectively. The Company has not experienced credit issues with these customers. Refer to Note 7,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and Note 16,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regarding additional information on our major customers.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1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June 2016, the Financial Accounting Standards Board ("FASB") issued ASU 2016-13, Financial Instruments - Credit Losses (Topic 326): Measurement of Credit Losses on Financial Instruments ("ASU 2016-13"). The new accounting standard introduced the current expected credit losses methodology ("CECL") for estimating allowances for credit losses. The measurement of expected credit losses under the CECL methodology is applicable to financial assets measured at amortized costs, including loans and trade receivables. ASU 2016-13 is effective for the Company, as an Emerging Growth Company ("EGC"), for annual and interim reporting periods beginning after December 15, 2022. The Company adopted the standard on January 1, 2023 using the modified retrospective method for all financial assets in scope. The amounts for reporting periods beginning after January 1, 2023 are presented under ASC 326 methodology, while prior period amounts continue to be reported in accordance with previously applicable U.S. GAAP.</w:t>
      </w:r>
    </w:p>
    <w:p>
      <w:pPr>
        <w:spacing w:after="0" w:line="295"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color w:val="auto"/>
        </w:rPr>
        <w:t>As a part of the adoption, the Company selected to apply roll-rate method to estimate current expected credit losses for its accounts receivable population and weighted average remaining maturity ("WARM") method for supplier advances.</w:t>
      </w:r>
    </w:p>
    <w:p>
      <w:pPr>
        <w:spacing w:after="0" w:line="184" w:lineRule="exact"/>
        <w:rPr>
          <w:sz w:val="20"/>
          <w:szCs w:val="20"/>
          <w:color w:val="auto"/>
        </w:rPr>
      </w:pPr>
    </w:p>
    <w:p>
      <w:pPr>
        <w:ind w:right="280" w:firstLine="627"/>
        <w:spacing w:after="0" w:line="256" w:lineRule="auto"/>
        <w:rPr>
          <w:sz w:val="20"/>
          <w:szCs w:val="20"/>
          <w:color w:val="auto"/>
        </w:rPr>
      </w:pPr>
      <w:r>
        <w:rPr>
          <w:rFonts w:ascii="Arial" w:cs="Arial" w:eastAsia="Arial" w:hAnsi="Arial"/>
          <w:sz w:val="17"/>
          <w:szCs w:val="17"/>
          <w:color w:val="auto"/>
        </w:rPr>
        <w:t>The difference of $1,070 between the incurred credit loss estimate and current expected credit loss estimate was recorded as cumulative effect adjustment to the Company’s opening retained earnings and reflected on the consolidated balance sheet as of January 1, 2023 as a result of the ASC 326 adoption. The adoption of the standard did not have a material impact on the Company’s consolidated statements of operations, or consolidated statements of cash flows. The following table illustrates the impact of ASC 326.</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4"/>
              </w:rPr>
              <w:t>As of January 1, 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6600" w:type="dxa"/>
            <w:vAlign w:val="bottom"/>
          </w:tcPr>
          <w:p>
            <w:pPr>
              <w:spacing w:after="0"/>
              <w:rPr>
                <w:sz w:val="10"/>
                <w:szCs w:val="10"/>
                <w:color w:val="auto"/>
              </w:rPr>
            </w:pPr>
          </w:p>
        </w:tc>
        <w:tc>
          <w:tcPr>
            <w:tcW w:w="1480" w:type="dxa"/>
            <w:vAlign w:val="bottom"/>
            <w:gridSpan w:val="2"/>
          </w:tcPr>
          <w:p>
            <w:pPr>
              <w:jc w:val="right"/>
              <w:spacing w:after="0" w:line="124" w:lineRule="exact"/>
              <w:rPr>
                <w:sz w:val="20"/>
                <w:szCs w:val="20"/>
                <w:color w:val="auto"/>
              </w:rPr>
            </w:pPr>
            <w:r>
              <w:rPr>
                <w:rFonts w:ascii="Arial" w:cs="Arial" w:eastAsia="Arial" w:hAnsi="Arial"/>
                <w:sz w:val="14"/>
                <w:szCs w:val="14"/>
                <w:b w:val="1"/>
                <w:bCs w:val="1"/>
                <w:color w:val="auto"/>
                <w:w w:val="91"/>
              </w:rPr>
              <w:t>As reported under ASC</w:t>
            </w:r>
          </w:p>
        </w:tc>
        <w:tc>
          <w:tcPr>
            <w:tcW w:w="100" w:type="dxa"/>
            <w:vAlign w:val="bottom"/>
          </w:tcPr>
          <w:p>
            <w:pPr>
              <w:spacing w:after="0"/>
              <w:rPr>
                <w:sz w:val="10"/>
                <w:szCs w:val="10"/>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Pre-ASC 326 adoption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jc w:val="right"/>
              <w:ind w:right="100"/>
              <w:spacing w:after="0" w:line="124" w:lineRule="exact"/>
              <w:rPr>
                <w:sz w:val="20"/>
                <w:szCs w:val="20"/>
                <w:color w:val="auto"/>
              </w:rPr>
            </w:pPr>
            <w:r>
              <w:rPr>
                <w:rFonts w:ascii="Arial" w:cs="Arial" w:eastAsia="Arial" w:hAnsi="Arial"/>
                <w:sz w:val="14"/>
                <w:szCs w:val="14"/>
                <w:b w:val="1"/>
                <w:bCs w:val="1"/>
                <w:color w:val="auto"/>
                <w:w w:val="92"/>
              </w:rPr>
              <w:t>Impact of ASC 326</w:t>
            </w:r>
          </w:p>
        </w:tc>
        <w:tc>
          <w:tcPr>
            <w:tcW w:w="0" w:type="dxa"/>
            <w:vAlign w:val="bottom"/>
          </w:tcPr>
          <w:p>
            <w:pPr>
              <w:spacing w:after="0"/>
              <w:rPr>
                <w:sz w:val="1"/>
                <w:szCs w:val="1"/>
                <w:color w:val="auto"/>
              </w:rPr>
            </w:pPr>
          </w:p>
        </w:tc>
      </w:tr>
      <w:tr>
        <w:trPr>
          <w:trHeight w:val="189"/>
        </w:trPr>
        <w:tc>
          <w:tcPr>
            <w:tcW w:w="66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326</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adoption</w:t>
            </w: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credit losses on accounts receivables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3,552</w:t>
            </w:r>
          </w:p>
        </w:tc>
        <w:tc>
          <w:tcPr>
            <w:tcW w:w="660" w:type="dxa"/>
            <w:vAlign w:val="bottom"/>
            <w:gridSpan w:val="2"/>
            <w:shd w:val="clear" w:color="auto" w:fill="CCEEFF"/>
          </w:tcPr>
          <w:p>
            <w:pPr>
              <w:jc w:val="right"/>
              <w:ind w:right="39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7"/>
                <w:szCs w:val="17"/>
                <w:color w:val="auto"/>
              </w:rPr>
              <w:t>Allowance for credit losses on supplier advances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49"/>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3,968</w:t>
            </w:r>
          </w:p>
        </w:tc>
        <w:tc>
          <w:tcPr>
            <w:tcW w:w="660" w:type="dxa"/>
            <w:vAlign w:val="bottom"/>
            <w:gridSpan w:val="2"/>
            <w:shd w:val="clear" w:color="auto" w:fill="CCEEFF"/>
          </w:tcPr>
          <w:p>
            <w:pPr>
              <w:jc w:val="right"/>
              <w:ind w:right="39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118"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As a company with less than $1.235 billion of revenue during the last fiscal year, the Company currently qualifies as an EGC as defined in the Jumpstart Our Business Startups Act. This classification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 Based on the closing share price and the market value of the Company's common stock held by non-affiliates as of June 30, 2023, the Company will be deemed a large accelerated public company filer as of December 31, 2023. As a result, beginning with the Annual Report on Form 10-K for the year ending December 31, 2023, the Company will not be able to rely on the extended transition period noted above and will be required to adopt all new accounting pronouncements within the same time periods as public companies.</w:t>
      </w:r>
    </w:p>
    <w:p>
      <w:pPr>
        <w:spacing w:after="0" w:line="275" w:lineRule="exact"/>
        <w:rPr>
          <w:sz w:val="20"/>
          <w:szCs w:val="20"/>
          <w:color w:val="auto"/>
        </w:rPr>
      </w:pPr>
    </w:p>
    <w:p>
      <w:pPr>
        <w:ind w:left="180" w:hanging="175"/>
        <w:spacing w:after="0"/>
        <w:tabs>
          <w:tab w:leader="none" w:pos="1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REVENUE RECOGNITION</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Revenues are accounted for in accordance with ASC 606. The Company disaggregates revenue into the following product categories:</w:t>
      </w:r>
    </w:p>
    <w:p>
      <w:pPr>
        <w:spacing w:after="0" w:line="118" w:lineRule="exact"/>
        <w:rPr>
          <w:sz w:val="20"/>
          <w:szCs w:val="20"/>
          <w:color w:val="auto"/>
        </w:rPr>
      </w:pPr>
    </w:p>
    <w:p>
      <w:pPr>
        <w:ind w:left="780" w:right="40" w:hanging="305"/>
        <w:spacing w:after="0" w:line="313"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Vita Coco Coconut Water</w:t>
      </w:r>
      <w:r>
        <w:rPr>
          <w:rFonts w:ascii="Arial" w:cs="Arial" w:eastAsia="Arial" w:hAnsi="Arial"/>
          <w:sz w:val="15"/>
          <w:szCs w:val="15"/>
          <w:color w:val="auto"/>
        </w:rPr>
        <w:t>—This product category consists of all branded coconut water product offerings under the Vita Coco labels, where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spacing w:after="0" w:line="41" w:lineRule="exact"/>
        <w:rPr>
          <w:rFonts w:ascii="Arial" w:cs="Arial" w:eastAsia="Arial" w:hAnsi="Arial"/>
          <w:sz w:val="15"/>
          <w:szCs w:val="15"/>
          <w:color w:val="auto"/>
        </w:rPr>
      </w:pPr>
    </w:p>
    <w:p>
      <w:pPr>
        <w:ind w:left="780" w:right="40" w:hanging="305"/>
        <w:spacing w:after="0" w:line="288"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Private Label</w:t>
      </w:r>
      <w:r>
        <w:rPr>
          <w:rFonts w:ascii="Arial" w:cs="Arial" w:eastAsia="Arial" w:hAnsi="Arial"/>
          <w:sz w:val="16"/>
          <w:szCs w:val="16"/>
          <w:color w:val="auto"/>
        </w:rPr>
        <w:t>—This product category consists of all private label product offerings, which includes coconut water and oil. The Company determined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57" w:lineRule="exact"/>
        <w:rPr>
          <w:rFonts w:ascii="Arial" w:cs="Arial" w:eastAsia="Arial" w:hAnsi="Arial"/>
          <w:sz w:val="16"/>
          <w:szCs w:val="16"/>
          <w:color w:val="auto"/>
        </w:rPr>
      </w:pPr>
    </w:p>
    <w:p>
      <w:pPr>
        <w:ind w:left="780" w:right="400" w:hanging="305"/>
        <w:spacing w:after="0" w:line="324"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Other</w:t>
      </w:r>
      <w:r>
        <w:rPr>
          <w:rFonts w:ascii="Arial" w:cs="Arial" w:eastAsia="Arial" w:hAnsi="Arial"/>
          <w:sz w:val="15"/>
          <w:szCs w:val="15"/>
          <w:color w:val="auto"/>
        </w:rPr>
        <w:t>—This product category consists of all other products, which includes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Runa</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Ever &amp; Ever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PWR LIFT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 offerings and Vita Coco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 extensions beyond coconut water, coconut milk products, and other revenue transactions (e.g., bulk product sales). For these products, control is transferred upon customer receipt, at which point the Company recognizes the transaction price for the product as revenue.</w:t>
      </w:r>
    </w:p>
    <w:p>
      <w:pPr>
        <w:spacing w:after="0" w:line="138" w:lineRule="exact"/>
        <w:rPr>
          <w:sz w:val="20"/>
          <w:szCs w:val="20"/>
          <w:color w:val="auto"/>
        </w:rPr>
      </w:pPr>
    </w:p>
    <w:p>
      <w:pPr>
        <w:ind w:right="440" w:firstLine="470"/>
        <w:spacing w:after="0" w:line="288" w:lineRule="auto"/>
        <w:rPr>
          <w:sz w:val="20"/>
          <w:szCs w:val="20"/>
          <w:color w:val="auto"/>
        </w:rPr>
      </w:pPr>
      <w:r>
        <w:rPr>
          <w:rFonts w:ascii="Arial" w:cs="Arial" w:eastAsia="Arial" w:hAnsi="Arial"/>
          <w:sz w:val="17"/>
          <w:szCs w:val="17"/>
          <w:color w:val="auto"/>
        </w:rPr>
        <w:t>The Company excludes from revenues all taxes assessed by a governmental authority that are imposed on the sale of its products and collected from customers.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disaggregates net revenue by product type and reportable segment: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gridSpan w:val="9"/>
          </w:tcPr>
          <w:p>
            <w:pPr>
              <w:jc w:val="center"/>
              <w:ind w:left="878"/>
              <w:spacing w:after="0"/>
              <w:rPr>
                <w:sz w:val="20"/>
                <w:szCs w:val="20"/>
                <w:color w:val="auto"/>
              </w:rPr>
            </w:pPr>
            <w:r>
              <w:rPr>
                <w:rFonts w:ascii="Arial" w:cs="Arial" w:eastAsia="Arial" w:hAnsi="Arial"/>
                <w:sz w:val="14"/>
                <w:szCs w:val="14"/>
                <w:b w:val="1"/>
                <w:bCs w:val="1"/>
                <w:color w:val="auto"/>
                <w:w w:val="89"/>
              </w:rPr>
              <w:t>Three Months Ended June 30, 2023</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Americas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International</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Vita Coco Coconut Water</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95,004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12,720</w:t>
            </w:r>
          </w:p>
        </w:tc>
        <w:tc>
          <w:tcPr>
            <w:tcW w:w="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107,724</w:t>
            </w:r>
          </w:p>
        </w:tc>
        <w:tc>
          <w:tcPr>
            <w:tcW w:w="0" w:type="dxa"/>
            <w:vAlign w:val="bottom"/>
          </w:tcPr>
          <w:p>
            <w:pPr>
              <w:spacing w:after="0"/>
              <w:rPr>
                <w:sz w:val="1"/>
                <w:szCs w:val="1"/>
                <w:color w:val="auto"/>
              </w:rPr>
            </w:pPr>
          </w:p>
        </w:tc>
      </w:tr>
      <w:tr>
        <w:trPr>
          <w:trHeight w:val="222"/>
        </w:trPr>
        <w:tc>
          <w:tcPr>
            <w:tcW w:w="6600" w:type="dxa"/>
            <w:vAlign w:val="bottom"/>
          </w:tcPr>
          <w:p>
            <w:pPr>
              <w:ind w:left="20"/>
              <w:spacing w:after="0"/>
              <w:rPr>
                <w:sz w:val="20"/>
                <w:szCs w:val="20"/>
                <w:color w:val="auto"/>
              </w:rPr>
            </w:pPr>
            <w:r>
              <w:rPr>
                <w:rFonts w:ascii="Arial" w:cs="Arial" w:eastAsia="Arial" w:hAnsi="Arial"/>
                <w:sz w:val="17"/>
                <w:szCs w:val="17"/>
                <w:color w:val="auto"/>
              </w:rPr>
              <w:t>Private Label</w:t>
            </w:r>
          </w:p>
        </w:tc>
        <w:tc>
          <w:tcPr>
            <w:tcW w:w="2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24,059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5,053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29,112</w:t>
            </w:r>
          </w:p>
        </w:tc>
        <w:tc>
          <w:tcPr>
            <w:tcW w:w="0" w:type="dxa"/>
            <w:vAlign w:val="bottom"/>
          </w:tcPr>
          <w:p>
            <w:pPr>
              <w:spacing w:after="0"/>
              <w:rPr>
                <w:sz w:val="1"/>
                <w:szCs w:val="1"/>
                <w:color w:val="auto"/>
              </w:rPr>
            </w:pPr>
          </w:p>
        </w:tc>
      </w:tr>
      <w:tr>
        <w:trPr>
          <w:trHeight w:val="222"/>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2,809</w:t>
            </w:r>
          </w:p>
        </w:tc>
        <w:tc>
          <w:tcPr>
            <w:tcW w:w="0" w:type="dxa"/>
            <w:vAlign w:val="bottom"/>
          </w:tcPr>
          <w:p>
            <w:pPr>
              <w:spacing w:after="0"/>
              <w:rPr>
                <w:sz w:val="1"/>
                <w:szCs w:val="1"/>
                <w:color w:val="auto"/>
              </w:rPr>
            </w:pPr>
          </w:p>
        </w:tc>
      </w:tr>
      <w:tr>
        <w:trPr>
          <w:trHeight w:val="228"/>
        </w:trPr>
        <w:tc>
          <w:tcPr>
            <w:tcW w:w="6600" w:type="dxa"/>
            <w:vAlign w:val="bottom"/>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121,263</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18,382</w:t>
            </w:r>
          </w:p>
        </w:tc>
        <w:tc>
          <w:tcPr>
            <w:tcW w:w="20" w:type="dxa"/>
            <w:vAlign w:val="bottom"/>
          </w:tcPr>
          <w:p>
            <w:pPr>
              <w:spacing w:after="0"/>
              <w:rPr>
                <w:sz w:val="19"/>
                <w:szCs w:val="19"/>
                <w:color w:val="auto"/>
              </w:rPr>
            </w:pPr>
          </w:p>
        </w:tc>
        <w:tc>
          <w:tcPr>
            <w:tcW w:w="34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139,645</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9"/>
          </w:tcPr>
          <w:p>
            <w:pPr>
              <w:jc w:val="center"/>
              <w:ind w:left="878"/>
              <w:spacing w:after="0"/>
              <w:rPr>
                <w:sz w:val="20"/>
                <w:szCs w:val="20"/>
                <w:color w:val="auto"/>
              </w:rPr>
            </w:pPr>
            <w:r>
              <w:rPr>
                <w:rFonts w:ascii="Arial" w:cs="Arial" w:eastAsia="Arial" w:hAnsi="Arial"/>
                <w:sz w:val="14"/>
                <w:szCs w:val="14"/>
                <w:b w:val="1"/>
                <w:bCs w:val="1"/>
                <w:color w:val="auto"/>
                <w:w w:val="89"/>
              </w:rPr>
              <w:t>Three Months Ended June 30, 2022</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6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Americas</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3"/>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2"/>
              </w:rPr>
              <w:t>International</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15"/>
        </w:trPr>
        <w:tc>
          <w:tcPr>
            <w:tcW w:w="6600" w:type="dxa"/>
            <w:vAlign w:val="bottom"/>
          </w:tcPr>
          <w:p>
            <w:pPr>
              <w:ind w:left="20"/>
              <w:spacing w:after="0"/>
              <w:rPr>
                <w:sz w:val="20"/>
                <w:szCs w:val="20"/>
                <w:color w:val="auto"/>
              </w:rPr>
            </w:pPr>
            <w:r>
              <w:rPr>
                <w:rFonts w:ascii="Arial" w:cs="Arial" w:eastAsia="Arial" w:hAnsi="Arial"/>
                <w:sz w:val="17"/>
                <w:szCs w:val="17"/>
                <w:color w:val="auto"/>
              </w:rPr>
              <w:t>Vita Coco Coconut Water</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76,436</w:t>
            </w:r>
          </w:p>
        </w:tc>
        <w:tc>
          <w:tcPr>
            <w:tcW w:w="12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11,124</w:t>
            </w:r>
          </w:p>
        </w:tc>
        <w:tc>
          <w:tcPr>
            <w:tcW w:w="20" w:type="dxa"/>
            <w:vAlign w:val="bottom"/>
          </w:tcPr>
          <w:p>
            <w:pPr>
              <w:spacing w:after="0"/>
              <w:rPr>
                <w:sz w:val="18"/>
                <w:szCs w:val="18"/>
                <w:color w:val="auto"/>
              </w:rPr>
            </w:pPr>
          </w:p>
        </w:tc>
        <w:tc>
          <w:tcPr>
            <w:tcW w:w="34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87,560</w:t>
            </w:r>
          </w:p>
        </w:tc>
        <w:tc>
          <w:tcPr>
            <w:tcW w:w="0" w:type="dxa"/>
            <w:vAlign w:val="bottom"/>
          </w:tcPr>
          <w:p>
            <w:pPr>
              <w:spacing w:after="0"/>
              <w:rPr>
                <w:sz w:val="1"/>
                <w:szCs w:val="1"/>
                <w:color w:val="auto"/>
              </w:rPr>
            </w:pPr>
          </w:p>
        </w:tc>
      </w:tr>
      <w:tr>
        <w:trPr>
          <w:trHeight w:val="235"/>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Private Label</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20,547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2,946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23,493</w:t>
            </w:r>
          </w:p>
        </w:tc>
        <w:tc>
          <w:tcPr>
            <w:tcW w:w="0" w:type="dxa"/>
            <w:vAlign w:val="bottom"/>
          </w:tcPr>
          <w:p>
            <w:pPr>
              <w:spacing w:after="0"/>
              <w:rPr>
                <w:sz w:val="1"/>
                <w:szCs w:val="1"/>
                <w:color w:val="auto"/>
              </w:rPr>
            </w:pPr>
          </w:p>
        </w:tc>
      </w:tr>
      <w:tr>
        <w:trPr>
          <w:trHeight w:val="222"/>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3,510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742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4,252</w:t>
            </w:r>
          </w:p>
        </w:tc>
        <w:tc>
          <w:tcPr>
            <w:tcW w:w="0" w:type="dxa"/>
            <w:vAlign w:val="bottom"/>
          </w:tcPr>
          <w:p>
            <w:pPr>
              <w:spacing w:after="0"/>
              <w:rPr>
                <w:sz w:val="1"/>
                <w:szCs w:val="1"/>
                <w:color w:val="auto"/>
              </w:rPr>
            </w:pPr>
          </w:p>
        </w:tc>
      </w:tr>
      <w:tr>
        <w:trPr>
          <w:trHeight w:val="235"/>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100,493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14,812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115,305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9"/>
          </w:tcPr>
          <w:p>
            <w:pPr>
              <w:jc w:val="center"/>
              <w:ind w:left="878"/>
              <w:spacing w:after="0"/>
              <w:rPr>
                <w:sz w:val="20"/>
                <w:szCs w:val="20"/>
                <w:color w:val="auto"/>
              </w:rPr>
            </w:pPr>
            <w:r>
              <w:rPr>
                <w:rFonts w:ascii="Arial" w:cs="Arial" w:eastAsia="Arial" w:hAnsi="Arial"/>
                <w:sz w:val="14"/>
                <w:szCs w:val="14"/>
                <w:b w:val="1"/>
                <w:bCs w:val="1"/>
                <w:color w:val="auto"/>
                <w:w w:val="89"/>
              </w:rPr>
              <w:t>Six Months Ended June 30, 2023</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Americas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International</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Vita Coco Coconut Water</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164,142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22,278</w:t>
            </w:r>
          </w:p>
        </w:tc>
        <w:tc>
          <w:tcPr>
            <w:tcW w:w="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186,420</w:t>
            </w:r>
          </w:p>
        </w:tc>
        <w:tc>
          <w:tcPr>
            <w:tcW w:w="0" w:type="dxa"/>
            <w:vAlign w:val="bottom"/>
          </w:tcPr>
          <w:p>
            <w:pPr>
              <w:spacing w:after="0"/>
              <w:rPr>
                <w:sz w:val="1"/>
                <w:szCs w:val="1"/>
                <w:color w:val="auto"/>
              </w:rPr>
            </w:pPr>
          </w:p>
        </w:tc>
      </w:tr>
      <w:tr>
        <w:trPr>
          <w:trHeight w:val="222"/>
        </w:trPr>
        <w:tc>
          <w:tcPr>
            <w:tcW w:w="6600" w:type="dxa"/>
            <w:vAlign w:val="bottom"/>
          </w:tcPr>
          <w:p>
            <w:pPr>
              <w:ind w:left="20"/>
              <w:spacing w:after="0"/>
              <w:rPr>
                <w:sz w:val="20"/>
                <w:szCs w:val="20"/>
                <w:color w:val="auto"/>
              </w:rPr>
            </w:pPr>
            <w:r>
              <w:rPr>
                <w:rFonts w:ascii="Arial" w:cs="Arial" w:eastAsia="Arial" w:hAnsi="Arial"/>
                <w:sz w:val="17"/>
                <w:szCs w:val="17"/>
                <w:color w:val="auto"/>
              </w:rPr>
              <w:t>Private Label</w:t>
            </w: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49,109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7,719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56,828</w:t>
            </w:r>
          </w:p>
        </w:tc>
        <w:tc>
          <w:tcPr>
            <w:tcW w:w="0" w:type="dxa"/>
            <w:vAlign w:val="bottom"/>
          </w:tcPr>
          <w:p>
            <w:pPr>
              <w:spacing w:after="0"/>
              <w:rPr>
                <w:sz w:val="1"/>
                <w:szCs w:val="1"/>
                <w:color w:val="auto"/>
              </w:rPr>
            </w:pPr>
          </w:p>
        </w:tc>
      </w:tr>
      <w:tr>
        <w:trPr>
          <w:trHeight w:val="222"/>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4,784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1,372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6,156</w:t>
            </w:r>
          </w:p>
        </w:tc>
        <w:tc>
          <w:tcPr>
            <w:tcW w:w="0" w:type="dxa"/>
            <w:vAlign w:val="bottom"/>
          </w:tcPr>
          <w:p>
            <w:pPr>
              <w:spacing w:after="0"/>
              <w:rPr>
                <w:sz w:val="1"/>
                <w:szCs w:val="1"/>
                <w:color w:val="auto"/>
              </w:rPr>
            </w:pPr>
          </w:p>
        </w:tc>
      </w:tr>
      <w:tr>
        <w:trPr>
          <w:trHeight w:val="228"/>
        </w:trPr>
        <w:tc>
          <w:tcPr>
            <w:tcW w:w="6600" w:type="dxa"/>
            <w:vAlign w:val="bottom"/>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218,035</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31,369</w:t>
            </w:r>
          </w:p>
        </w:tc>
        <w:tc>
          <w:tcPr>
            <w:tcW w:w="20" w:type="dxa"/>
            <w:vAlign w:val="bottom"/>
          </w:tcPr>
          <w:p>
            <w:pPr>
              <w:spacing w:after="0"/>
              <w:rPr>
                <w:sz w:val="19"/>
                <w:szCs w:val="19"/>
                <w:color w:val="auto"/>
              </w:rPr>
            </w:pPr>
          </w:p>
        </w:tc>
        <w:tc>
          <w:tcPr>
            <w:tcW w:w="34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249,404</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9"/>
          </w:tcPr>
          <w:p>
            <w:pPr>
              <w:jc w:val="center"/>
              <w:ind w:left="878"/>
              <w:spacing w:after="0"/>
              <w:rPr>
                <w:sz w:val="20"/>
                <w:szCs w:val="20"/>
                <w:color w:val="auto"/>
              </w:rPr>
            </w:pPr>
            <w:r>
              <w:rPr>
                <w:rFonts w:ascii="Arial" w:cs="Arial" w:eastAsia="Arial" w:hAnsi="Arial"/>
                <w:sz w:val="14"/>
                <w:szCs w:val="14"/>
                <w:b w:val="1"/>
                <w:bCs w:val="1"/>
                <w:color w:val="auto"/>
                <w:w w:val="89"/>
              </w:rPr>
              <w:t>Six Months Ended June 30, 2022</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6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Americas</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3"/>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2"/>
              </w:rPr>
              <w:t>International</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15"/>
        </w:trPr>
        <w:tc>
          <w:tcPr>
            <w:tcW w:w="6600" w:type="dxa"/>
            <w:vAlign w:val="bottom"/>
          </w:tcPr>
          <w:p>
            <w:pPr>
              <w:ind w:left="20"/>
              <w:spacing w:after="0"/>
              <w:rPr>
                <w:sz w:val="20"/>
                <w:szCs w:val="20"/>
                <w:color w:val="auto"/>
              </w:rPr>
            </w:pPr>
            <w:r>
              <w:rPr>
                <w:rFonts w:ascii="Arial" w:cs="Arial" w:eastAsia="Arial" w:hAnsi="Arial"/>
                <w:sz w:val="17"/>
                <w:szCs w:val="17"/>
                <w:color w:val="auto"/>
              </w:rPr>
              <w:t>Vita Coco Coconut Water</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135,291</w:t>
            </w:r>
          </w:p>
        </w:tc>
        <w:tc>
          <w:tcPr>
            <w:tcW w:w="12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19,473</w:t>
            </w:r>
          </w:p>
        </w:tc>
        <w:tc>
          <w:tcPr>
            <w:tcW w:w="20" w:type="dxa"/>
            <w:vAlign w:val="bottom"/>
          </w:tcPr>
          <w:p>
            <w:pPr>
              <w:spacing w:after="0"/>
              <w:rPr>
                <w:sz w:val="18"/>
                <w:szCs w:val="18"/>
                <w:color w:val="auto"/>
              </w:rPr>
            </w:pPr>
          </w:p>
        </w:tc>
        <w:tc>
          <w:tcPr>
            <w:tcW w:w="34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154,764</w:t>
            </w:r>
          </w:p>
        </w:tc>
        <w:tc>
          <w:tcPr>
            <w:tcW w:w="0" w:type="dxa"/>
            <w:vAlign w:val="bottom"/>
          </w:tcPr>
          <w:p>
            <w:pPr>
              <w:spacing w:after="0"/>
              <w:rPr>
                <w:sz w:val="1"/>
                <w:szCs w:val="1"/>
                <w:color w:val="auto"/>
              </w:rPr>
            </w:pPr>
          </w:p>
        </w:tc>
      </w:tr>
      <w:tr>
        <w:trPr>
          <w:trHeight w:val="235"/>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Private Label</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43,627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5,711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49,338</w:t>
            </w:r>
          </w:p>
        </w:tc>
        <w:tc>
          <w:tcPr>
            <w:tcW w:w="0" w:type="dxa"/>
            <w:vAlign w:val="bottom"/>
          </w:tcPr>
          <w:p>
            <w:pPr>
              <w:spacing w:after="0"/>
              <w:rPr>
                <w:sz w:val="1"/>
                <w:szCs w:val="1"/>
                <w:color w:val="auto"/>
              </w:rPr>
            </w:pPr>
          </w:p>
        </w:tc>
      </w:tr>
      <w:tr>
        <w:trPr>
          <w:trHeight w:val="222"/>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6,186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1,465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7,651</w:t>
            </w:r>
          </w:p>
        </w:tc>
        <w:tc>
          <w:tcPr>
            <w:tcW w:w="0" w:type="dxa"/>
            <w:vAlign w:val="bottom"/>
          </w:tcPr>
          <w:p>
            <w:pPr>
              <w:spacing w:after="0"/>
              <w:rPr>
                <w:sz w:val="1"/>
                <w:szCs w:val="1"/>
                <w:color w:val="auto"/>
              </w:rPr>
            </w:pPr>
          </w:p>
        </w:tc>
      </w:tr>
      <w:tr>
        <w:trPr>
          <w:trHeight w:val="235"/>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185,104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26,649</w:t>
            </w:r>
          </w:p>
        </w:tc>
        <w:tc>
          <w:tcPr>
            <w:tcW w:w="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211,753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4. INVENTORY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6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600" w:type="dxa"/>
            <w:vAlign w:val="bottom"/>
          </w:tcPr>
          <w:p>
            <w:pPr>
              <w:ind w:left="480"/>
              <w:spacing w:after="0"/>
              <w:rPr>
                <w:sz w:val="20"/>
                <w:szCs w:val="20"/>
                <w:color w:val="auto"/>
              </w:rPr>
            </w:pPr>
            <w:r>
              <w:rPr>
                <w:rFonts w:ascii="Arial" w:cs="Arial" w:eastAsia="Arial" w:hAnsi="Arial"/>
                <w:sz w:val="17"/>
                <w:szCs w:val="17"/>
                <w:color w:val="auto"/>
              </w:rPr>
              <w:t>Inventory consists of the following:</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25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58"/>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7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 and packaging</w:t>
            </w: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5,771</w:t>
            </w:r>
          </w:p>
        </w:tc>
        <w:tc>
          <w:tcPr>
            <w:tcW w:w="0" w:type="dxa"/>
            <w:vAlign w:val="bottom"/>
          </w:tcPr>
          <w:p>
            <w:pPr>
              <w:spacing w:after="0"/>
              <w:rPr>
                <w:sz w:val="1"/>
                <w:szCs w:val="1"/>
                <w:color w:val="auto"/>
              </w:rPr>
            </w:pPr>
          </w:p>
        </w:tc>
      </w:tr>
      <w:tr>
        <w:trPr>
          <w:trHeight w:val="235"/>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Finished goods</w:t>
            </w:r>
          </w:p>
        </w:tc>
        <w:tc>
          <w:tcPr>
            <w:tcW w:w="26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53,309</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78,344</w:t>
            </w:r>
          </w:p>
        </w:tc>
        <w:tc>
          <w:tcPr>
            <w:tcW w:w="0" w:type="dxa"/>
            <w:vAlign w:val="bottom"/>
          </w:tcPr>
          <w:p>
            <w:pPr>
              <w:spacing w:after="0"/>
              <w:rPr>
                <w:sz w:val="1"/>
                <w:szCs w:val="1"/>
                <w:color w:val="auto"/>
              </w:rPr>
            </w:pPr>
          </w:p>
        </w:tc>
      </w:tr>
      <w:tr>
        <w:trPr>
          <w:trHeight w:val="235"/>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26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57,165</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84,115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5. GOODWILL</w:t>
            </w: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6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600" w:type="dxa"/>
            <w:vAlign w:val="bottom"/>
          </w:tcPr>
          <w:p>
            <w:pPr>
              <w:ind w:left="480"/>
              <w:spacing w:after="0"/>
              <w:rPr>
                <w:sz w:val="20"/>
                <w:szCs w:val="20"/>
                <w:color w:val="auto"/>
              </w:rPr>
            </w:pPr>
            <w:r>
              <w:rPr>
                <w:rFonts w:ascii="Arial" w:cs="Arial" w:eastAsia="Arial" w:hAnsi="Arial"/>
                <w:sz w:val="17"/>
                <w:szCs w:val="17"/>
                <w:color w:val="auto"/>
              </w:rPr>
              <w:t>Goodwill consists of the following:</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25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58"/>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7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42"/>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6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280" w:firstLine="470"/>
        <w:spacing w:after="0" w:line="288" w:lineRule="auto"/>
        <w:rPr>
          <w:sz w:val="20"/>
          <w:szCs w:val="20"/>
          <w:color w:val="auto"/>
        </w:rPr>
      </w:pPr>
      <w:r>
        <w:rPr>
          <w:rFonts w:ascii="Arial" w:cs="Arial" w:eastAsia="Arial" w:hAnsi="Arial"/>
          <w:sz w:val="17"/>
          <w:szCs w:val="17"/>
          <w:color w:val="auto"/>
        </w:rPr>
        <w:t>All of the Company’s goodwill is associated with the acquisition of Runa, which was acquired in June 2018. The goodwill is allocated to the Americas reporting unit and is tax deductible. The Company has not recognized any impairment since acquisition.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0" w:hanging="175"/>
        <w:spacing w:after="0"/>
        <w:tabs>
          <w:tab w:leader="none" w:pos="18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DEBT</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table below details the outstanding balances on the Company’s credit facility and notes payable as of June 30, 2023 and December 31,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180" w:type="dxa"/>
            <w:vAlign w:val="bottom"/>
          </w:tcPr>
          <w:p>
            <w:pPr>
              <w:jc w:val="right"/>
              <w:ind w:right="62"/>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319"/>
              <w:spacing w:after="0"/>
              <w:rPr>
                <w:sz w:val="20"/>
                <w:szCs w:val="20"/>
                <w:color w:val="auto"/>
              </w:rPr>
            </w:pPr>
            <w:r>
              <w:rPr>
                <w:rFonts w:ascii="Arial" w:cs="Arial" w:eastAsia="Arial" w:hAnsi="Arial"/>
                <w:sz w:val="14"/>
                <w:szCs w:val="14"/>
                <w:b w:val="1"/>
                <w:bCs w:val="1"/>
                <w:color w:val="auto"/>
              </w:rPr>
              <w:t>December 31,</w:t>
            </w:r>
          </w:p>
        </w:tc>
      </w:tr>
      <w:tr>
        <w:trPr>
          <w:trHeight w:val="187"/>
        </w:trPr>
        <w:tc>
          <w:tcPr>
            <w:tcW w:w="7960" w:type="dxa"/>
            <w:vAlign w:val="bottom"/>
          </w:tcPr>
          <w:p>
            <w:pPr>
              <w:spacing w:after="0"/>
              <w:rPr>
                <w:sz w:val="16"/>
                <w:szCs w:val="16"/>
                <w:color w:val="auto"/>
              </w:rPr>
            </w:pPr>
          </w:p>
        </w:tc>
        <w:tc>
          <w:tcPr>
            <w:tcW w:w="1180" w:type="dxa"/>
            <w:vAlign w:val="bottom"/>
          </w:tcPr>
          <w:p>
            <w:pPr>
              <w:jc w:val="right"/>
              <w:ind w:right="182"/>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Arial" w:cs="Arial" w:eastAsia="Arial" w:hAnsi="Arial"/>
                <w:sz w:val="14"/>
                <w:szCs w:val="14"/>
                <w:b w:val="1"/>
                <w:bCs w:val="1"/>
                <w:color w:val="auto"/>
              </w:rPr>
              <w:t>2022</w:t>
            </w:r>
          </w:p>
        </w:tc>
      </w:tr>
      <w:tr>
        <w:trPr>
          <w:trHeight w:val="240"/>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Notes payable</w:t>
            </w:r>
          </w:p>
        </w:tc>
        <w:tc>
          <w:tcPr>
            <w:tcW w:w="1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2"/>
        </w:trPr>
        <w:tc>
          <w:tcPr>
            <w:tcW w:w="7960" w:type="dxa"/>
            <w:vAlign w:val="bottom"/>
          </w:tcPr>
          <w:p>
            <w:pPr>
              <w:ind w:left="640"/>
              <w:spacing w:after="0"/>
              <w:rPr>
                <w:sz w:val="20"/>
                <w:szCs w:val="20"/>
                <w:color w:val="auto"/>
              </w:rPr>
            </w:pPr>
            <w:r>
              <w:rPr>
                <w:rFonts w:ascii="Arial" w:cs="Arial" w:eastAsia="Arial" w:hAnsi="Arial"/>
                <w:sz w:val="17"/>
                <w:szCs w:val="17"/>
                <w:color w:val="auto"/>
              </w:rPr>
              <w:t>Vehicle loans</w:t>
            </w: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4"/>
        </w:trPr>
        <w:tc>
          <w:tcPr>
            <w:tcW w:w="79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02"/>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08"/>
        </w:trPr>
        <w:tc>
          <w:tcPr>
            <w:tcW w:w="7960" w:type="dxa"/>
            <w:vAlign w:val="bottom"/>
            <w:tcBorders>
              <w:bottom w:val="single" w:sz="8" w:color="CCEEFF"/>
            </w:tcBorders>
          </w:tcPr>
          <w:p>
            <w:pPr>
              <w:ind w:left="640"/>
              <w:spacing w:after="0"/>
              <w:rPr>
                <w:sz w:val="20"/>
                <w:szCs w:val="20"/>
                <w:color w:val="auto"/>
              </w:rPr>
            </w:pPr>
            <w:r>
              <w:rPr>
                <w:rFonts w:ascii="Arial" w:cs="Arial" w:eastAsia="Arial" w:hAnsi="Arial"/>
                <w:sz w:val="17"/>
                <w:szCs w:val="17"/>
                <w:i w:val="1"/>
                <w:iCs w:val="1"/>
                <w:color w:val="auto"/>
              </w:rPr>
              <w:t>Current</w:t>
            </w:r>
          </w:p>
        </w:tc>
        <w:tc>
          <w:tcPr>
            <w:tcW w:w="1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15"/>
        </w:trPr>
        <w:tc>
          <w:tcPr>
            <w:tcW w:w="7960" w:type="dxa"/>
            <w:vAlign w:val="bottom"/>
            <w:shd w:val="clear" w:color="auto" w:fill="CCEEFF"/>
          </w:tcPr>
          <w:p>
            <w:pPr>
              <w:ind w:left="640"/>
              <w:spacing w:after="0"/>
              <w:rPr>
                <w:sz w:val="20"/>
                <w:szCs w:val="20"/>
                <w:color w:val="auto"/>
              </w:rPr>
            </w:pPr>
            <w:r>
              <w:rPr>
                <w:rFonts w:ascii="Arial" w:cs="Arial" w:eastAsia="Arial" w:hAnsi="Arial"/>
                <w:sz w:val="17"/>
                <w:szCs w:val="17"/>
                <w:i w:val="1"/>
                <w:iCs w:val="1"/>
                <w:color w:val="auto"/>
              </w:rPr>
              <w:t>Non-current</w:t>
            </w:r>
          </w:p>
        </w:tc>
        <w:tc>
          <w:tcPr>
            <w:tcW w:w="118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2020 Credit Facility</w:t>
      </w:r>
    </w:p>
    <w:p>
      <w:pPr>
        <w:spacing w:after="0" w:line="223" w:lineRule="exact"/>
        <w:rPr>
          <w:sz w:val="20"/>
          <w:szCs w:val="20"/>
          <w:color w:val="auto"/>
        </w:rPr>
      </w:pPr>
    </w:p>
    <w:p>
      <w:pPr>
        <w:ind w:firstLine="470"/>
        <w:spacing w:after="0" w:line="260" w:lineRule="auto"/>
        <w:rPr>
          <w:sz w:val="20"/>
          <w:szCs w:val="20"/>
          <w:color w:val="auto"/>
        </w:rPr>
      </w:pPr>
      <w:r>
        <w:rPr>
          <w:rFonts w:ascii="Arial" w:cs="Arial" w:eastAsia="Arial" w:hAnsi="Arial"/>
          <w:sz w:val="17"/>
          <w:szCs w:val="17"/>
          <w:color w:val="auto"/>
        </w:rPr>
        <w:t>In May 2020, the Company entered into the five-year credit facility with Wells Fargo Bank, National Association ("Wells Fargo") consisting of a revolving line of credit, which currently provides for committed borrowings of $60,000 (the "2020 Credit Facility"). As of June 30, 2023 and December 31, 2022, the Company had no outstanding borrowings under its 2020 Credit Facility. The 2020 Credit Facility is collateralized by substantially all of the Company's assets. In December 2022, the Company amended the 2020 Credit Facility to transition the interest rate from reference to the London Interbank Offered Rate ("LIBOR") to the Secured Overnight Financing Rate ("SOFR"). Borrowings on the 2020 Credit Facility bear interest at rates based on either: 1) a fluctuating rate per annum determined to be the sum of Daily Simple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is currently subject to an unused commitment fee ranging from 0.10% and 0.20% on the unused amount of the line of credit, with the rate being based on the Company’s leverage ratio (as defined in the credit agreement).</w:t>
      </w:r>
    </w:p>
    <w:p>
      <w:pPr>
        <w:spacing w:after="0" w:line="78" w:lineRule="exact"/>
        <w:rPr>
          <w:sz w:val="20"/>
          <w:szCs w:val="20"/>
          <w:color w:val="auto"/>
        </w:rPr>
      </w:pPr>
    </w:p>
    <w:p>
      <w:pPr>
        <w:ind w:right="140" w:firstLine="533"/>
        <w:spacing w:after="0" w:line="267" w:lineRule="auto"/>
        <w:rPr>
          <w:sz w:val="20"/>
          <w:szCs w:val="20"/>
          <w:color w:val="auto"/>
        </w:rPr>
      </w:pPr>
      <w:r>
        <w:rPr>
          <w:rFonts w:ascii="Arial" w:cs="Arial" w:eastAsia="Arial" w:hAnsi="Arial"/>
          <w:sz w:val="17"/>
          <w:szCs w:val="17"/>
          <w:color w:val="auto"/>
        </w:rPr>
        <w:t>The borrowings made before the December 2022 amendment bore interest at rates based on either: 1) LIBOR or 2) a specified base rate (determined by reference to the greatest of the prime rate published by Wells Fargo, the federal funds effective rate plus 1.5% and one-month LIBOR plus 1.5%), as selected periodically by the Company. The LIBOR-based loans bore interest at LIBOR plus the Spread. The unused commitment fee prior to the December 2022 amendment was the same.</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maturity date on the 2020 Credit Facility is May 12, 2026.</w:t>
      </w:r>
    </w:p>
    <w:p>
      <w:pPr>
        <w:spacing w:after="0" w:line="223" w:lineRule="exact"/>
        <w:rPr>
          <w:sz w:val="20"/>
          <w:szCs w:val="20"/>
          <w:color w:val="auto"/>
        </w:rPr>
      </w:pPr>
    </w:p>
    <w:p>
      <w:pPr>
        <w:jc w:val="both"/>
        <w:ind w:right="200" w:firstLine="470"/>
        <w:spacing w:after="0" w:line="272" w:lineRule="auto"/>
        <w:rPr>
          <w:sz w:val="20"/>
          <w:szCs w:val="20"/>
          <w:color w:val="auto"/>
        </w:rPr>
      </w:pPr>
      <w:r>
        <w:rPr>
          <w:rFonts w:ascii="Arial" w:cs="Arial" w:eastAsia="Arial" w:hAnsi="Arial"/>
          <w:sz w:val="17"/>
          <w:szCs w:val="17"/>
          <w:color w:val="auto"/>
        </w:rPr>
        <w:t>Interest expense and unused commitment fee for the 2020 Credit Facility amounted to $15 and $83 for the three months ended June 30, 2023 and 2022, respectively. Interest expense and unused commitment fee for the 2020 Credit Facility amounted to $30 and $109 for the six months ended June 30, 2023 and 2022, respectively.</w:t>
      </w:r>
    </w:p>
    <w:p>
      <w:pPr>
        <w:spacing w:after="0" w:line="172" w:lineRule="exact"/>
        <w:rPr>
          <w:sz w:val="20"/>
          <w:szCs w:val="20"/>
          <w:color w:val="auto"/>
        </w:rPr>
      </w:pPr>
    </w:p>
    <w:p>
      <w:pPr>
        <w:ind w:right="200" w:firstLine="470"/>
        <w:spacing w:after="0" w:line="307" w:lineRule="auto"/>
        <w:rPr>
          <w:sz w:val="20"/>
          <w:szCs w:val="20"/>
          <w:color w:val="auto"/>
        </w:rPr>
      </w:pPr>
      <w:r>
        <w:rPr>
          <w:rFonts w:ascii="Arial" w:cs="Arial" w:eastAsia="Arial" w:hAnsi="Arial"/>
          <w:sz w:val="15"/>
          <w:szCs w:val="15"/>
          <w:color w:val="auto"/>
        </w:rPr>
        <w:t>The 2020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2020 Credit Facility also requires the Company to maintain certain financial covenants including a maximum leverage ratio, a minimum fixed charge coverage ratio, and a minimum asset coverage ratio. As of June 30, 2023, the Company was compliant with all financial covenants.</w:t>
      </w:r>
    </w:p>
    <w:p>
      <w:pPr>
        <w:spacing w:after="0" w:line="256" w:lineRule="exact"/>
        <w:rPr>
          <w:sz w:val="20"/>
          <w:szCs w:val="20"/>
          <w:color w:val="auto"/>
        </w:rPr>
      </w:pPr>
    </w:p>
    <w:p>
      <w:pPr>
        <w:ind w:left="180" w:hanging="175"/>
        <w:spacing w:after="0"/>
        <w:tabs>
          <w:tab w:leader="none" w:pos="1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COMMITMENTS AND CONTINGENCIES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Contingencies:</w:t>
      </w:r>
    </w:p>
    <w:p>
      <w:pPr>
        <w:spacing w:after="0" w:line="118" w:lineRule="exact"/>
        <w:rPr>
          <w:sz w:val="20"/>
          <w:szCs w:val="20"/>
          <w:color w:val="auto"/>
        </w:rPr>
      </w:pPr>
    </w:p>
    <w:p>
      <w:pPr>
        <w:ind w:right="60" w:firstLine="470"/>
        <w:spacing w:after="0" w:line="264" w:lineRule="auto"/>
        <w:rPr>
          <w:sz w:val="20"/>
          <w:szCs w:val="20"/>
          <w:color w:val="auto"/>
        </w:rPr>
      </w:pPr>
      <w:r>
        <w:rPr>
          <w:rFonts w:ascii="Arial" w:cs="Arial" w:eastAsia="Arial" w:hAnsi="Arial"/>
          <w:sz w:val="17"/>
          <w:szCs w:val="17"/>
          <w:b w:val="1"/>
          <w:bCs w:val="1"/>
          <w:i w:val="1"/>
          <w:iCs w:val="1"/>
          <w:color w:val="auto"/>
        </w:rPr>
        <w:t>Litigation</w:t>
      </w:r>
      <w:r>
        <w:rPr>
          <w:rFonts w:ascii="Arial" w:cs="Arial" w:eastAsia="Arial" w:hAnsi="Arial"/>
          <w:sz w:val="17"/>
          <w:szCs w:val="17"/>
          <w:color w:val="auto"/>
        </w:rPr>
        <w:t>—The Company may engage in various litigation matters in the ordinary course of business. The Company intends to vigorously defend itself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such matters, based upon the advice of legal counsel, and is of the opinion that the resolution of these matters will not have a material effect on the condensed consolidated financial statements. For any cases for which management believes that it is probable that it will incur a loss and the amount of such loss can be reasonably estimated, a provision for legal settlements will be recorded. As of June 30, 2023 and December 31, 2022, the Company has not recorded any liabilities relating to legal settlements.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b w:val="1"/>
          <w:bCs w:val="1"/>
          <w:i w:val="1"/>
          <w:iCs w:val="1"/>
          <w:color w:val="auto"/>
        </w:rPr>
        <w:t>Business Risk</w:t>
      </w:r>
      <w:r>
        <w:rPr>
          <w:rFonts w:ascii="Arial" w:cs="Arial" w:eastAsia="Arial" w:hAnsi="Arial"/>
          <w:sz w:val="17"/>
          <w:szCs w:val="17"/>
          <w:color w:val="auto"/>
        </w:rPr>
        <w:t>—The Company imports finished goods predominantly from manufacturers located in South American and Southeast Asian countries.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may be subject to certain business risks due to potential instability in these regions.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Major Customers</w:t>
      </w:r>
      <w:r>
        <w:rPr>
          <w:rFonts w:ascii="Arial" w:cs="Arial" w:eastAsia="Arial" w:hAnsi="Arial"/>
          <w:sz w:val="16"/>
          <w:szCs w:val="16"/>
          <w:color w:val="auto"/>
        </w:rPr>
        <w:t>—The Company’s customers that accounted for 10% or more of total net sales and total accounts receivable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40" w:type="dxa"/>
            <w:vAlign w:val="bottom"/>
            <w:gridSpan w:val="3"/>
          </w:tcPr>
          <w:p>
            <w:pPr>
              <w:jc w:val="center"/>
              <w:ind w:right="450"/>
              <w:spacing w:after="0"/>
              <w:rPr>
                <w:sz w:val="20"/>
                <w:szCs w:val="20"/>
                <w:color w:val="auto"/>
              </w:rPr>
            </w:pPr>
            <w:r>
              <w:rPr>
                <w:rFonts w:ascii="Arial" w:cs="Arial" w:eastAsia="Arial" w:hAnsi="Arial"/>
                <w:sz w:val="14"/>
                <w:szCs w:val="14"/>
                <w:b w:val="1"/>
                <w:bCs w:val="1"/>
                <w:color w:val="auto"/>
                <w:w w:val="84"/>
              </w:rPr>
              <w:t>Net sales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gridSpan w:val="3"/>
          </w:tcPr>
          <w:p>
            <w:pPr>
              <w:jc w:val="right"/>
              <w:ind w:right="930"/>
              <w:spacing w:after="0"/>
              <w:rPr>
                <w:sz w:val="20"/>
                <w:szCs w:val="20"/>
                <w:color w:val="auto"/>
              </w:rPr>
            </w:pPr>
            <w:r>
              <w:rPr>
                <w:rFonts w:ascii="Arial" w:cs="Arial" w:eastAsia="Arial" w:hAnsi="Arial"/>
                <w:sz w:val="14"/>
                <w:szCs w:val="14"/>
                <w:b w:val="1"/>
                <w:bCs w:val="1"/>
                <w:color w:val="auto"/>
              </w:rPr>
              <w:t>Accounts receivable</w:t>
            </w:r>
          </w:p>
        </w:tc>
      </w:tr>
      <w:tr>
        <w:trPr>
          <w:trHeight w:val="23"/>
        </w:trPr>
        <w:tc>
          <w:tcPr>
            <w:tcW w:w="47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9"/>
        </w:trPr>
        <w:tc>
          <w:tcPr>
            <w:tcW w:w="4780" w:type="dxa"/>
            <w:vAlign w:val="bottom"/>
          </w:tcPr>
          <w:p>
            <w:pPr>
              <w:spacing w:after="0"/>
              <w:rPr>
                <w:sz w:val="16"/>
                <w:szCs w:val="16"/>
                <w:color w:val="auto"/>
              </w:rPr>
            </w:pPr>
          </w:p>
        </w:tc>
        <w:tc>
          <w:tcPr>
            <w:tcW w:w="26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4"/>
                <w:szCs w:val="14"/>
                <w:b w:val="1"/>
                <w:bCs w:val="1"/>
                <w:color w:val="auto"/>
                <w:w w:val="89"/>
              </w:rPr>
              <w:t>Six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45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560" w:type="dxa"/>
            <w:vAlign w:val="bottom"/>
          </w:tcPr>
          <w:p>
            <w:pPr>
              <w:jc w:val="right"/>
              <w:ind w:right="310"/>
              <w:spacing w:after="0"/>
              <w:rPr>
                <w:sz w:val="20"/>
                <w:szCs w:val="20"/>
                <w:color w:val="auto"/>
              </w:rPr>
            </w:pPr>
            <w:r>
              <w:rPr>
                <w:rFonts w:ascii="Arial" w:cs="Arial" w:eastAsia="Arial" w:hAnsi="Arial"/>
                <w:sz w:val="14"/>
                <w:szCs w:val="14"/>
                <w:b w:val="1"/>
                <w:bCs w:val="1"/>
                <w:color w:val="auto"/>
              </w:rPr>
              <w:t>December 31,</w:t>
            </w:r>
          </w:p>
        </w:tc>
      </w:tr>
      <w:tr>
        <w:trPr>
          <w:trHeight w:val="182"/>
        </w:trPr>
        <w:tc>
          <w:tcPr>
            <w:tcW w:w="47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2022</w:t>
            </w:r>
          </w:p>
        </w:tc>
      </w:tr>
      <w:tr>
        <w:trPr>
          <w:trHeight w:val="222"/>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Customer A</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31 %</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16 %</w:t>
            </w:r>
          </w:p>
        </w:tc>
      </w:tr>
      <w:tr>
        <w:trPr>
          <w:trHeight w:val="222"/>
        </w:trPr>
        <w:tc>
          <w:tcPr>
            <w:tcW w:w="5820" w:type="dxa"/>
            <w:vAlign w:val="bottom"/>
            <w:gridSpan w:val="2"/>
          </w:tcPr>
          <w:p>
            <w:pPr>
              <w:ind w:left="20"/>
              <w:spacing w:after="0"/>
              <w:rPr>
                <w:sz w:val="20"/>
                <w:szCs w:val="20"/>
                <w:color w:val="auto"/>
              </w:rPr>
            </w:pPr>
            <w:r>
              <w:rPr>
                <w:rFonts w:ascii="Arial" w:cs="Arial" w:eastAsia="Arial" w:hAnsi="Arial"/>
                <w:sz w:val="17"/>
                <w:szCs w:val="17"/>
                <w:color w:val="auto"/>
              </w:rPr>
              <w:t>Customer B</w:t>
            </w:r>
          </w:p>
        </w:tc>
        <w:tc>
          <w:tcPr>
            <w:tcW w:w="500" w:type="dxa"/>
            <w:vAlign w:val="bottom"/>
          </w:tcPr>
          <w:p>
            <w:pPr>
              <w:jc w:val="right"/>
              <w:spacing w:after="0"/>
              <w:rPr>
                <w:sz w:val="20"/>
                <w:szCs w:val="20"/>
                <w:color w:val="auto"/>
              </w:rPr>
            </w:pPr>
            <w:r>
              <w:rPr>
                <w:rFonts w:ascii="Arial" w:cs="Arial" w:eastAsia="Arial" w:hAnsi="Arial"/>
                <w:sz w:val="17"/>
                <w:szCs w:val="17"/>
                <w:color w:val="auto"/>
              </w:rPr>
              <w:t>23 %</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23 %</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23 %</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23 %</w:t>
            </w:r>
          </w:p>
        </w:tc>
      </w:tr>
    </w:tbl>
    <w:p>
      <w:pPr>
        <w:spacing w:after="0" w:line="66" w:lineRule="exact"/>
        <w:rPr>
          <w:sz w:val="20"/>
          <w:szCs w:val="20"/>
          <w:color w:val="auto"/>
        </w:rPr>
      </w:pPr>
    </w:p>
    <w:p>
      <w:pPr>
        <w:jc w:val="both"/>
        <w:ind w:right="200" w:firstLine="470"/>
        <w:spacing w:after="0" w:line="256" w:lineRule="auto"/>
        <w:rPr>
          <w:sz w:val="20"/>
          <w:szCs w:val="20"/>
          <w:color w:val="auto"/>
        </w:rPr>
      </w:pPr>
      <w:r>
        <w:rPr>
          <w:rFonts w:ascii="Arial" w:cs="Arial" w:eastAsia="Arial" w:hAnsi="Arial"/>
          <w:sz w:val="17"/>
          <w:szCs w:val="17"/>
          <w:color w:val="auto"/>
        </w:rPr>
        <w:t>One of the customers acquired less than 5% ownership in the Company upon consummation of the Company's initial public offering ("IPO"). The same customer also vested in 100,000 restricted stock awards during the period ended March 31, 2023 as discussed in Note 10, Stockholders' Equity. The customer continues to hold less than 5% ownership in the Company as of June 30, 2023.</w:t>
      </w:r>
    </w:p>
    <w:p>
      <w:pPr>
        <w:spacing w:after="0" w:line="198"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As discussed in Note 16, Subsequent Events, the private label volume and net sales with one of the major customers is expected to significantly decrease in the future.</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Major Suppliers</w:t>
      </w:r>
      <w:r>
        <w:rPr>
          <w:rFonts w:ascii="Arial" w:cs="Arial" w:eastAsia="Arial" w:hAnsi="Arial"/>
          <w:sz w:val="17"/>
          <w:szCs w:val="17"/>
          <w:color w:val="auto"/>
        </w:rPr>
        <w:t>—The Company’s suppliers that accounted for 10% or more of the Company’s purchases were as follows:</w:t>
      </w:r>
    </w:p>
    <w:p>
      <w:pPr>
        <w:spacing w:after="0" w:line="25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Six Months Ended 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2022</w:t>
            </w:r>
          </w:p>
        </w:tc>
      </w:tr>
      <w:tr>
        <w:trPr>
          <w:trHeight w:val="222"/>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Supplier A</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15 %</w:t>
            </w:r>
          </w:p>
        </w:tc>
      </w:tr>
      <w:tr>
        <w:trPr>
          <w:trHeight w:val="222"/>
        </w:trPr>
        <w:tc>
          <w:tcPr>
            <w:tcW w:w="8920" w:type="dxa"/>
            <w:vAlign w:val="bottom"/>
            <w:gridSpan w:val="2"/>
          </w:tcPr>
          <w:p>
            <w:pPr>
              <w:ind w:left="20"/>
              <w:spacing w:after="0"/>
              <w:rPr>
                <w:sz w:val="20"/>
                <w:szCs w:val="20"/>
                <w:color w:val="auto"/>
              </w:rPr>
            </w:pPr>
            <w:r>
              <w:rPr>
                <w:rFonts w:ascii="Arial" w:cs="Arial" w:eastAsia="Arial" w:hAnsi="Arial"/>
                <w:sz w:val="17"/>
                <w:szCs w:val="17"/>
                <w:color w:val="auto"/>
              </w:rPr>
              <w:t>Supplier B</w:t>
            </w:r>
          </w:p>
        </w:tc>
        <w:tc>
          <w:tcPr>
            <w:tcW w:w="540" w:type="dxa"/>
            <w:vAlign w:val="bottom"/>
          </w:tcPr>
          <w:p>
            <w:pPr>
              <w:jc w:val="right"/>
              <w:spacing w:after="0"/>
              <w:rPr>
                <w:sz w:val="20"/>
                <w:szCs w:val="20"/>
                <w:color w:val="auto"/>
              </w:rPr>
            </w:pPr>
            <w:r>
              <w:rPr>
                <w:rFonts w:ascii="Arial" w:cs="Arial" w:eastAsia="Arial" w:hAnsi="Arial"/>
                <w:sz w:val="17"/>
                <w:szCs w:val="17"/>
                <w:color w:val="auto"/>
              </w:rPr>
              <w:t>15 %</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12 %</w:t>
            </w:r>
          </w:p>
        </w:tc>
      </w:tr>
    </w:tbl>
    <w:p>
      <w:pPr>
        <w:spacing w:after="0" w:line="393" w:lineRule="exact"/>
        <w:rPr>
          <w:sz w:val="20"/>
          <w:szCs w:val="20"/>
          <w:color w:val="auto"/>
        </w:rPr>
      </w:pPr>
    </w:p>
    <w:p>
      <w:pPr>
        <w:ind w:left="180" w:hanging="175"/>
        <w:spacing w:after="0"/>
        <w:tabs>
          <w:tab w:leader="none" w:pos="18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DERIVATIVE INSTRUMENTS</w:t>
      </w:r>
    </w:p>
    <w:p>
      <w:pPr>
        <w:spacing w:after="0" w:line="118" w:lineRule="exact"/>
        <w:rPr>
          <w:sz w:val="20"/>
          <w:szCs w:val="20"/>
          <w:color w:val="auto"/>
        </w:rPr>
      </w:pPr>
    </w:p>
    <w:p>
      <w:pPr>
        <w:ind w:firstLine="470"/>
        <w:spacing w:after="0" w:line="280" w:lineRule="auto"/>
        <w:rPr>
          <w:sz w:val="20"/>
          <w:szCs w:val="20"/>
          <w:color w:val="auto"/>
        </w:rPr>
      </w:pPr>
      <w:r>
        <w:rPr>
          <w:rFonts w:ascii="Arial" w:cs="Arial" w:eastAsia="Arial" w:hAnsi="Arial"/>
          <w:sz w:val="16"/>
          <w:szCs w:val="16"/>
          <w:color w:val="auto"/>
        </w:rPr>
        <w:t>The Company accounts for derivative instruments in accordance with the ASC Topic 815, Derivatives and Hedging ("ASC 815"). These principles require that all derivative instruments be recognized at fair value on each balance sheet date unless they qualify for a scope exclusion as a normal purchase or sales transaction, which is accounted for under the accrual method of accounting. In addition, these principles permit derivative instruments that qualify for hedge accounting to reflect the changes in the fair value of the derivative instruments through earnings or stockholders’ equity as other comprehensive income on a net basis until the hedged item is settled and recognized in earnings, depending on whether the derivative is being used to hedge changes in fair value or cash flows. The ineffective portion of a derivative instrument’s change in fair value is immediately recognized in earnings. As of June 30, 2023 and December 31, 2022, the Company did not have any derivative instruments that it had designated as fair value or cash flow hedges.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is subject to the following currency risks:</w:t>
      </w:r>
    </w:p>
    <w:p>
      <w:pPr>
        <w:spacing w:after="0" w:line="223" w:lineRule="exact"/>
        <w:rPr>
          <w:sz w:val="20"/>
          <w:szCs w:val="20"/>
          <w:color w:val="auto"/>
        </w:rPr>
      </w:pPr>
    </w:p>
    <w:p>
      <w:pPr>
        <w:ind w:right="80" w:firstLine="470"/>
        <w:spacing w:after="0" w:line="272" w:lineRule="auto"/>
        <w:rPr>
          <w:sz w:val="20"/>
          <w:szCs w:val="20"/>
          <w:color w:val="auto"/>
        </w:rPr>
      </w:pPr>
      <w:r>
        <w:rPr>
          <w:rFonts w:ascii="Arial" w:cs="Arial" w:eastAsia="Arial" w:hAnsi="Arial"/>
          <w:sz w:val="17"/>
          <w:szCs w:val="17"/>
          <w:b w:val="1"/>
          <w:bCs w:val="1"/>
          <w:i w:val="1"/>
          <w:iCs w:val="1"/>
          <w:color w:val="auto"/>
        </w:rPr>
        <w:t>Inventory Purchases from Brazilian, Malaysian and Thai Manufacturers</w:t>
      </w:r>
      <w:r>
        <w:rPr>
          <w:rFonts w:ascii="Arial" w:cs="Arial" w:eastAsia="Arial" w:hAnsi="Arial"/>
          <w:sz w:val="17"/>
          <w:szCs w:val="17"/>
          <w:color w:val="auto"/>
        </w:rPr>
        <w:t>—In order to mitigate the currency risk on inventory purchases from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Brazilian, Malaysian and Thai manufacturers, which are settled in Brazilian Real ("BRL"), Malaysian Ringgit ("MYR") and Thai Baht ("THB"), the Company's subsidiary, All Market Singapore Pte. Ltd. ("AMS"), enters a series of forward currency swaps to buy BRL, MYR and THB.</w:t>
      </w:r>
    </w:p>
    <w:p>
      <w:pPr>
        <w:spacing w:after="0" w:line="172" w:lineRule="exact"/>
        <w:rPr>
          <w:sz w:val="20"/>
          <w:szCs w:val="20"/>
          <w:color w:val="auto"/>
        </w:rPr>
      </w:pPr>
    </w:p>
    <w:p>
      <w:pPr>
        <w:ind w:right="360" w:firstLine="470"/>
        <w:spacing w:after="0" w:line="288" w:lineRule="auto"/>
        <w:rPr>
          <w:sz w:val="20"/>
          <w:szCs w:val="20"/>
          <w:color w:val="auto"/>
        </w:rPr>
      </w:pPr>
      <w:r>
        <w:rPr>
          <w:rFonts w:ascii="Arial" w:cs="Arial" w:eastAsia="Arial" w:hAnsi="Arial"/>
          <w:sz w:val="17"/>
          <w:szCs w:val="17"/>
          <w:b w:val="1"/>
          <w:bCs w:val="1"/>
          <w:i w:val="1"/>
          <w:iCs w:val="1"/>
          <w:color w:val="auto"/>
        </w:rPr>
        <w:t>Intercompany Transactions Between AME and AMS</w:t>
      </w:r>
      <w:r>
        <w:rPr>
          <w:rFonts w:ascii="Arial" w:cs="Arial" w:eastAsia="Arial" w:hAnsi="Arial"/>
          <w:sz w:val="17"/>
          <w:szCs w:val="17"/>
          <w:color w:val="auto"/>
        </w:rPr>
        <w:t>—In order to mitigate the currency risk on intercompany transactions between AME and 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AMS enters into foreign currency swaps to sell British Pounds ("GBP").</w:t>
      </w:r>
    </w:p>
    <w:p>
      <w:pPr>
        <w:spacing w:after="0" w:line="158" w:lineRule="exact"/>
        <w:rPr>
          <w:sz w:val="20"/>
          <w:szCs w:val="20"/>
          <w:color w:val="auto"/>
        </w:rPr>
      </w:pPr>
    </w:p>
    <w:p>
      <w:pPr>
        <w:ind w:right="140" w:firstLine="470"/>
        <w:spacing w:after="0" w:line="288" w:lineRule="auto"/>
        <w:rPr>
          <w:sz w:val="20"/>
          <w:szCs w:val="20"/>
          <w:color w:val="auto"/>
        </w:rPr>
      </w:pPr>
      <w:r>
        <w:rPr>
          <w:rFonts w:ascii="Arial" w:cs="Arial" w:eastAsia="Arial" w:hAnsi="Arial"/>
          <w:sz w:val="17"/>
          <w:szCs w:val="17"/>
          <w:b w:val="1"/>
          <w:bCs w:val="1"/>
          <w:i w:val="1"/>
          <w:iCs w:val="1"/>
          <w:color w:val="auto"/>
        </w:rPr>
        <w:t>Intercompany Transactions with Canadian Customer and Vendors</w:t>
      </w:r>
      <w:r>
        <w:rPr>
          <w:rFonts w:ascii="Arial" w:cs="Arial" w:eastAsia="Arial" w:hAnsi="Arial"/>
          <w:sz w:val="17"/>
          <w:szCs w:val="17"/>
          <w:color w:val="auto"/>
        </w:rPr>
        <w:t>—In order to mitigate the currency risk on transactions with Canadian customer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vendors, the Company enters into foreign currency swaps to sell Canadian Dollars ("CAD").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notional amount and fair value of all outstanding derivative instruments in the condensed consolidated balance sheets consist of the following at: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40" w:type="dxa"/>
            <w:vAlign w:val="bottom"/>
            <w:tcBorders>
              <w:top w:val="single" w:sz="8" w:color="auto"/>
            </w:tcBorders>
          </w:tcPr>
          <w:p>
            <w:pPr>
              <w:jc w:val="center"/>
              <w:ind w:left="1437"/>
              <w:spacing w:after="0" w:line="144" w:lineRule="exact"/>
              <w:rPr>
                <w:sz w:val="20"/>
                <w:szCs w:val="20"/>
                <w:color w:val="auto"/>
              </w:rPr>
            </w:pPr>
            <w:r>
              <w:rPr>
                <w:rFonts w:ascii="Arial" w:cs="Arial" w:eastAsia="Arial" w:hAnsi="Arial"/>
                <w:sz w:val="14"/>
                <w:szCs w:val="14"/>
                <w:color w:val="auto"/>
                <w:w w:val="89"/>
              </w:rPr>
              <w:t>Derivatives not designated as</w:t>
            </w:r>
          </w:p>
        </w:tc>
        <w:tc>
          <w:tcPr>
            <w:tcW w:w="1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418"/>
              <w:spacing w:after="0"/>
              <w:rPr>
                <w:sz w:val="20"/>
                <w:szCs w:val="20"/>
                <w:color w:val="auto"/>
              </w:rPr>
            </w:pPr>
            <w:r>
              <w:rPr>
                <w:rFonts w:ascii="Arial" w:cs="Arial" w:eastAsia="Arial" w:hAnsi="Arial"/>
                <w:sz w:val="14"/>
                <w:szCs w:val="14"/>
                <w:color w:val="auto"/>
              </w:rPr>
              <w:t>Notional</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center"/>
              <w:ind w:right="278"/>
              <w:spacing w:after="0"/>
              <w:rPr>
                <w:sz w:val="20"/>
                <w:szCs w:val="20"/>
                <w:color w:val="auto"/>
              </w:rPr>
            </w:pPr>
            <w:r>
              <w:rPr>
                <w:rFonts w:ascii="Arial" w:cs="Arial" w:eastAsia="Arial" w:hAnsi="Arial"/>
                <w:sz w:val="14"/>
                <w:szCs w:val="14"/>
                <w:color w:val="auto"/>
                <w:w w:val="91"/>
              </w:rPr>
              <w:t>Fair</w:t>
            </w:r>
          </w:p>
        </w:tc>
        <w:tc>
          <w:tcPr>
            <w:tcW w:w="8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40" w:type="dxa"/>
            <w:vAlign w:val="bottom"/>
          </w:tcPr>
          <w:p>
            <w:pPr>
              <w:jc w:val="center"/>
              <w:ind w:left="1437"/>
              <w:spacing w:after="0" w:line="139" w:lineRule="exact"/>
              <w:rPr>
                <w:sz w:val="20"/>
                <w:szCs w:val="20"/>
                <w:color w:val="auto"/>
              </w:rPr>
            </w:pPr>
            <w:r>
              <w:rPr>
                <w:rFonts w:ascii="Arial" w:cs="Arial" w:eastAsia="Arial" w:hAnsi="Arial"/>
                <w:sz w:val="14"/>
                <w:szCs w:val="14"/>
                <w:color w:val="auto"/>
                <w:w w:val="89"/>
              </w:rPr>
              <w:t>hedging instruments under</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440" w:type="dxa"/>
            <w:vAlign w:val="bottom"/>
          </w:tcPr>
          <w:p>
            <w:pPr>
              <w:jc w:val="center"/>
              <w:ind w:left="1457"/>
              <w:spacing w:after="0"/>
              <w:rPr>
                <w:sz w:val="20"/>
                <w:szCs w:val="20"/>
                <w:color w:val="auto"/>
              </w:rPr>
            </w:pPr>
            <w:r>
              <w:rPr>
                <w:rFonts w:ascii="Arial" w:cs="Arial" w:eastAsia="Arial" w:hAnsi="Arial"/>
                <w:sz w:val="14"/>
                <w:szCs w:val="14"/>
                <w:color w:val="auto"/>
                <w:w w:val="91"/>
              </w:rPr>
              <w:t>ASC 815-20</w:t>
            </w: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438"/>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center"/>
              <w:ind w:right="278"/>
              <w:spacing w:after="0"/>
              <w:rPr>
                <w:sz w:val="20"/>
                <w:szCs w:val="20"/>
                <w:color w:val="auto"/>
              </w:rPr>
            </w:pPr>
            <w:r>
              <w:rPr>
                <w:rFonts w:ascii="Arial" w:cs="Arial" w:eastAsia="Arial" w:hAnsi="Arial"/>
                <w:sz w:val="14"/>
                <w:szCs w:val="14"/>
                <w:color w:val="auto"/>
                <w:w w:val="83"/>
              </w:rPr>
              <w:t>Value</w:t>
            </w:r>
          </w:p>
        </w:tc>
        <w:tc>
          <w:tcPr>
            <w:tcW w:w="80" w:type="dxa"/>
            <w:vAlign w:val="bottom"/>
          </w:tcPr>
          <w:p>
            <w:pPr>
              <w:spacing w:after="0"/>
              <w:rPr>
                <w:sz w:val="15"/>
                <w:szCs w:val="15"/>
                <w:color w:val="auto"/>
              </w:rPr>
            </w:pPr>
          </w:p>
        </w:tc>
        <w:tc>
          <w:tcPr>
            <w:tcW w:w="2040" w:type="dxa"/>
            <w:vAlign w:val="bottom"/>
          </w:tcPr>
          <w:p>
            <w:pPr>
              <w:ind w:left="360"/>
              <w:spacing w:after="0"/>
              <w:rPr>
                <w:sz w:val="20"/>
                <w:szCs w:val="20"/>
                <w:color w:val="auto"/>
              </w:rPr>
            </w:pPr>
            <w:r>
              <w:rPr>
                <w:rFonts w:ascii="Arial" w:cs="Arial" w:eastAsia="Arial" w:hAnsi="Arial"/>
                <w:sz w:val="14"/>
                <w:szCs w:val="14"/>
                <w:color w:val="auto"/>
              </w:rPr>
              <w:t>Balance Sheet Location</w:t>
            </w:r>
          </w:p>
        </w:tc>
        <w:tc>
          <w:tcPr>
            <w:tcW w:w="0" w:type="dxa"/>
            <w:vAlign w:val="bottom"/>
          </w:tcPr>
          <w:p>
            <w:pPr>
              <w:spacing w:after="0"/>
              <w:rPr>
                <w:sz w:val="1"/>
                <w:szCs w:val="1"/>
                <w:color w:val="auto"/>
              </w:rPr>
            </w:pPr>
          </w:p>
        </w:tc>
      </w:tr>
      <w:tr>
        <w:trPr>
          <w:trHeight w:val="23"/>
        </w:trPr>
        <w:tc>
          <w:tcPr>
            <w:tcW w:w="4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tcPr>
          <w:p>
            <w:pPr>
              <w:ind w:left="340"/>
              <w:spacing w:after="0"/>
              <w:rPr>
                <w:sz w:val="20"/>
                <w:szCs w:val="20"/>
                <w:color w:val="auto"/>
              </w:rPr>
            </w:pPr>
            <w:r>
              <w:rPr>
                <w:rFonts w:ascii="Arial" w:cs="Arial" w:eastAsia="Arial" w:hAnsi="Arial"/>
                <w:sz w:val="17"/>
                <w:szCs w:val="17"/>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4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Receive BRL/sell USD</w:t>
            </w:r>
          </w:p>
        </w:tc>
        <w:tc>
          <w:tcPr>
            <w:tcW w:w="1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55,619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6,823</w:t>
            </w:r>
          </w:p>
        </w:tc>
        <w:tc>
          <w:tcPr>
            <w:tcW w:w="80" w:type="dxa"/>
            <w:vAlign w:val="bottom"/>
            <w:shd w:val="clear" w:color="auto" w:fill="CCEEFF"/>
          </w:tcPr>
          <w:p>
            <w:pPr>
              <w:spacing w:after="0"/>
              <w:rPr>
                <w:sz w:val="20"/>
                <w:szCs w:val="20"/>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assets</w:t>
            </w:r>
          </w:p>
        </w:tc>
        <w:tc>
          <w:tcPr>
            <w:tcW w:w="0" w:type="dxa"/>
            <w:vAlign w:val="bottom"/>
          </w:tcPr>
          <w:p>
            <w:pPr>
              <w:spacing w:after="0"/>
              <w:rPr>
                <w:sz w:val="1"/>
                <w:szCs w:val="1"/>
                <w:color w:val="auto"/>
              </w:rPr>
            </w:pPr>
          </w:p>
        </w:tc>
      </w:tr>
      <w:tr>
        <w:trPr>
          <w:trHeight w:val="222"/>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exchange contracts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640"/>
              <w:spacing w:after="0"/>
              <w:rPr>
                <w:sz w:val="20"/>
                <w:szCs w:val="20"/>
                <w:color w:val="auto"/>
              </w:rPr>
            </w:pPr>
            <w:r>
              <w:rPr>
                <w:rFonts w:ascii="Arial" w:cs="Arial" w:eastAsia="Arial" w:hAnsi="Arial"/>
                <w:sz w:val="17"/>
                <w:szCs w:val="17"/>
                <w:color w:val="auto"/>
              </w:rPr>
              <w:t>Receive USD/pay EUR</w:t>
            </w:r>
          </w:p>
        </w:tc>
        <w:tc>
          <w:tcPr>
            <w:tcW w:w="1940" w:type="dxa"/>
            <w:vAlign w:val="bottom"/>
            <w:gridSpan w:val="5"/>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3,898</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7"/>
                <w:szCs w:val="17"/>
                <w:color w:val="auto"/>
              </w:rPr>
              <w:t>Derivative liabilities</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Receive USD/pay GBP</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liabilities</w:t>
            </w:r>
          </w:p>
        </w:tc>
        <w:tc>
          <w:tcPr>
            <w:tcW w:w="0" w:type="dxa"/>
            <w:vAlign w:val="bottom"/>
          </w:tcPr>
          <w:p>
            <w:pPr>
              <w:spacing w:after="0"/>
              <w:rPr>
                <w:sz w:val="1"/>
                <w:szCs w:val="1"/>
                <w:color w:val="auto"/>
              </w:rPr>
            </w:pPr>
          </w:p>
        </w:tc>
      </w:tr>
      <w:tr>
        <w:trPr>
          <w:trHeight w:val="222"/>
        </w:trPr>
        <w:tc>
          <w:tcPr>
            <w:tcW w:w="4440" w:type="dxa"/>
            <w:vAlign w:val="bottom"/>
          </w:tcPr>
          <w:p>
            <w:pPr>
              <w:ind w:left="640"/>
              <w:spacing w:after="0"/>
              <w:rPr>
                <w:sz w:val="20"/>
                <w:szCs w:val="20"/>
                <w:color w:val="auto"/>
              </w:rPr>
            </w:pPr>
            <w:r>
              <w:rPr>
                <w:rFonts w:ascii="Arial" w:cs="Arial" w:eastAsia="Arial" w:hAnsi="Arial"/>
                <w:sz w:val="17"/>
                <w:szCs w:val="17"/>
                <w:color w:val="auto"/>
              </w:rPr>
              <w:t>Receive USD/pay CAD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4,082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7"/>
                <w:szCs w:val="17"/>
                <w:color w:val="auto"/>
              </w:rPr>
              <w:t>Derivative liabilities</w:t>
            </w:r>
          </w:p>
        </w:tc>
        <w:tc>
          <w:tcPr>
            <w:tcW w:w="0" w:type="dxa"/>
            <w:vAlign w:val="bottom"/>
          </w:tcPr>
          <w:p>
            <w:pPr>
              <w:spacing w:after="0"/>
              <w:rPr>
                <w:sz w:val="1"/>
                <w:szCs w:val="1"/>
                <w:color w:val="auto"/>
              </w:rPr>
            </w:pPr>
          </w:p>
        </w:tc>
      </w:tr>
      <w:tr>
        <w:trPr>
          <w:trHeight w:val="235"/>
        </w:trPr>
        <w:tc>
          <w:tcPr>
            <w:tcW w:w="44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Receive THB/sell USD</w:t>
            </w:r>
          </w:p>
        </w:tc>
        <w:tc>
          <w:tcPr>
            <w:tcW w:w="1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23,222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c>
          <w:tcPr>
            <w:tcW w:w="80" w:type="dxa"/>
            <w:vAlign w:val="bottom"/>
            <w:shd w:val="clear" w:color="auto" w:fill="CCEEFF"/>
          </w:tcPr>
          <w:p>
            <w:pPr>
              <w:spacing w:after="0"/>
              <w:rPr>
                <w:sz w:val="20"/>
                <w:szCs w:val="20"/>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liabilities</w:t>
            </w:r>
          </w:p>
        </w:tc>
        <w:tc>
          <w:tcPr>
            <w:tcW w:w="0" w:type="dxa"/>
            <w:vAlign w:val="bottom"/>
          </w:tcPr>
          <w:p>
            <w:pPr>
              <w:spacing w:after="0"/>
              <w:rPr>
                <w:sz w:val="1"/>
                <w:szCs w:val="1"/>
                <w:color w:val="auto"/>
              </w:rPr>
            </w:pPr>
          </w:p>
        </w:tc>
      </w:tr>
      <w:tr>
        <w:trPr>
          <w:trHeight w:val="486"/>
        </w:trPr>
        <w:tc>
          <w:tcPr>
            <w:tcW w:w="4440" w:type="dxa"/>
            <w:vAlign w:val="bottom"/>
          </w:tcPr>
          <w:p>
            <w:pPr>
              <w:spacing w:after="0"/>
              <w:rPr>
                <w:sz w:val="24"/>
                <w:szCs w:val="24"/>
                <w:color w:val="auto"/>
              </w:rPr>
            </w:pPr>
          </w:p>
        </w:tc>
        <w:tc>
          <w:tcPr>
            <w:tcW w:w="19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December 31, 2022</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tcPr>
          <w:p>
            <w:pPr>
              <w:jc w:val="center"/>
              <w:ind w:left="1477"/>
              <w:spacing w:after="0" w:line="131" w:lineRule="exact"/>
              <w:rPr>
                <w:sz w:val="20"/>
                <w:szCs w:val="20"/>
                <w:color w:val="auto"/>
              </w:rPr>
            </w:pPr>
            <w:r>
              <w:rPr>
                <w:rFonts w:ascii="Arial" w:cs="Arial" w:eastAsia="Arial" w:hAnsi="Arial"/>
                <w:sz w:val="14"/>
                <w:szCs w:val="14"/>
                <w:color w:val="auto"/>
                <w:w w:val="89"/>
              </w:rPr>
              <w:t>Derivatives not designated as</w:t>
            </w: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40" w:type="dxa"/>
            <w:vAlign w:val="bottom"/>
          </w:tcPr>
          <w:p>
            <w:pPr>
              <w:jc w:val="center"/>
              <w:ind w:left="1477"/>
              <w:spacing w:after="0" w:line="136" w:lineRule="exact"/>
              <w:rPr>
                <w:sz w:val="20"/>
                <w:szCs w:val="20"/>
                <w:color w:val="auto"/>
              </w:rPr>
            </w:pPr>
            <w:r>
              <w:rPr>
                <w:rFonts w:ascii="Arial" w:cs="Arial" w:eastAsia="Arial" w:hAnsi="Arial"/>
                <w:sz w:val="14"/>
                <w:szCs w:val="14"/>
                <w:color w:val="auto"/>
                <w:w w:val="89"/>
              </w:rPr>
              <w:t>hedging instruments under</w:t>
            </w: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398"/>
              <w:spacing w:after="0" w:line="136" w:lineRule="exact"/>
              <w:rPr>
                <w:sz w:val="20"/>
                <w:szCs w:val="20"/>
                <w:color w:val="auto"/>
              </w:rPr>
            </w:pPr>
            <w:r>
              <w:rPr>
                <w:rFonts w:ascii="Arial" w:cs="Arial" w:eastAsia="Arial" w:hAnsi="Arial"/>
                <w:sz w:val="14"/>
                <w:szCs w:val="14"/>
                <w:color w:val="auto"/>
              </w:rPr>
              <w:t>Notional</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center"/>
              <w:ind w:right="258"/>
              <w:spacing w:after="0" w:line="136" w:lineRule="exact"/>
              <w:rPr>
                <w:sz w:val="20"/>
                <w:szCs w:val="20"/>
                <w:color w:val="auto"/>
              </w:rPr>
            </w:pPr>
            <w:r>
              <w:rPr>
                <w:rFonts w:ascii="Arial" w:cs="Arial" w:eastAsia="Arial" w:hAnsi="Arial"/>
                <w:sz w:val="14"/>
                <w:szCs w:val="14"/>
                <w:color w:val="auto"/>
                <w:w w:val="99"/>
              </w:rPr>
              <w:t>Fair</w:t>
            </w:r>
          </w:p>
        </w:tc>
        <w:tc>
          <w:tcPr>
            <w:tcW w:w="80" w:type="dxa"/>
            <w:vAlign w:val="bottom"/>
          </w:tcPr>
          <w:p>
            <w:pPr>
              <w:spacing w:after="0"/>
              <w:rPr>
                <w:sz w:val="11"/>
                <w:szCs w:val="11"/>
                <w:color w:val="auto"/>
              </w:rPr>
            </w:pPr>
          </w:p>
        </w:tc>
        <w:tc>
          <w:tcPr>
            <w:tcW w:w="2040" w:type="dxa"/>
            <w:vAlign w:val="bottom"/>
            <w:vMerge w:val="restart"/>
          </w:tcPr>
          <w:p>
            <w:pPr>
              <w:ind w:left="360"/>
              <w:spacing w:after="0"/>
              <w:rPr>
                <w:sz w:val="20"/>
                <w:szCs w:val="20"/>
                <w:color w:val="auto"/>
              </w:rPr>
            </w:pPr>
            <w:r>
              <w:rPr>
                <w:rFonts w:ascii="Arial" w:cs="Arial" w:eastAsia="Arial" w:hAnsi="Arial"/>
                <w:sz w:val="14"/>
                <w:szCs w:val="14"/>
                <w:color w:val="auto"/>
              </w:rPr>
              <w:t>Balance Sheet Location</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auto"/>
            </w:tcBorders>
          </w:tcPr>
          <w:p>
            <w:pPr>
              <w:jc w:val="center"/>
              <w:ind w:left="1457"/>
              <w:spacing w:after="0"/>
              <w:rPr>
                <w:sz w:val="20"/>
                <w:szCs w:val="20"/>
                <w:color w:val="auto"/>
              </w:rPr>
            </w:pPr>
            <w:r>
              <w:rPr>
                <w:rFonts w:ascii="Arial" w:cs="Arial" w:eastAsia="Arial" w:hAnsi="Arial"/>
                <w:sz w:val="14"/>
                <w:szCs w:val="14"/>
                <w:color w:val="auto"/>
                <w:w w:val="91"/>
              </w:rPr>
              <w:t>ASC 815-20</w:t>
            </w:r>
          </w:p>
        </w:tc>
        <w:tc>
          <w:tcPr>
            <w:tcW w:w="1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color w:val="auto"/>
                <w:w w:val="89"/>
              </w:rPr>
              <w:t>Value</w:t>
            </w:r>
          </w:p>
        </w:tc>
        <w:tc>
          <w:tcPr>
            <w:tcW w:w="8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340"/>
              <w:spacing w:after="0"/>
              <w:rPr>
                <w:sz w:val="20"/>
                <w:szCs w:val="20"/>
                <w:color w:val="auto"/>
              </w:rPr>
            </w:pPr>
            <w:r>
              <w:rPr>
                <w:rFonts w:ascii="Arial" w:cs="Arial" w:eastAsia="Arial" w:hAnsi="Arial"/>
                <w:sz w:val="17"/>
                <w:szCs w:val="17"/>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Receive USD/pay GBP</w:t>
            </w:r>
          </w:p>
        </w:tc>
        <w:tc>
          <w:tcPr>
            <w:tcW w:w="1940" w:type="dxa"/>
            <w:vAlign w:val="bottom"/>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23,702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assets</w:t>
            </w:r>
          </w:p>
        </w:tc>
        <w:tc>
          <w:tcPr>
            <w:tcW w:w="0" w:type="dxa"/>
            <w:vAlign w:val="bottom"/>
          </w:tcPr>
          <w:p>
            <w:pPr>
              <w:spacing w:after="0"/>
              <w:rPr>
                <w:sz w:val="1"/>
                <w:szCs w:val="1"/>
                <w:color w:val="auto"/>
              </w:rPr>
            </w:pPr>
          </w:p>
        </w:tc>
      </w:tr>
      <w:tr>
        <w:trPr>
          <w:trHeight w:val="222"/>
        </w:trPr>
        <w:tc>
          <w:tcPr>
            <w:tcW w:w="4440" w:type="dxa"/>
            <w:vAlign w:val="bottom"/>
          </w:tcPr>
          <w:p>
            <w:pPr>
              <w:ind w:left="640"/>
              <w:spacing w:after="0"/>
              <w:rPr>
                <w:sz w:val="20"/>
                <w:szCs w:val="20"/>
                <w:color w:val="auto"/>
              </w:rPr>
            </w:pPr>
            <w:r>
              <w:rPr>
                <w:rFonts w:ascii="Arial" w:cs="Arial" w:eastAsia="Arial" w:hAnsi="Arial"/>
                <w:sz w:val="17"/>
                <w:szCs w:val="17"/>
                <w:color w:val="auto"/>
              </w:rPr>
              <w:t>Receive BRL/sell USD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46,301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2,314</w:t>
            </w:r>
          </w:p>
        </w:tc>
        <w:tc>
          <w:tcPr>
            <w:tcW w:w="8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7"/>
                <w:szCs w:val="17"/>
                <w:color w:val="auto"/>
              </w:rPr>
              <w:t>Derivative assets</w:t>
            </w:r>
          </w:p>
        </w:tc>
        <w:tc>
          <w:tcPr>
            <w:tcW w:w="0" w:type="dxa"/>
            <w:vAlign w:val="bottom"/>
          </w:tcPr>
          <w:p>
            <w:pPr>
              <w:spacing w:after="0"/>
              <w:rPr>
                <w:sz w:val="1"/>
                <w:szCs w:val="1"/>
                <w:color w:val="auto"/>
              </w:rPr>
            </w:pPr>
          </w:p>
        </w:tc>
      </w:tr>
      <w:tr>
        <w:trPr>
          <w:trHeight w:val="235"/>
        </w:trPr>
        <w:tc>
          <w:tcPr>
            <w:tcW w:w="44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Receive USD/pay CAD</w:t>
            </w:r>
          </w:p>
        </w:tc>
        <w:tc>
          <w:tcPr>
            <w:tcW w:w="1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80" w:type="dxa"/>
            <w:vAlign w:val="bottom"/>
            <w:shd w:val="clear" w:color="auto" w:fill="CCEEFF"/>
          </w:tcPr>
          <w:p>
            <w:pPr>
              <w:spacing w:after="0"/>
              <w:rPr>
                <w:sz w:val="20"/>
                <w:szCs w:val="20"/>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assets</w:t>
            </w:r>
          </w:p>
        </w:tc>
        <w:tc>
          <w:tcPr>
            <w:tcW w:w="0" w:type="dxa"/>
            <w:vAlign w:val="bottom"/>
          </w:tcPr>
          <w:p>
            <w:pPr>
              <w:spacing w:after="0"/>
              <w:rPr>
                <w:sz w:val="1"/>
                <w:szCs w:val="1"/>
                <w:color w:val="auto"/>
              </w:rPr>
            </w:pPr>
          </w:p>
        </w:tc>
      </w:tr>
      <w:tr>
        <w:trPr>
          <w:trHeight w:val="222"/>
        </w:trPr>
        <w:tc>
          <w:tcPr>
            <w:tcW w:w="444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exchange contracts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40" w:type="dxa"/>
            <w:vAlign w:val="bottom"/>
          </w:tcPr>
          <w:p>
            <w:pPr>
              <w:ind w:left="640"/>
              <w:spacing w:after="0"/>
              <w:rPr>
                <w:sz w:val="20"/>
                <w:szCs w:val="20"/>
                <w:color w:val="auto"/>
              </w:rPr>
            </w:pPr>
            <w:r>
              <w:rPr>
                <w:rFonts w:ascii="Arial" w:cs="Arial" w:eastAsia="Arial" w:hAnsi="Arial"/>
                <w:sz w:val="17"/>
                <w:szCs w:val="17"/>
                <w:color w:val="auto"/>
              </w:rPr>
              <w:t>Receive USD/pay EUR</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7"/>
                <w:szCs w:val="17"/>
                <w:color w:val="auto"/>
              </w:rPr>
              <w:t>Derivative liabilities</w:t>
            </w:r>
          </w:p>
        </w:tc>
        <w:tc>
          <w:tcPr>
            <w:tcW w:w="0" w:type="dxa"/>
            <w:vAlign w:val="bottom"/>
          </w:tcPr>
          <w:p>
            <w:pPr>
              <w:spacing w:after="0"/>
              <w:rPr>
                <w:sz w:val="1"/>
                <w:szCs w:val="1"/>
                <w:color w:val="auto"/>
              </w:rPr>
            </w:pPr>
          </w:p>
        </w:tc>
      </w:tr>
      <w:tr>
        <w:trPr>
          <w:trHeight w:val="235"/>
        </w:trPr>
        <w:tc>
          <w:tcPr>
            <w:tcW w:w="44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Receive THB/sell USD</w:t>
            </w:r>
          </w:p>
        </w:tc>
        <w:tc>
          <w:tcPr>
            <w:tcW w:w="1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21,990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80" w:type="dxa"/>
            <w:vAlign w:val="bottom"/>
            <w:shd w:val="clear" w:color="auto" w:fill="CCEEFF"/>
          </w:tcPr>
          <w:p>
            <w:pPr>
              <w:spacing w:after="0"/>
              <w:rPr>
                <w:sz w:val="20"/>
                <w:szCs w:val="20"/>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liabilities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ind w:right="720" w:firstLine="627"/>
        <w:spacing w:after="0" w:line="288" w:lineRule="auto"/>
        <w:rPr>
          <w:sz w:val="20"/>
          <w:szCs w:val="20"/>
          <w:color w:val="auto"/>
        </w:rPr>
      </w:pPr>
      <w:r>
        <w:rPr>
          <w:rFonts w:ascii="Arial" w:cs="Arial" w:eastAsia="Arial" w:hAnsi="Arial"/>
          <w:sz w:val="17"/>
          <w:szCs w:val="17"/>
          <w:color w:val="auto"/>
        </w:rPr>
        <w:t>The amount and location of realized and unrealized gains and losses of the derivative instruments in the condensed consolidated statements of operations for the three and six months ended June 30, 2023 and 2022 are as follows: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27940</wp:posOffset>
            </wp:positionV>
            <wp:extent cx="26638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63825" cy="8255"/>
                    </a:xfrm>
                    <a:prstGeom prst="rect">
                      <a:avLst/>
                    </a:prstGeom>
                    <a:noFill/>
                  </pic:spPr>
                </pic:pic>
              </a:graphicData>
            </a:graphic>
          </wp:anchor>
        </w:drawing>
      </w:r>
    </w:p>
    <w:p>
      <w:pPr>
        <w:spacing w:after="0" w:line="28" w:lineRule="exact"/>
        <w:rPr>
          <w:sz w:val="20"/>
          <w:szCs w:val="20"/>
          <w:color w:val="auto"/>
        </w:rPr>
      </w:pPr>
    </w:p>
    <w:p>
      <w:pPr>
        <w:jc w:val="both"/>
        <w:ind w:left="7940"/>
        <w:spacing w:after="0"/>
        <w:tabs>
          <w:tab w:leader="none" w:pos="1006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ectPr>
          <w:pgSz w:w="11900" w:h="16838" w:orient="portrait"/>
          <w:cols w:equalWidth="0" w:num="1">
            <w:col w:w="11240"/>
          </w:cols>
          <w:pgMar w:left="320" w:top="121" w:right="339" w:bottom="1440" w:gutter="0" w:footer="0" w:header="0"/>
        </w:sectPr>
      </w:pPr>
    </w:p>
    <w:p>
      <w:pPr>
        <w:spacing w:after="0" w:line="65" w:lineRule="exact"/>
        <w:rPr>
          <w:sz w:val="20"/>
          <w:szCs w:val="20"/>
          <w:color w:val="auto"/>
        </w:rPr>
      </w:pPr>
    </w:p>
    <w:p>
      <w:pPr>
        <w:ind w:left="20" w:right="2740"/>
        <w:spacing w:after="0" w:line="327" w:lineRule="auto"/>
        <w:rPr>
          <w:sz w:val="20"/>
          <w:szCs w:val="20"/>
          <w:color w:val="auto"/>
        </w:rPr>
      </w:pPr>
      <w:r>
        <w:rPr>
          <w:rFonts w:ascii="Arial" w:cs="Arial" w:eastAsia="Arial" w:hAnsi="Arial"/>
          <w:sz w:val="17"/>
          <w:szCs w:val="17"/>
          <w:b w:val="1"/>
          <w:bCs w:val="1"/>
          <w:color w:val="auto"/>
        </w:rPr>
        <w:t xml:space="preserve">Unrealized gain/(loss) on derivative instruments </w:t>
      </w:r>
      <w:r>
        <w:rPr>
          <w:rFonts w:ascii="Arial" w:cs="Arial" w:eastAsia="Arial" w:hAnsi="Arial"/>
          <w:sz w:val="17"/>
          <w:szCs w:val="17"/>
          <w:color w:val="auto"/>
        </w:rPr>
        <w:t>Location</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Foreign currency gain / (loss)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Location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(3,242)</w:t>
            </w:r>
          </w:p>
        </w:tc>
      </w:tr>
      <w:tr>
        <w:trPr>
          <w:trHeight w:val="26"/>
        </w:trPr>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64"/>
        </w:trPr>
        <w:tc>
          <w:tcPr>
            <w:tcW w:w="180" w:type="dxa"/>
            <w:vAlign w:val="bottom"/>
          </w:tcPr>
          <w:p>
            <w:pPr>
              <w:spacing w:after="0"/>
              <w:rPr>
                <w:sz w:val="14"/>
                <w:szCs w:val="14"/>
                <w:color w:val="auto"/>
              </w:rPr>
            </w:pPr>
          </w:p>
        </w:tc>
        <w:tc>
          <w:tcPr>
            <w:tcW w:w="1880" w:type="dxa"/>
            <w:vAlign w:val="bottom"/>
          </w:tcPr>
          <w:p>
            <w:pPr>
              <w:jc w:val="center"/>
              <w:ind w:right="97"/>
              <w:spacing w:after="0" w:line="163" w:lineRule="exact"/>
              <w:rPr>
                <w:sz w:val="20"/>
                <w:szCs w:val="20"/>
                <w:color w:val="auto"/>
              </w:rPr>
            </w:pPr>
            <w:r>
              <w:rPr>
                <w:rFonts w:ascii="Arial" w:cs="Arial" w:eastAsia="Arial" w:hAnsi="Arial"/>
                <w:sz w:val="17"/>
                <w:szCs w:val="17"/>
                <w:color w:val="auto"/>
                <w:w w:val="93"/>
              </w:rPr>
              <w:t>Unrealized gain/(loss)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center"/>
              <w:ind w:right="95"/>
              <w:spacing w:after="0" w:line="163" w:lineRule="exact"/>
              <w:rPr>
                <w:sz w:val="20"/>
                <w:szCs w:val="20"/>
                <w:color w:val="auto"/>
              </w:rPr>
            </w:pPr>
            <w:r>
              <w:rPr>
                <w:rFonts w:ascii="Arial" w:cs="Arial" w:eastAsia="Arial" w:hAnsi="Arial"/>
                <w:sz w:val="17"/>
                <w:szCs w:val="17"/>
                <w:color w:val="auto"/>
                <w:w w:val="94"/>
              </w:rPr>
              <w:t>Unrealized gain/(loss)</w:t>
            </w:r>
          </w:p>
        </w:tc>
      </w:tr>
      <w:tr>
        <w:trPr>
          <w:trHeight w:val="170"/>
        </w:trPr>
        <w:tc>
          <w:tcPr>
            <w:tcW w:w="180" w:type="dxa"/>
            <w:vAlign w:val="bottom"/>
          </w:tcPr>
          <w:p>
            <w:pPr>
              <w:spacing w:after="0"/>
              <w:rPr>
                <w:sz w:val="14"/>
                <w:szCs w:val="14"/>
                <w:color w:val="auto"/>
              </w:rPr>
            </w:pPr>
          </w:p>
        </w:tc>
        <w:tc>
          <w:tcPr>
            <w:tcW w:w="1880" w:type="dxa"/>
            <w:vAlign w:val="bottom"/>
          </w:tcPr>
          <w:p>
            <w:pPr>
              <w:jc w:val="center"/>
              <w:ind w:right="77"/>
              <w:spacing w:after="0" w:line="170" w:lineRule="exact"/>
              <w:rPr>
                <w:sz w:val="20"/>
                <w:szCs w:val="20"/>
                <w:color w:val="auto"/>
              </w:rPr>
            </w:pPr>
            <w:r>
              <w:rPr>
                <w:rFonts w:ascii="Arial" w:cs="Arial" w:eastAsia="Arial" w:hAnsi="Arial"/>
                <w:sz w:val="17"/>
                <w:szCs w:val="17"/>
                <w:color w:val="auto"/>
                <w:w w:val="95"/>
              </w:rPr>
              <w:t>on derivative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center"/>
              <w:ind w:right="95"/>
              <w:spacing w:after="0" w:line="170" w:lineRule="exact"/>
              <w:rPr>
                <w:sz w:val="20"/>
                <w:szCs w:val="20"/>
                <w:color w:val="auto"/>
              </w:rPr>
            </w:pPr>
            <w:r>
              <w:rPr>
                <w:rFonts w:ascii="Arial" w:cs="Arial" w:eastAsia="Arial" w:hAnsi="Arial"/>
                <w:sz w:val="17"/>
                <w:szCs w:val="17"/>
                <w:color w:val="auto"/>
                <w:w w:val="95"/>
              </w:rPr>
              <w:t>on derivative</w:t>
            </w:r>
          </w:p>
        </w:tc>
      </w:tr>
      <w:tr>
        <w:trPr>
          <w:trHeight w:val="221"/>
        </w:trPr>
        <w:tc>
          <w:tcPr>
            <w:tcW w:w="180" w:type="dxa"/>
            <w:vAlign w:val="bottom"/>
          </w:tcPr>
          <w:p>
            <w:pPr>
              <w:spacing w:after="0"/>
              <w:rPr>
                <w:sz w:val="19"/>
                <w:szCs w:val="19"/>
                <w:color w:val="auto"/>
              </w:rPr>
            </w:pPr>
          </w:p>
        </w:tc>
        <w:tc>
          <w:tcPr>
            <w:tcW w:w="1880" w:type="dxa"/>
            <w:vAlign w:val="bottom"/>
          </w:tcPr>
          <w:p>
            <w:pPr>
              <w:jc w:val="center"/>
              <w:ind w:right="97"/>
              <w:spacing w:after="0"/>
              <w:rPr>
                <w:sz w:val="20"/>
                <w:szCs w:val="20"/>
                <w:color w:val="auto"/>
              </w:rPr>
            </w:pPr>
            <w:r>
              <w:rPr>
                <w:rFonts w:ascii="Arial" w:cs="Arial" w:eastAsia="Arial" w:hAnsi="Arial"/>
                <w:sz w:val="17"/>
                <w:szCs w:val="17"/>
                <w:color w:val="auto"/>
                <w:w w:val="93"/>
              </w:rPr>
              <w:t>instruments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center"/>
              <w:ind w:right="95"/>
              <w:spacing w:after="0"/>
              <w:rPr>
                <w:sz w:val="20"/>
                <w:szCs w:val="20"/>
                <w:color w:val="auto"/>
              </w:rPr>
            </w:pPr>
            <w:r>
              <w:rPr>
                <w:rFonts w:ascii="Arial" w:cs="Arial" w:eastAsia="Arial" w:hAnsi="Arial"/>
                <w:sz w:val="17"/>
                <w:szCs w:val="17"/>
                <w:color w:val="auto"/>
                <w:w w:val="91"/>
              </w:rPr>
              <w:t>instruments</w:t>
            </w:r>
          </w:p>
        </w:tc>
      </w:tr>
      <w:tr>
        <w:trPr>
          <w:trHeight w:val="235"/>
        </w:trPr>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1,572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873</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180" w:type="dxa"/>
            <w:vAlign w:val="bottom"/>
          </w:tcPr>
          <w:p>
            <w:pPr>
              <w:spacing w:after="0"/>
              <w:rPr>
                <w:sz w:val="14"/>
                <w:szCs w:val="14"/>
                <w:color w:val="auto"/>
              </w:rPr>
            </w:pPr>
          </w:p>
        </w:tc>
        <w:tc>
          <w:tcPr>
            <w:tcW w:w="1880" w:type="dxa"/>
            <w:vAlign w:val="bottom"/>
          </w:tcPr>
          <w:p>
            <w:pPr>
              <w:jc w:val="center"/>
              <w:ind w:right="77"/>
              <w:spacing w:after="0" w:line="163" w:lineRule="exact"/>
              <w:rPr>
                <w:sz w:val="20"/>
                <w:szCs w:val="20"/>
                <w:color w:val="auto"/>
              </w:rPr>
            </w:pPr>
            <w:r>
              <w:rPr>
                <w:rFonts w:ascii="Arial" w:cs="Arial" w:eastAsia="Arial" w:hAnsi="Arial"/>
                <w:sz w:val="17"/>
                <w:szCs w:val="17"/>
                <w:color w:val="auto"/>
                <w:w w:val="94"/>
              </w:rPr>
              <w:t>Foreign currency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center"/>
              <w:ind w:right="95"/>
              <w:spacing w:after="0" w:line="163" w:lineRule="exact"/>
              <w:rPr>
                <w:sz w:val="20"/>
                <w:szCs w:val="20"/>
                <w:color w:val="auto"/>
              </w:rPr>
            </w:pPr>
            <w:r>
              <w:rPr>
                <w:rFonts w:ascii="Arial" w:cs="Arial" w:eastAsia="Arial" w:hAnsi="Arial"/>
                <w:sz w:val="17"/>
                <w:szCs w:val="17"/>
                <w:color w:val="auto"/>
                <w:w w:val="94"/>
              </w:rPr>
              <w:t>Foreign currency</w:t>
            </w:r>
          </w:p>
        </w:tc>
      </w:tr>
      <w:tr>
        <w:trPr>
          <w:trHeight w:val="221"/>
        </w:trPr>
        <w:tc>
          <w:tcPr>
            <w:tcW w:w="180" w:type="dxa"/>
            <w:vAlign w:val="bottom"/>
          </w:tcPr>
          <w:p>
            <w:pPr>
              <w:spacing w:after="0"/>
              <w:rPr>
                <w:sz w:val="19"/>
                <w:szCs w:val="19"/>
                <w:color w:val="auto"/>
              </w:rPr>
            </w:pPr>
          </w:p>
        </w:tc>
        <w:tc>
          <w:tcPr>
            <w:tcW w:w="1880" w:type="dxa"/>
            <w:vAlign w:val="bottom"/>
          </w:tcPr>
          <w:p>
            <w:pPr>
              <w:jc w:val="center"/>
              <w:ind w:right="97"/>
              <w:spacing w:after="0"/>
              <w:rPr>
                <w:sz w:val="20"/>
                <w:szCs w:val="20"/>
                <w:color w:val="auto"/>
              </w:rPr>
            </w:pPr>
            <w:r>
              <w:rPr>
                <w:rFonts w:ascii="Arial" w:cs="Arial" w:eastAsia="Arial" w:hAnsi="Arial"/>
                <w:sz w:val="17"/>
                <w:szCs w:val="17"/>
                <w:color w:val="auto"/>
                <w:w w:val="94"/>
              </w:rPr>
              <w:t>gain/(loss)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center"/>
              <w:ind w:right="95"/>
              <w:spacing w:after="0"/>
              <w:rPr>
                <w:sz w:val="20"/>
                <w:szCs w:val="20"/>
                <w:color w:val="auto"/>
              </w:rPr>
            </w:pPr>
            <w:r>
              <w:rPr>
                <w:rFonts w:ascii="Arial" w:cs="Arial" w:eastAsia="Arial" w:hAnsi="Arial"/>
                <w:sz w:val="17"/>
                <w:szCs w:val="17"/>
                <w:color w:val="auto"/>
                <w:w w:val="91"/>
              </w:rPr>
              <w:t>gain/(loss)</w:t>
            </w:r>
          </w:p>
        </w:tc>
      </w:tr>
      <w:tr>
        <w:trPr>
          <w:trHeight w:val="400"/>
        </w:trPr>
        <w:tc>
          <w:tcPr>
            <w:tcW w:w="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4"/>
          </w:tcPr>
          <w:p>
            <w:pPr>
              <w:jc w:val="right"/>
              <w:ind w:right="1195"/>
              <w:spacing w:after="0"/>
              <w:rPr>
                <w:sz w:val="20"/>
                <w:szCs w:val="20"/>
                <w:color w:val="auto"/>
              </w:rPr>
            </w:pPr>
            <w:r>
              <w:rPr>
                <w:rFonts w:ascii="Arial" w:cs="Arial" w:eastAsia="Arial" w:hAnsi="Arial"/>
                <w:sz w:val="14"/>
                <w:szCs w:val="14"/>
                <w:b w:val="1"/>
                <w:bCs w:val="1"/>
                <w:color w:val="auto"/>
              </w:rPr>
              <w:t>Six Months Ended June 30,</w:t>
            </w:r>
          </w:p>
        </w:tc>
      </w:tr>
      <w:tr>
        <w:trPr>
          <w:trHeight w:val="180"/>
        </w:trPr>
        <w:tc>
          <w:tcPr>
            <w:tcW w:w="180" w:type="dxa"/>
            <w:vAlign w:val="bottom"/>
          </w:tcPr>
          <w:p>
            <w:pPr>
              <w:spacing w:after="0"/>
              <w:rPr>
                <w:sz w:val="15"/>
                <w:szCs w:val="15"/>
                <w:color w:val="auto"/>
              </w:rPr>
            </w:pPr>
          </w:p>
        </w:tc>
        <w:tc>
          <w:tcPr>
            <w:tcW w:w="188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-4466590</wp:posOffset>
            </wp:positionH>
            <wp:positionV relativeFrom="paragraph">
              <wp:posOffset>-1351280</wp:posOffset>
            </wp:positionV>
            <wp:extent cx="7136765" cy="165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165735"/>
                    </a:xfrm>
                    <a:prstGeom prst="rect">
                      <a:avLst/>
                    </a:prstGeom>
                    <a:noFill/>
                  </pic:spPr>
                </pic:pic>
              </a:graphicData>
            </a:graphic>
          </wp:anchor>
        </w:drawing>
        <w:drawing>
          <wp:anchor simplePos="0" relativeHeight="251657728" behindDoc="1" locked="0" layoutInCell="0" allowOverlap="1">
            <wp:simplePos x="0" y="0"/>
            <wp:positionH relativeFrom="column">
              <wp:posOffset>-4466590</wp:posOffset>
            </wp:positionH>
            <wp:positionV relativeFrom="paragraph">
              <wp:posOffset>-803910</wp:posOffset>
            </wp:positionV>
            <wp:extent cx="7136765" cy="157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157480"/>
                    </a:xfrm>
                    <a:prstGeom prst="rect">
                      <a:avLst/>
                    </a:prstGeom>
                    <a:noFill/>
                  </pic:spPr>
                </pic:pic>
              </a:graphicData>
            </a:graphic>
          </wp:anchor>
        </w:drawing>
        <w:drawing>
          <wp:anchor simplePos="0" relativeHeight="251657728" behindDoc="1" locked="0" layoutInCell="0" allowOverlap="1">
            <wp:simplePos x="0" y="0"/>
            <wp:positionH relativeFrom="column">
              <wp:posOffset>-4466590</wp:posOffset>
            </wp:positionH>
            <wp:positionV relativeFrom="paragraph">
              <wp:posOffset>-372110</wp:posOffset>
            </wp:positionV>
            <wp:extent cx="7136765" cy="132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132715"/>
                    </a:xfrm>
                    <a:prstGeom prst="rect">
                      <a:avLst/>
                    </a:prstGeom>
                    <a:noFill/>
                  </pic:spPr>
                </pic:pic>
              </a:graphicData>
            </a:graphic>
          </wp:anchor>
        </w:drawing>
        <w:drawing>
          <wp:anchor simplePos="0" relativeHeight="251657728" behindDoc="1" locked="0" layoutInCell="0" allowOverlap="1">
            <wp:simplePos x="0" y="0"/>
            <wp:positionH relativeFrom="column">
              <wp:posOffset>-4466590</wp:posOffset>
            </wp:positionH>
            <wp:positionV relativeFrom="paragraph">
              <wp:posOffset>-114935</wp:posOffset>
            </wp:positionV>
            <wp:extent cx="7136765" cy="124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320" w:space="720"/>
            <w:col w:w="4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7040" w:type="dxa"/>
            <w:vAlign w:val="bottom"/>
          </w:tcPr>
          <w:p>
            <w:pPr>
              <w:ind w:left="20"/>
              <w:spacing w:after="0"/>
              <w:rPr>
                <w:sz w:val="20"/>
                <w:szCs w:val="20"/>
                <w:color w:val="auto"/>
              </w:rPr>
            </w:pPr>
            <w:r>
              <w:rPr>
                <w:rFonts w:ascii="Arial" w:cs="Arial" w:eastAsia="Arial" w:hAnsi="Arial"/>
                <w:sz w:val="17"/>
                <w:szCs w:val="17"/>
                <w:b w:val="1"/>
                <w:bCs w:val="1"/>
                <w:color w:val="auto"/>
              </w:rPr>
              <w:t>Unrealized gain/(loss) on derivative instruments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5,464</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76"/>
        </w:trPr>
        <w:tc>
          <w:tcPr>
            <w:tcW w:w="704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Location</w:t>
            </w:r>
          </w:p>
        </w:tc>
        <w:tc>
          <w:tcPr>
            <w:tcW w:w="180" w:type="dxa"/>
            <w:vAlign w:val="bottom"/>
            <w:shd w:val="clear" w:color="auto" w:fill="CCEEFF"/>
          </w:tcPr>
          <w:p>
            <w:pPr>
              <w:spacing w:after="0"/>
              <w:rPr>
                <w:sz w:val="15"/>
                <w:szCs w:val="15"/>
                <w:color w:val="auto"/>
              </w:rPr>
            </w:pPr>
          </w:p>
        </w:tc>
        <w:tc>
          <w:tcPr>
            <w:tcW w:w="1880" w:type="dxa"/>
            <w:vAlign w:val="bottom"/>
            <w:shd w:val="clear" w:color="auto" w:fill="CCEEFF"/>
          </w:tcPr>
          <w:p>
            <w:pPr>
              <w:jc w:val="center"/>
              <w:ind w:right="93"/>
              <w:spacing w:after="0" w:line="176" w:lineRule="exact"/>
              <w:rPr>
                <w:sz w:val="20"/>
                <w:szCs w:val="20"/>
                <w:color w:val="auto"/>
              </w:rPr>
            </w:pPr>
            <w:r>
              <w:rPr>
                <w:rFonts w:ascii="Arial" w:cs="Arial" w:eastAsia="Arial" w:hAnsi="Arial"/>
                <w:sz w:val="17"/>
                <w:szCs w:val="17"/>
                <w:color w:val="auto"/>
                <w:w w:val="93"/>
              </w:rPr>
              <w:t>Unrealized gain/(loss)</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jc w:val="center"/>
              <w:ind w:right="93"/>
              <w:spacing w:after="0" w:line="176" w:lineRule="exact"/>
              <w:rPr>
                <w:sz w:val="20"/>
                <w:szCs w:val="20"/>
                <w:color w:val="auto"/>
              </w:rPr>
            </w:pPr>
            <w:r>
              <w:rPr>
                <w:rFonts w:ascii="Arial" w:cs="Arial" w:eastAsia="Arial" w:hAnsi="Arial"/>
                <w:sz w:val="17"/>
                <w:szCs w:val="17"/>
                <w:color w:val="auto"/>
                <w:w w:val="94"/>
              </w:rPr>
              <w:t>Unrealized gain/(loss)</w:t>
            </w:r>
          </w:p>
        </w:tc>
      </w:tr>
      <w:tr>
        <w:trPr>
          <w:trHeight w:val="170"/>
        </w:trPr>
        <w:tc>
          <w:tcPr>
            <w:tcW w:w="7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73"/>
              <w:spacing w:after="0" w:line="170" w:lineRule="exact"/>
              <w:rPr>
                <w:sz w:val="20"/>
                <w:szCs w:val="20"/>
                <w:color w:val="auto"/>
              </w:rPr>
            </w:pPr>
            <w:r>
              <w:rPr>
                <w:rFonts w:ascii="Arial" w:cs="Arial" w:eastAsia="Arial" w:hAnsi="Arial"/>
                <w:sz w:val="17"/>
                <w:szCs w:val="17"/>
                <w:color w:val="auto"/>
                <w:w w:val="95"/>
              </w:rPr>
              <w:t>on derivative</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shd w:val="clear" w:color="auto" w:fill="CCEEFF"/>
          </w:tcPr>
          <w:p>
            <w:pPr>
              <w:jc w:val="center"/>
              <w:ind w:right="93"/>
              <w:spacing w:after="0" w:line="170" w:lineRule="exact"/>
              <w:rPr>
                <w:sz w:val="20"/>
                <w:szCs w:val="20"/>
                <w:color w:val="auto"/>
              </w:rPr>
            </w:pPr>
            <w:r>
              <w:rPr>
                <w:rFonts w:ascii="Arial" w:cs="Arial" w:eastAsia="Arial" w:hAnsi="Arial"/>
                <w:sz w:val="17"/>
                <w:szCs w:val="17"/>
                <w:color w:val="auto"/>
                <w:w w:val="95"/>
              </w:rPr>
              <w:t>on derivative</w:t>
            </w:r>
          </w:p>
        </w:tc>
      </w:tr>
      <w:tr>
        <w:trPr>
          <w:trHeight w:val="221"/>
        </w:trPr>
        <w:tc>
          <w:tcPr>
            <w:tcW w:w="70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7"/>
                <w:szCs w:val="17"/>
                <w:color w:val="auto"/>
                <w:w w:val="93"/>
              </w:rPr>
              <w:t>instruments</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7"/>
                <w:szCs w:val="17"/>
                <w:color w:val="auto"/>
                <w:w w:val="91"/>
              </w:rPr>
              <w:t>instruments</w:t>
            </w:r>
          </w:p>
        </w:tc>
      </w:tr>
      <w:tr>
        <w:trPr>
          <w:trHeight w:val="228"/>
        </w:trPr>
        <w:tc>
          <w:tcPr>
            <w:tcW w:w="7040" w:type="dxa"/>
            <w:vAlign w:val="bottom"/>
          </w:tcPr>
          <w:p>
            <w:pPr>
              <w:ind w:left="20"/>
              <w:spacing w:after="0"/>
              <w:rPr>
                <w:sz w:val="20"/>
                <w:szCs w:val="20"/>
                <w:color w:val="auto"/>
              </w:rPr>
            </w:pPr>
            <w:r>
              <w:rPr>
                <w:rFonts w:ascii="Arial" w:cs="Arial" w:eastAsia="Arial" w:hAnsi="Arial"/>
                <w:sz w:val="17"/>
                <w:szCs w:val="17"/>
                <w:b w:val="1"/>
                <w:bCs w:val="1"/>
                <w:color w:val="auto"/>
              </w:rPr>
              <w:t>Foreign currency gain / (loss)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2,643</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958</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704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rPr>
              <w:t>Location</w:t>
            </w: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73"/>
              <w:spacing w:after="0" w:line="163" w:lineRule="exact"/>
              <w:rPr>
                <w:sz w:val="20"/>
                <w:szCs w:val="20"/>
                <w:color w:val="auto"/>
              </w:rPr>
            </w:pPr>
            <w:r>
              <w:rPr>
                <w:rFonts w:ascii="Arial" w:cs="Arial" w:eastAsia="Arial" w:hAnsi="Arial"/>
                <w:sz w:val="17"/>
                <w:szCs w:val="17"/>
                <w:color w:val="auto"/>
                <w:w w:val="94"/>
              </w:rPr>
              <w:t>Foreign currency</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shd w:val="clear" w:color="auto" w:fill="CCEEFF"/>
          </w:tcPr>
          <w:p>
            <w:pPr>
              <w:jc w:val="center"/>
              <w:ind w:right="93"/>
              <w:spacing w:after="0" w:line="163" w:lineRule="exact"/>
              <w:rPr>
                <w:sz w:val="20"/>
                <w:szCs w:val="20"/>
                <w:color w:val="auto"/>
              </w:rPr>
            </w:pPr>
            <w:r>
              <w:rPr>
                <w:rFonts w:ascii="Arial" w:cs="Arial" w:eastAsia="Arial" w:hAnsi="Arial"/>
                <w:sz w:val="17"/>
                <w:szCs w:val="17"/>
                <w:color w:val="auto"/>
                <w:w w:val="94"/>
              </w:rPr>
              <w:t>Foreign currency</w:t>
            </w:r>
          </w:p>
        </w:tc>
      </w:tr>
      <w:tr>
        <w:trPr>
          <w:trHeight w:val="221"/>
        </w:trPr>
        <w:tc>
          <w:tcPr>
            <w:tcW w:w="7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center"/>
              <w:ind w:right="93"/>
              <w:spacing w:after="0"/>
              <w:rPr>
                <w:sz w:val="20"/>
                <w:szCs w:val="20"/>
                <w:color w:val="auto"/>
              </w:rPr>
            </w:pPr>
            <w:r>
              <w:rPr>
                <w:rFonts w:ascii="Arial" w:cs="Arial" w:eastAsia="Arial" w:hAnsi="Arial"/>
                <w:sz w:val="17"/>
                <w:szCs w:val="17"/>
                <w:color w:val="auto"/>
                <w:w w:val="94"/>
              </w:rPr>
              <w:t>gain/(loss)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center"/>
              <w:ind w:right="93"/>
              <w:spacing w:after="0"/>
              <w:rPr>
                <w:sz w:val="20"/>
                <w:szCs w:val="20"/>
                <w:color w:val="auto"/>
              </w:rPr>
            </w:pPr>
            <w:r>
              <w:rPr>
                <w:rFonts w:ascii="Arial" w:cs="Arial" w:eastAsia="Arial" w:hAnsi="Arial"/>
                <w:sz w:val="17"/>
                <w:szCs w:val="17"/>
                <w:color w:val="auto"/>
                <w:w w:val="91"/>
              </w:rPr>
              <w:t>gain/(loss)</w:t>
            </w:r>
          </w:p>
        </w:tc>
      </w:tr>
    </w:tbl>
    <w:p>
      <w:pPr>
        <w:spacing w:after="0" w:line="288"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The Company applies recurring fair value measurements to its derivative instruments in accordance with ASC Topic 820, Fair Value Measurements ("ASC 820"). In determining fair value, the Company used a market approach and incorporated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9. FAIR VALUE MEASUREMENTS</w:t>
      </w:r>
    </w:p>
    <w:p>
      <w:pPr>
        <w:spacing w:after="0" w:line="118" w:lineRule="exact"/>
        <w:rPr>
          <w:sz w:val="20"/>
          <w:szCs w:val="20"/>
          <w:color w:val="auto"/>
        </w:rPr>
      </w:pPr>
    </w:p>
    <w:p>
      <w:pPr>
        <w:ind w:right="200" w:firstLine="470"/>
        <w:spacing w:after="0" w:line="288" w:lineRule="auto"/>
        <w:rPr>
          <w:sz w:val="20"/>
          <w:szCs w:val="20"/>
          <w:color w:val="auto"/>
        </w:rPr>
      </w:pPr>
      <w:r>
        <w:rPr>
          <w:rFonts w:ascii="Arial" w:cs="Arial" w:eastAsia="Arial" w:hAnsi="Arial"/>
          <w:sz w:val="16"/>
          <w:szCs w:val="16"/>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Level 1</w:t>
      </w:r>
      <w:r>
        <w:rPr>
          <w:rFonts w:ascii="Arial" w:cs="Arial" w:eastAsia="Arial" w:hAnsi="Arial"/>
          <w:sz w:val="17"/>
          <w:szCs w:val="17"/>
          <w:color w:val="auto"/>
        </w:rPr>
        <w:t>—Quoted market prices in active markets for identical assets or liabilities.</w:t>
      </w:r>
    </w:p>
    <w:p>
      <w:pPr>
        <w:spacing w:after="0" w:line="223"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b w:val="1"/>
          <w:bCs w:val="1"/>
          <w:i w:val="1"/>
          <w:iCs w:val="1"/>
          <w:color w:val="auto"/>
        </w:rPr>
        <w:t>Level 2</w:t>
      </w:r>
      <w:r>
        <w:rPr>
          <w:rFonts w:ascii="Arial" w:cs="Arial" w:eastAsia="Arial" w:hAnsi="Arial"/>
          <w:sz w:val="17"/>
          <w:szCs w:val="17"/>
          <w:color w:val="auto"/>
        </w:rPr>
        <w:t>—Observable inputs other than Level 1 prices, such as quoted prices for similar assets or liabilities, quoted market prices in markets that are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active, or other inputs that are observable or can be corroborated by observable market data.</w:t>
      </w:r>
    </w:p>
    <w:p>
      <w:pPr>
        <w:spacing w:after="0" w:line="158" w:lineRule="exact"/>
        <w:rPr>
          <w:sz w:val="20"/>
          <w:szCs w:val="20"/>
          <w:color w:val="auto"/>
        </w:rPr>
      </w:pPr>
    </w:p>
    <w:p>
      <w:pPr>
        <w:ind w:right="320" w:firstLine="470"/>
        <w:spacing w:after="0" w:line="288" w:lineRule="auto"/>
        <w:rPr>
          <w:sz w:val="20"/>
          <w:szCs w:val="20"/>
          <w:color w:val="auto"/>
        </w:rPr>
      </w:pPr>
      <w:r>
        <w:rPr>
          <w:rFonts w:ascii="Arial" w:cs="Arial" w:eastAsia="Arial" w:hAnsi="Arial"/>
          <w:sz w:val="17"/>
          <w:szCs w:val="17"/>
          <w:b w:val="1"/>
          <w:bCs w:val="1"/>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internally developed models and methodologies utilizing significant unobservable inputs.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Forward Currency Swap Contracts</w:t>
      </w:r>
      <w:r>
        <w:rPr>
          <w:rFonts w:ascii="Arial" w:cs="Arial" w:eastAsia="Arial" w:hAnsi="Arial"/>
          <w:sz w:val="16"/>
          <w:szCs w:val="16"/>
          <w:color w:val="auto"/>
        </w:rPr>
        <w:t>—The Company’s valuation methodology for forward currency swap contracts is based upon third-party institution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data.</w:t>
      </w:r>
    </w:p>
    <w:p>
      <w:pPr>
        <w:spacing w:after="0" w:line="211" w:lineRule="exact"/>
        <w:rPr>
          <w:sz w:val="20"/>
          <w:szCs w:val="20"/>
          <w:color w:val="auto"/>
        </w:rPr>
      </w:pPr>
    </w:p>
    <w:p>
      <w:pPr>
        <w:ind w:right="260" w:firstLine="470"/>
        <w:spacing w:after="0" w:line="272" w:lineRule="auto"/>
        <w:rPr>
          <w:sz w:val="20"/>
          <w:szCs w:val="20"/>
          <w:color w:val="auto"/>
        </w:rPr>
      </w:pPr>
      <w:r>
        <w:rPr>
          <w:rFonts w:ascii="Arial" w:cs="Arial" w:eastAsia="Arial" w:hAnsi="Arial"/>
          <w:sz w:val="17"/>
          <w:szCs w:val="17"/>
          <w:b w:val="1"/>
          <w:bCs w:val="1"/>
          <w:i w:val="1"/>
          <w:iCs w:val="1"/>
          <w:color w:val="auto"/>
        </w:rPr>
        <w:t>Contingent Consideration Liability</w:t>
      </w:r>
      <w:r>
        <w:rPr>
          <w:rFonts w:ascii="Arial" w:cs="Arial" w:eastAsia="Arial" w:hAnsi="Arial"/>
          <w:sz w:val="17"/>
          <w:szCs w:val="17"/>
          <w:color w:val="auto"/>
        </w:rPr>
        <w:t>—The Company utilized a probability weighted scenario-based model to determine the fair value of the contingent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consideration. The term of the remeasurement period for the contingent consideration ended in December 2022, resulting in no contingent payment as the revenue growth was not achieved.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firstLine="470"/>
        <w:spacing w:after="0" w:line="288" w:lineRule="auto"/>
        <w:rPr>
          <w:sz w:val="20"/>
          <w:szCs w:val="20"/>
          <w:color w:val="auto"/>
        </w:rPr>
      </w:pPr>
      <w:r>
        <w:rPr>
          <w:rFonts w:ascii="Arial" w:cs="Arial" w:eastAsia="Arial" w:hAnsi="Arial"/>
          <w:sz w:val="17"/>
          <w:szCs w:val="17"/>
          <w:color w:val="auto"/>
        </w:rPr>
        <w:t>The Company’s fair value hierarchy for those assets (liabilities) measured at fair value on a recurring basis at June 30, 2023 and December 31, 2022,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center"/>
              <w:ind w:right="16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center"/>
              <w:ind w:right="143"/>
              <w:spacing w:after="0"/>
              <w:rPr>
                <w:sz w:val="20"/>
                <w:szCs w:val="20"/>
                <w:color w:val="auto"/>
              </w:rPr>
            </w:pPr>
            <w:r>
              <w:rPr>
                <w:rFonts w:ascii="Arial" w:cs="Arial" w:eastAsia="Arial" w:hAnsi="Arial"/>
                <w:sz w:val="14"/>
                <w:szCs w:val="14"/>
                <w:b w:val="1"/>
                <w:bCs w:val="1"/>
                <w:color w:val="auto"/>
                <w:w w:val="88"/>
              </w:rPr>
              <w:t>Level 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499"/>
              <w:spacing w:after="0"/>
              <w:rPr>
                <w:sz w:val="20"/>
                <w:szCs w:val="20"/>
                <w:color w:val="auto"/>
              </w:rPr>
            </w:pPr>
            <w:r>
              <w:rPr>
                <w:rFonts w:ascii="Arial" w:cs="Arial" w:eastAsia="Arial" w:hAnsi="Arial"/>
                <w:sz w:val="14"/>
                <w:szCs w:val="14"/>
                <w:b w:val="1"/>
                <w:bCs w:val="1"/>
                <w:color w:val="auto"/>
              </w:rPr>
              <w:t>Total</w:t>
            </w:r>
          </w:p>
        </w:tc>
      </w:tr>
      <w:tr>
        <w:trPr>
          <w:trHeight w:val="23"/>
        </w:trPr>
        <w:tc>
          <w:tcPr>
            <w:tcW w:w="4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4"/>
        </w:trPr>
        <w:tc>
          <w:tcPr>
            <w:tcW w:w="4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80" w:type="dxa"/>
            <w:vAlign w:val="bottom"/>
          </w:tcPr>
          <w:p>
            <w:pPr>
              <w:jc w:val="center"/>
              <w:ind w:right="163"/>
              <w:spacing w:after="0" w:line="124" w:lineRule="exact"/>
              <w:rPr>
                <w:sz w:val="20"/>
                <w:szCs w:val="20"/>
                <w:color w:val="auto"/>
              </w:rPr>
            </w:pPr>
            <w:r>
              <w:rPr>
                <w:rFonts w:ascii="Arial" w:cs="Arial" w:eastAsia="Arial" w:hAnsi="Arial"/>
                <w:sz w:val="14"/>
                <w:szCs w:val="14"/>
                <w:b w:val="1"/>
                <w:bCs w:val="1"/>
                <w:color w:val="auto"/>
                <w:w w:val="92"/>
              </w:rPr>
              <w:t>Forward Currency</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jc w:val="center"/>
              <w:ind w:right="143"/>
              <w:spacing w:after="0" w:line="124" w:lineRule="exact"/>
              <w:rPr>
                <w:sz w:val="20"/>
                <w:szCs w:val="20"/>
                <w:color w:val="auto"/>
              </w:rPr>
            </w:pPr>
            <w:r>
              <w:rPr>
                <w:rFonts w:ascii="Arial" w:cs="Arial" w:eastAsia="Arial" w:hAnsi="Arial"/>
                <w:sz w:val="14"/>
                <w:szCs w:val="14"/>
                <w:b w:val="1"/>
                <w:bCs w:val="1"/>
                <w:color w:val="auto"/>
                <w:w w:val="89"/>
              </w:rPr>
              <w:t>Contingent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89"/>
        </w:trPr>
        <w:tc>
          <w:tcPr>
            <w:tcW w:w="41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88"/>
              </w:rPr>
              <w:t>Swaps/Contracts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0"/>
              </w:rPr>
              <w:t>consideration liability</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r>
      <w:tr>
        <w:trPr>
          <w:trHeight w:val="242"/>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June 30, 2023</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5,736</w:t>
            </w:r>
          </w:p>
        </w:tc>
      </w:tr>
      <w:tr>
        <w:trPr>
          <w:trHeight w:val="20"/>
        </w:trPr>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8"/>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December 31, 2022</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60" w:type="dxa"/>
            <w:vAlign w:val="bottom"/>
          </w:tcPr>
          <w:p>
            <w:pPr>
              <w:ind w:left="900"/>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3,535</w:t>
            </w:r>
          </w:p>
        </w:tc>
        <w:tc>
          <w:tcPr>
            <w:tcW w:w="32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1720" w:type="dxa"/>
            <w:vAlign w:val="bottom"/>
          </w:tcPr>
          <w:p>
            <w:pPr>
              <w:ind w:left="146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5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3,535</w:t>
            </w:r>
          </w:p>
        </w:tc>
      </w:tr>
      <w:tr>
        <w:trPr>
          <w:trHeight w:val="20"/>
        </w:trPr>
        <w:tc>
          <w:tcPr>
            <w:tcW w:w="4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 were no transfers between any levels of the fair value hierarchy for any of the Company’s fair value measurements.</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10. STOCKHOLDERS’ EQUITY</w:t>
      </w:r>
    </w:p>
    <w:p>
      <w:pPr>
        <w:spacing w:after="0" w:line="118" w:lineRule="exact"/>
        <w:rPr>
          <w:sz w:val="20"/>
          <w:szCs w:val="20"/>
          <w:color w:val="auto"/>
        </w:rPr>
      </w:pPr>
    </w:p>
    <w:p>
      <w:pPr>
        <w:ind w:right="140" w:firstLine="470"/>
        <w:spacing w:after="0" w:line="288" w:lineRule="auto"/>
        <w:rPr>
          <w:sz w:val="20"/>
          <w:szCs w:val="20"/>
          <w:color w:val="auto"/>
        </w:rPr>
      </w:pPr>
      <w:r>
        <w:rPr>
          <w:rFonts w:ascii="Arial" w:cs="Arial" w:eastAsia="Arial" w:hAnsi="Arial"/>
          <w:sz w:val="17"/>
          <w:szCs w:val="17"/>
          <w:b w:val="1"/>
          <w:bCs w:val="1"/>
          <w:i w:val="1"/>
          <w:iCs w:val="1"/>
          <w:color w:val="auto"/>
        </w:rPr>
        <w:t>Common and Treasury Stock</w:t>
      </w:r>
      <w:r>
        <w:rPr>
          <w:rFonts w:ascii="Arial" w:cs="Arial" w:eastAsia="Arial" w:hAnsi="Arial"/>
          <w:sz w:val="17"/>
          <w:szCs w:val="17"/>
          <w:color w:val="auto"/>
        </w:rPr>
        <w:t>—Each share of common stock entitles its holder to one vote on matters required to be voted on by the stockholders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and to receive dividends, when and if declared by the Company’s Board of Directors.</w:t>
      </w:r>
    </w:p>
    <w:p>
      <w:pPr>
        <w:spacing w:after="0" w:line="158"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As of June 30, 2023 and December 31, 2022, the Company held 6,206,200 shares, respectively, in treasury stock. As of June 30, 2023 and December 31, 2022, the Company had 3,225,704 and 2,898,930 shares, respectively, of common stock available for issuance upon the conversion of outstanding stock awards under the 2021 Incentive Award Plan ("2021 Plan").</w:t>
      </w:r>
    </w:p>
    <w:p>
      <w:pPr>
        <w:spacing w:after="0" w:line="172"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On May 23, 2023, the Company entered into an underwriting agreement (the "Underwriting Agreement") with BofA Securities, Inc., Evercore Group L.L.C. and Goldman Sachs &amp; Co. LLC, as the representative of the underwriters named in Schedule I thereto (collectively, the "Underwriters"), and a stockholder of the Company, Verlinvest Beverages SA (the "Selling Stockholder"), relating to an underwritten public offering of 5,000,000 shares (the "Offering") of the Company’s common stock at a price to the public of $23.00 per share (the "Common Stock"), before deducting underwriting discounts. Pursuant to the Underwriting Agreement, all 5,000,000 shares of Common Stock were sold by (the "Selling Stockholder"). Under the terms of the Underwriting Agreement, the Selling Stockholder granted the Underwriters an option exercisable for 30 days to purchase up to an additional 750,000 shares of Common Stock from the Selling Stockholder at the public offering price, less underwriting discounts and commissions, which option was exercised in full prior to the closing of the Offering. The closing of the Offering occurred on May 26, 2023. The Company did not receive any of the proceeds from the sale of the shares. Additionally, the Company incurred $856 of administrative expenses related to the Offering, which were expensed in the three months ended June 30, 2023.</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5"/>
          <w:szCs w:val="15"/>
          <w:b w:val="1"/>
          <w:bCs w:val="1"/>
          <w:i w:val="1"/>
          <w:iCs w:val="1"/>
          <w:color w:val="auto"/>
        </w:rPr>
        <w:t>Warrants</w:t>
      </w:r>
      <w:r>
        <w:rPr>
          <w:rFonts w:ascii="Arial" w:cs="Arial" w:eastAsia="Arial" w:hAnsi="Arial"/>
          <w:sz w:val="15"/>
          <w:szCs w:val="15"/>
          <w:color w:val="auto"/>
        </w:rPr>
        <w:t>—All service and exit warrants expired as of December 31, 2021. As such, there was no warrant activity for the six months ended June 30, 2023.</w:t>
      </w:r>
    </w:p>
    <w:p>
      <w:pPr>
        <w:spacing w:after="0" w:line="246" w:lineRule="exact"/>
        <w:rPr>
          <w:sz w:val="20"/>
          <w:szCs w:val="20"/>
          <w:color w:val="auto"/>
        </w:rPr>
      </w:pPr>
    </w:p>
    <w:p>
      <w:pPr>
        <w:ind w:right="40" w:firstLine="470"/>
        <w:spacing w:after="0" w:line="261" w:lineRule="auto"/>
        <w:rPr>
          <w:sz w:val="20"/>
          <w:szCs w:val="20"/>
          <w:color w:val="auto"/>
        </w:rPr>
      </w:pPr>
      <w:r>
        <w:rPr>
          <w:rFonts w:ascii="Arial" w:cs="Arial" w:eastAsia="Arial" w:hAnsi="Arial"/>
          <w:sz w:val="17"/>
          <w:szCs w:val="17"/>
          <w:b w:val="1"/>
          <w:bCs w:val="1"/>
          <w:i w:val="1"/>
          <w:iCs w:val="1"/>
          <w:color w:val="auto"/>
        </w:rPr>
        <w:t>Stock-based Compensation</w:t>
      </w:r>
      <w:r>
        <w:rPr>
          <w:rFonts w:ascii="Arial" w:cs="Arial" w:eastAsia="Arial" w:hAnsi="Arial"/>
          <w:sz w:val="17"/>
          <w:szCs w:val="17"/>
          <w:color w:val="auto"/>
        </w:rPr>
        <w:t>—The stockholders of the Company approved the adoption of the Company’s 2014 Stock Option and Restricted Stock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“2014 Plan”). The 2014 Plan allowed for a maximum of 8% of the sum of the Available Equity defined as the sum of: (i) the total then outstanding shares of common shares and; (ii) all available stock options (i.e., granted and outstanding stock options and stock options not yet granted). Under the terms of the 2014 Plan, the Company could grant employees, directors and consultants stock options and restricted stock awards and had the authority to establish the specific terms of each award, including exercise price, expiration and vesting. Only stock options were granted under the 2014 Plan. Generally, stock options issued pursuant to the 2014 Plan contain exercise prices no less than the fair value of the Company’s common stock on the date of grant and have a ten-year contractual term.</w:t>
      </w:r>
    </w:p>
    <w:p>
      <w:pPr>
        <w:spacing w:after="0" w:line="185" w:lineRule="exact"/>
        <w:rPr>
          <w:sz w:val="20"/>
          <w:szCs w:val="20"/>
          <w:color w:val="auto"/>
        </w:rPr>
      </w:pPr>
    </w:p>
    <w:p>
      <w:pPr>
        <w:ind w:right="440" w:firstLine="470"/>
        <w:spacing w:after="0" w:line="321" w:lineRule="auto"/>
        <w:rPr>
          <w:sz w:val="20"/>
          <w:szCs w:val="20"/>
          <w:color w:val="auto"/>
        </w:rPr>
      </w:pPr>
      <w:r>
        <w:rPr>
          <w:rFonts w:ascii="Arial" w:cs="Arial" w:eastAsia="Arial" w:hAnsi="Arial"/>
          <w:sz w:val="16"/>
          <w:szCs w:val="16"/>
          <w:color w:val="auto"/>
        </w:rPr>
        <w:t>The stockholders of the Company approved the adoption of the 2021 Plan, which was effective after the closing of the Company's IPO completed in October 2021. On and after closing of the offering and the effectiveness of the 2021 Plan, no further grants have been made under the 2014 Plan.</w:t>
      </w:r>
    </w:p>
    <w:p>
      <w:pPr>
        <w:spacing w:after="0" w:line="135" w:lineRule="exact"/>
        <w:rPr>
          <w:sz w:val="20"/>
          <w:szCs w:val="20"/>
          <w:color w:val="auto"/>
        </w:rPr>
      </w:pPr>
    </w:p>
    <w:p>
      <w:pPr>
        <w:ind w:right="200" w:firstLine="470"/>
        <w:spacing w:after="0" w:line="284" w:lineRule="auto"/>
        <w:rPr>
          <w:sz w:val="20"/>
          <w:szCs w:val="20"/>
          <w:color w:val="auto"/>
        </w:rPr>
      </w:pPr>
      <w:r>
        <w:rPr>
          <w:rFonts w:ascii="Arial" w:cs="Arial" w:eastAsia="Arial" w:hAnsi="Arial"/>
          <w:sz w:val="16"/>
          <w:szCs w:val="16"/>
          <w:color w:val="auto"/>
        </w:rPr>
        <w:t>The Company recognized stock-based compensation expense of $1,951 and $1,502 for the three months ended June 30, 2023 and 2022, respectively, in selling, general and administrative expenses. Additionally, the stock compensation expense of $3,248 and $3,580 was recognized for the six months ended June 30, 2023 and 2022, respectively, in selling, general and administrative expenses. For the restricted stock units ("RSUs") previously granted to a major customer, $151 and $312 was recognized for the three months ended June 30, 2023 and June 30, 2022, respectively, as stock-based sales incentive based on guidance in ASC 606 and reflected as a reduction in the transaction price revenue. The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40"/>
        <w:spacing w:after="0" w:line="288" w:lineRule="auto"/>
        <w:rPr>
          <w:sz w:val="20"/>
          <w:szCs w:val="20"/>
          <w:color w:val="auto"/>
        </w:rPr>
      </w:pPr>
      <w:r>
        <w:rPr>
          <w:rFonts w:ascii="Arial" w:cs="Arial" w:eastAsia="Arial" w:hAnsi="Arial"/>
          <w:sz w:val="17"/>
          <w:szCs w:val="17"/>
          <w:color w:val="auto"/>
        </w:rPr>
        <w:t>recognized $1,016 and $620 for the six months ended June 30, 2023 and June 30, 2022, respectively, as a reduction in transaction price revenue for this major customer.</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Option Awards with Service-based Vesting Conditions</w:t>
      </w:r>
    </w:p>
    <w:p>
      <w:pPr>
        <w:spacing w:after="0" w:line="26" w:lineRule="exact"/>
        <w:rPr>
          <w:sz w:val="20"/>
          <w:szCs w:val="20"/>
          <w:color w:val="auto"/>
        </w:rPr>
      </w:pPr>
    </w:p>
    <w:p>
      <w:pPr>
        <w:ind w:right="20" w:firstLine="470"/>
        <w:spacing w:after="0" w:line="272" w:lineRule="auto"/>
        <w:rPr>
          <w:sz w:val="20"/>
          <w:szCs w:val="20"/>
          <w:color w:val="auto"/>
        </w:rPr>
      </w:pPr>
      <w:r>
        <w:rPr>
          <w:rFonts w:ascii="Arial" w:cs="Arial" w:eastAsia="Arial" w:hAnsi="Arial"/>
          <w:sz w:val="16"/>
          <w:szCs w:val="16"/>
          <w:color w:val="auto"/>
        </w:rPr>
        <w:t>Most of the stock option awards granted under the 2014 Plan and 2021 Plan vest based on continuous service. The options awarded to the employees have differing vesting schedules as specified in each grant agreement. There were 285,146 new service-based stock option awards granted during the six months ended June 30, 2023. Exercises of stock options during the three and six months ended June 30, 2023, are disclosed in the Condensed Consolidated Statements of Non-controlling Interests and Stockholders' Equity" in Part I, Item I in this Quarterly Report on Form 10-Q.</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Option Awards with Performance and Market-based Vesting Conditions</w:t>
      </w:r>
    </w:p>
    <w:p>
      <w:pPr>
        <w:spacing w:after="0" w:line="118" w:lineRule="exact"/>
        <w:rPr>
          <w:sz w:val="20"/>
          <w:szCs w:val="20"/>
          <w:color w:val="auto"/>
        </w:rPr>
      </w:pPr>
    </w:p>
    <w:p>
      <w:pPr>
        <w:jc w:val="both"/>
        <w:ind w:right="200" w:firstLine="533"/>
        <w:spacing w:after="0" w:line="297" w:lineRule="auto"/>
        <w:rPr>
          <w:sz w:val="20"/>
          <w:szCs w:val="20"/>
          <w:color w:val="auto"/>
        </w:rPr>
      </w:pPr>
      <w:r>
        <w:rPr>
          <w:rFonts w:ascii="Arial" w:cs="Arial" w:eastAsia="Arial" w:hAnsi="Arial"/>
          <w:sz w:val="16"/>
          <w:szCs w:val="16"/>
          <w:color w:val="auto"/>
        </w:rPr>
        <w:t>There are also stock option awards containing performance-based vesting conditions, subject to achievement of various performance goals by a future period, including revenue and gross margin targets. There are also stock option awards containing performance and market vesting conditions, such as options vesting upon occurrence of an IPO or other qualifying liquidity event and upon achieving a predetermined equity value of the Company.</w:t>
      </w:r>
    </w:p>
    <w:p>
      <w:pPr>
        <w:spacing w:after="0" w:line="49" w:lineRule="exact"/>
        <w:rPr>
          <w:sz w:val="20"/>
          <w:szCs w:val="20"/>
          <w:color w:val="auto"/>
        </w:rPr>
      </w:pPr>
    </w:p>
    <w:p>
      <w:pPr>
        <w:ind w:right="200" w:firstLine="470"/>
        <w:spacing w:after="0" w:line="267" w:lineRule="auto"/>
        <w:rPr>
          <w:sz w:val="20"/>
          <w:szCs w:val="20"/>
          <w:color w:val="auto"/>
        </w:rPr>
      </w:pPr>
      <w:r>
        <w:rPr>
          <w:rFonts w:ascii="Arial" w:cs="Arial" w:eastAsia="Arial" w:hAnsi="Arial"/>
          <w:sz w:val="17"/>
          <w:szCs w:val="17"/>
          <w:color w:val="auto"/>
        </w:rPr>
        <w:t>During the six months ended June 30, 2022, certain awards that contained performance-based vesting conditions were modified. The modification adjusted the performance condition to allow for 50% of the performance awards to meet the criteria to vest, and no other terms were modified. Since it did not affect any terms that would affect the fair value, and only the number of awards, it is considered an improbable-to-probable modification. The impact of the modification was not material. There were no modifications during the six months ended June 30, 2023.</w:t>
      </w:r>
    </w:p>
    <w:p>
      <w:pPr>
        <w:spacing w:after="0" w:line="71" w:lineRule="exact"/>
        <w:rPr>
          <w:sz w:val="20"/>
          <w:szCs w:val="20"/>
          <w:color w:val="auto"/>
        </w:rPr>
      </w:pPr>
    </w:p>
    <w:p>
      <w:pPr>
        <w:ind w:right="200" w:firstLine="470"/>
        <w:spacing w:after="0" w:line="321" w:lineRule="auto"/>
        <w:rPr>
          <w:sz w:val="20"/>
          <w:szCs w:val="20"/>
          <w:color w:val="auto"/>
        </w:rPr>
      </w:pPr>
      <w:r>
        <w:rPr>
          <w:rFonts w:ascii="Arial" w:cs="Arial" w:eastAsia="Arial" w:hAnsi="Arial"/>
          <w:sz w:val="16"/>
          <w:szCs w:val="16"/>
          <w:color w:val="auto"/>
        </w:rPr>
        <w:t>There were 412,341 new stock option awards granted during the six months ended June 30, 2023 with performance-based vesting conditions, subject to achievement of various performance goals by the end of 2025 or 2026, specifically net sales growth and Adjusted EBITDA targets.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Service &amp; Performance based Restricted Stock and Restricted Stock Unit Awards ("RSUs")</w:t>
      </w:r>
    </w:p>
    <w:p>
      <w:pPr>
        <w:spacing w:after="0" w:line="118" w:lineRule="exact"/>
        <w:rPr>
          <w:sz w:val="20"/>
          <w:szCs w:val="20"/>
          <w:color w:val="auto"/>
        </w:rPr>
      </w:pPr>
    </w:p>
    <w:p>
      <w:pPr>
        <w:ind w:right="40" w:firstLine="470"/>
        <w:spacing w:after="0" w:line="284" w:lineRule="auto"/>
        <w:rPr>
          <w:sz w:val="20"/>
          <w:szCs w:val="20"/>
          <w:color w:val="auto"/>
        </w:rPr>
      </w:pPr>
      <w:r>
        <w:rPr>
          <w:rFonts w:ascii="Arial" w:cs="Arial" w:eastAsia="Arial" w:hAnsi="Arial"/>
          <w:sz w:val="16"/>
          <w:szCs w:val="16"/>
          <w:color w:val="auto"/>
        </w:rPr>
        <w:t>Restricted stock and RSUs were granted under the 2021 Plan and primarily vest based on continuous service. The RSUs with service-based vesting conditions awarded to the employees have differing vesting schedules as specified in each grant agreement. The RSUs granted to non-employee directors vest in full on the earlier of: (i) the day immediately preceding the date of the first Annual Shareholders Meeting following the date of grant; or (ii) the first anniversary of the date of grant. During the six months ended June 30, 2023, the Company also granted RSUs that contained performance-based vesting conditions, subject to achievement of various performance goals by the end of 2025 or 2026, specifically net sales growth and Adjusted EBITDA targets.</w:t>
      </w:r>
    </w:p>
    <w:p>
      <w:pPr>
        <w:spacing w:after="0" w:line="61" w:lineRule="exact"/>
        <w:rPr>
          <w:sz w:val="20"/>
          <w:szCs w:val="20"/>
          <w:color w:val="auto"/>
        </w:rPr>
      </w:pPr>
    </w:p>
    <w:p>
      <w:pPr>
        <w:ind w:right="40" w:firstLine="470"/>
        <w:spacing w:after="0" w:line="282" w:lineRule="auto"/>
        <w:rPr>
          <w:sz w:val="20"/>
          <w:szCs w:val="20"/>
          <w:color w:val="auto"/>
        </w:rPr>
      </w:pPr>
      <w:r>
        <w:rPr>
          <w:rFonts w:ascii="Arial" w:cs="Arial" w:eastAsia="Arial" w:hAnsi="Arial"/>
          <w:sz w:val="16"/>
          <w:szCs w:val="16"/>
          <w:color w:val="auto"/>
        </w:rPr>
        <w:t>Also included in these awards are $3 million of shares of restricted common stock granted at the time of the IPO to entities affiliated with a significant customer, at a price per share granted at the IPO of $15.00, or 200,000 restricted shares, in connection with an amendment to extend the distributor agreement term to June 10, 2026. Since the distribution agreement has not been terminated by either party for cause as of March 31, 2023, 50% of the shares were released on March 31, 2023. Assuming the distribution agreement is not terminated by either party for cause, the remaining 50% will be released on March 31, 2024. The grant was accounted for as a stock-based sales incentive based on guidance in ASC 606 and is reflected as a reduction in the transaction price of revenue on the basis of the grant-date fair-value measure in accordance with the stock compensation guidance in ASC 718.</w:t>
      </w:r>
    </w:p>
    <w:p>
      <w:pPr>
        <w:spacing w:after="0" w:line="167"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During the six months ended June 30, 2023, there were 189,634 service based and 17,742 performance based RSUs granted, which had an aggregate grant date fair value of $3,793.</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11. INCOME TAXES</w:t>
      </w:r>
    </w:p>
    <w:p>
      <w:pPr>
        <w:spacing w:after="0" w:line="118" w:lineRule="exact"/>
        <w:rPr>
          <w:sz w:val="20"/>
          <w:szCs w:val="20"/>
          <w:color w:val="auto"/>
        </w:rPr>
      </w:pPr>
    </w:p>
    <w:p>
      <w:pPr>
        <w:ind w:right="360" w:firstLine="470"/>
        <w:spacing w:after="0" w:line="272" w:lineRule="auto"/>
        <w:rPr>
          <w:sz w:val="20"/>
          <w:szCs w:val="20"/>
          <w:color w:val="auto"/>
        </w:rPr>
      </w:pPr>
      <w:r>
        <w:rPr>
          <w:rFonts w:ascii="Arial" w:cs="Arial" w:eastAsia="Arial" w:hAnsi="Arial"/>
          <w:sz w:val="17"/>
          <w:szCs w:val="17"/>
          <w:color w:val="auto"/>
        </w:rPr>
        <w:t>For the three months ended June 30, 2023 and 2022, the Company recorded income tax expense of $4,269 and $555, respectively. For the six months ended June 30, 2023 and 2022, the Company recorded $6,090 and $1,175, respectively, in income tax expense in its condensed consolidated statements of operations.</w:t>
      </w:r>
    </w:p>
    <w:p>
      <w:pPr>
        <w:spacing w:after="0" w:line="198" w:lineRule="exact"/>
        <w:rPr>
          <w:sz w:val="20"/>
          <w:szCs w:val="20"/>
          <w:color w:val="auto"/>
        </w:rPr>
      </w:pPr>
    </w:p>
    <w:p>
      <w:pPr>
        <w:ind w:firstLine="314"/>
        <w:spacing w:after="0" w:line="264" w:lineRule="auto"/>
        <w:rPr>
          <w:sz w:val="20"/>
          <w:szCs w:val="20"/>
          <w:color w:val="auto"/>
        </w:rPr>
      </w:pPr>
      <w:r>
        <w:rPr>
          <w:rFonts w:ascii="Arial" w:cs="Arial" w:eastAsia="Arial" w:hAnsi="Arial"/>
          <w:sz w:val="17"/>
          <w:szCs w:val="17"/>
          <w:color w:val="auto"/>
        </w:rPr>
        <w:t>In assessing the recoverability of its deferred tax assets, the Company continually evaluates all available positive and negative evidence to assess the amount of deferred tax assets for which it is more likely than not to realize a benefit. For any deferred tax asset in excess of the amount for which it is more likely than not that the Company will realize a benefit, the Company establishes a valuation allowance.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firstLine="470"/>
        <w:spacing w:after="0" w:line="288" w:lineRule="auto"/>
        <w:rPr>
          <w:sz w:val="20"/>
          <w:szCs w:val="20"/>
          <w:color w:val="auto"/>
        </w:rPr>
      </w:pPr>
      <w:r>
        <w:rPr>
          <w:rFonts w:ascii="Arial" w:cs="Arial" w:eastAsia="Arial" w:hAnsi="Arial"/>
          <w:sz w:val="16"/>
          <w:szCs w:val="16"/>
          <w:color w:val="auto"/>
        </w:rPr>
        <w:t>As of June 30, 2023 and December 31, 2022, the Company recorded liabilities for income tax uncertainties in its consolidated balance sheets of $106 and $144, respectively. The Company’s policy is to record interest and penalties related to income taxes as part of its income tax provision. The Company does not expect its uncertain tax positions to change significantly over the next twelve months. The Company is subject to income tax examinations by the U.S. Internal Revenue Service ("IRS") and various state and local jurisdictions for the open tax years between December 31, 2019 and December 31, 2022.</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12. EARNINGS PER SHARE</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Basic and diluted earnings per share were calculated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Six months ended</w:t>
            </w:r>
          </w:p>
        </w:tc>
      </w:tr>
      <w:tr>
        <w:trPr>
          <w:trHeight w:val="182"/>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r>
      <w:tr>
        <w:trPr>
          <w:trHeight w:val="200"/>
        </w:trPr>
        <w:tc>
          <w:tcPr>
            <w:tcW w:w="20" w:type="dxa"/>
            <w:vAlign w:val="bottom"/>
            <w:shd w:val="clear" w:color="auto" w:fill="CCEEFF"/>
          </w:tcPr>
          <w:p>
            <w:pPr>
              <w:spacing w:after="0"/>
              <w:rPr>
                <w:sz w:val="17"/>
                <w:szCs w:val="17"/>
                <w:color w:val="auto"/>
              </w:rPr>
            </w:pPr>
          </w:p>
        </w:tc>
        <w:tc>
          <w:tcPr>
            <w:tcW w:w="5780" w:type="dxa"/>
            <w:vAlign w:val="bottom"/>
            <w:gridSpan w:val="3"/>
            <w:shd w:val="clear" w:color="auto" w:fill="CCEEFF"/>
          </w:tcPr>
          <w:p>
            <w:pPr>
              <w:spacing w:after="0" w:line="181" w:lineRule="exact"/>
              <w:rPr>
                <w:sz w:val="20"/>
                <w:szCs w:val="20"/>
                <w:color w:val="auto"/>
              </w:rPr>
            </w:pPr>
            <w:r>
              <w:rPr>
                <w:rFonts w:ascii="Arial" w:cs="Arial" w:eastAsia="Arial" w:hAnsi="Arial"/>
                <w:sz w:val="17"/>
                <w:szCs w:val="17"/>
                <w:color w:val="auto"/>
              </w:rPr>
              <w:t>Numerator:</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61"/>
        </w:trPr>
        <w:tc>
          <w:tcPr>
            <w:tcW w:w="20" w:type="dxa"/>
            <w:vAlign w:val="bottom"/>
            <w:tcBorders>
              <w:top w:val="single" w:sz="8" w:color="CCEEFF"/>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482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98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960" w:type="dxa"/>
            <w:vAlign w:val="bottom"/>
            <w:tcBorders>
              <w:top w:val="single" w:sz="8" w:color="CCEEFF"/>
            </w:tcBorders>
          </w:tcPr>
          <w:p>
            <w:pPr>
              <w:spacing w:after="0"/>
              <w:rPr>
                <w:sz w:val="22"/>
                <w:szCs w:val="22"/>
                <w:color w:val="auto"/>
              </w:rPr>
            </w:pPr>
          </w:p>
        </w:tc>
      </w:tr>
      <w:tr>
        <w:trPr>
          <w:trHeight w:val="222"/>
        </w:trPr>
        <w:tc>
          <w:tcPr>
            <w:tcW w:w="20" w:type="dxa"/>
            <w:vAlign w:val="bottom"/>
            <w:shd w:val="clear" w:color="auto" w:fill="CCEEFF"/>
          </w:tcPr>
          <w:p>
            <w:pPr>
              <w:spacing w:after="0"/>
              <w:rPr>
                <w:sz w:val="19"/>
                <w:szCs w:val="19"/>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17,987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24,692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3,366</w:t>
            </w:r>
          </w:p>
        </w:tc>
      </w:tr>
      <w:tr>
        <w:trPr>
          <w:trHeight w:val="183"/>
        </w:trPr>
        <w:tc>
          <w:tcPr>
            <w:tcW w:w="20" w:type="dxa"/>
            <w:vAlign w:val="bottom"/>
          </w:tcPr>
          <w:p>
            <w:pPr>
              <w:spacing w:after="0"/>
              <w:rPr>
                <w:sz w:val="15"/>
                <w:szCs w:val="15"/>
                <w:color w:val="auto"/>
              </w:rPr>
            </w:pPr>
          </w:p>
        </w:tc>
        <w:tc>
          <w:tcPr>
            <w:tcW w:w="5780" w:type="dxa"/>
            <w:vAlign w:val="bottom"/>
            <w:gridSpan w:val="3"/>
          </w:tcPr>
          <w:p>
            <w:pPr>
              <w:spacing w:after="0" w:line="183" w:lineRule="exact"/>
              <w:rPr>
                <w:sz w:val="20"/>
                <w:szCs w:val="20"/>
                <w:color w:val="auto"/>
              </w:rPr>
            </w:pPr>
            <w:r>
              <w:rPr>
                <w:rFonts w:ascii="Arial" w:cs="Arial" w:eastAsia="Arial" w:hAnsi="Arial"/>
                <w:sz w:val="17"/>
                <w:szCs w:val="17"/>
                <w:color w:val="auto"/>
              </w:rPr>
              <w:t>Denominator:</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2"/>
        </w:trPr>
        <w:tc>
          <w:tcPr>
            <w:tcW w:w="20" w:type="dxa"/>
            <w:vAlign w:val="bottom"/>
            <w:shd w:val="clear" w:color="auto" w:fill="CCEEFF"/>
          </w:tcPr>
          <w:p>
            <w:pPr>
              <w:spacing w:after="0"/>
              <w:rPr>
                <w:sz w:val="19"/>
                <w:szCs w:val="19"/>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4"/>
              </w:rPr>
              <w:t>Weighted-average number of common shares used in earnings per share—basic</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56,325,013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55,626,861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56,186,727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55,594,558</w:t>
            </w:r>
          </w:p>
        </w:tc>
      </w:tr>
      <w:tr>
        <w:trPr>
          <w:trHeight w:val="222"/>
        </w:trPr>
        <w:tc>
          <w:tcPr>
            <w:tcW w:w="20" w:type="dxa"/>
            <w:vAlign w:val="bottom"/>
          </w:tcPr>
          <w:p>
            <w:pPr>
              <w:spacing w:after="0"/>
              <w:rPr>
                <w:sz w:val="19"/>
                <w:szCs w:val="19"/>
                <w:color w:val="auto"/>
              </w:rPr>
            </w:pPr>
          </w:p>
        </w:tc>
        <w:tc>
          <w:tcPr>
            <w:tcW w:w="5780" w:type="dxa"/>
            <w:vAlign w:val="bottom"/>
            <w:gridSpan w:val="3"/>
          </w:tcPr>
          <w:p>
            <w:pPr>
              <w:ind w:left="320"/>
              <w:spacing w:after="0"/>
              <w:rPr>
                <w:sz w:val="20"/>
                <w:szCs w:val="20"/>
                <w:color w:val="auto"/>
              </w:rPr>
            </w:pPr>
            <w:r>
              <w:rPr>
                <w:rFonts w:ascii="Arial" w:cs="Arial" w:eastAsia="Arial" w:hAnsi="Arial"/>
                <w:sz w:val="17"/>
                <w:szCs w:val="17"/>
                <w:color w:val="auto"/>
              </w:rPr>
              <w:t>Effect of conversion of stock options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2,529,050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177,587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1,916,775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158,039</w:t>
            </w:r>
          </w:p>
        </w:tc>
      </w:tr>
      <w:tr>
        <w:trPr>
          <w:trHeight w:val="253"/>
        </w:trPr>
        <w:tc>
          <w:tcPr>
            <w:tcW w:w="2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w w:val="93"/>
              </w:rPr>
              <w:t>Weighted-average number of common shares used in earnings per share—diluted</w:t>
            </w: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58,854,063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55,804,448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58,103,502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55,752,597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780" w:type="dxa"/>
            <w:vAlign w:val="bottom"/>
            <w:gridSpan w:val="3"/>
          </w:tcPr>
          <w:p>
            <w:pPr>
              <w:spacing w:after="0" w:line="194" w:lineRule="exact"/>
              <w:rPr>
                <w:sz w:val="20"/>
                <w:szCs w:val="20"/>
                <w:color w:val="auto"/>
              </w:rPr>
            </w:pPr>
            <w:r>
              <w:rPr>
                <w:rFonts w:ascii="Arial" w:cs="Arial" w:eastAsia="Arial" w:hAnsi="Arial"/>
                <w:sz w:val="17"/>
                <w:szCs w:val="17"/>
                <w:color w:val="auto"/>
              </w:rPr>
              <w:t>Earnings per share—basic</w:t>
            </w:r>
          </w:p>
        </w:tc>
        <w:tc>
          <w:tcPr>
            <w:tcW w:w="260" w:type="dxa"/>
            <w:vAlign w:val="bottom"/>
          </w:tcPr>
          <w:p>
            <w:pPr>
              <w:jc w:val="right"/>
              <w:ind w:right="73"/>
              <w:spacing w:after="0" w:line="194"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0.32</w:t>
            </w:r>
          </w:p>
        </w:tc>
        <w:tc>
          <w:tcPr>
            <w:tcW w:w="46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0.02</w:t>
            </w:r>
          </w:p>
        </w:tc>
        <w:tc>
          <w:tcPr>
            <w:tcW w:w="40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0.44</w:t>
            </w:r>
          </w:p>
        </w:tc>
        <w:tc>
          <w:tcPr>
            <w:tcW w:w="4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0.06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Earnings per share—diluted</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80" w:firstLine="470"/>
        <w:spacing w:after="0" w:line="288" w:lineRule="auto"/>
        <w:rPr>
          <w:sz w:val="20"/>
          <w:szCs w:val="20"/>
          <w:color w:val="auto"/>
        </w:rPr>
      </w:pPr>
      <w:r>
        <w:rPr>
          <w:rFonts w:ascii="Arial" w:cs="Arial" w:eastAsia="Arial" w:hAnsi="Arial"/>
          <w:sz w:val="17"/>
          <w:szCs w:val="17"/>
          <w:color w:val="auto"/>
        </w:rPr>
        <w:t>The following potentially dilutive securities, prior to the use of the treasury stock method, have been excluded from the computation of diluted weighted-average number of common shares outstanding, as they would be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660" w:type="dxa"/>
            <w:vAlign w:val="bottom"/>
            <w:gridSpan w:val="4"/>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80" w:type="dxa"/>
            <w:vAlign w:val="bottom"/>
            <w:gridSpan w:val="3"/>
          </w:tcPr>
          <w:p>
            <w:pPr>
              <w:jc w:val="center"/>
              <w:ind w:left="710"/>
              <w:spacing w:after="0"/>
              <w:rPr>
                <w:sz w:val="20"/>
                <w:szCs w:val="20"/>
                <w:color w:val="auto"/>
              </w:rPr>
            </w:pPr>
            <w:r>
              <w:rPr>
                <w:rFonts w:ascii="Arial" w:cs="Arial" w:eastAsia="Arial" w:hAnsi="Arial"/>
                <w:sz w:val="14"/>
                <w:szCs w:val="14"/>
                <w:b w:val="1"/>
                <w:bCs w:val="1"/>
                <w:color w:val="auto"/>
                <w:w w:val="87"/>
              </w:rPr>
              <w:t>Six months ended</w:t>
            </w:r>
          </w:p>
        </w:tc>
        <w:tc>
          <w:tcPr>
            <w:tcW w:w="780" w:type="dxa"/>
            <w:vAlign w:val="bottom"/>
          </w:tcPr>
          <w:p>
            <w:pPr>
              <w:spacing w:after="0"/>
              <w:rPr>
                <w:sz w:val="14"/>
                <w:szCs w:val="14"/>
                <w:color w:val="auto"/>
              </w:rPr>
            </w:pPr>
          </w:p>
        </w:tc>
      </w:tr>
      <w:tr>
        <w:trPr>
          <w:trHeight w:val="187"/>
        </w:trPr>
        <w:tc>
          <w:tcPr>
            <w:tcW w:w="5580" w:type="dxa"/>
            <w:vAlign w:val="bottom"/>
          </w:tcPr>
          <w:p>
            <w:pPr>
              <w:spacing w:after="0"/>
              <w:rPr>
                <w:sz w:val="16"/>
                <w:szCs w:val="16"/>
                <w:color w:val="auto"/>
              </w:rPr>
            </w:pPr>
          </w:p>
        </w:tc>
        <w:tc>
          <w:tcPr>
            <w:tcW w:w="172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r>
      <w:tr>
        <w:trPr>
          <w:trHeight w:val="187"/>
        </w:trPr>
        <w:tc>
          <w:tcPr>
            <w:tcW w:w="55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2022</w:t>
            </w:r>
          </w:p>
        </w:tc>
      </w:tr>
      <w:tr>
        <w:trPr>
          <w:trHeight w:val="242"/>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2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54,008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2,372,656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560,721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2,369,686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13. SEGMENT REPORTING</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has two operating and reportable segments:</w:t>
      </w:r>
    </w:p>
    <w:p>
      <w:pPr>
        <w:spacing w:after="0" w:line="118" w:lineRule="exact"/>
        <w:rPr>
          <w:sz w:val="20"/>
          <w:szCs w:val="20"/>
          <w:color w:val="auto"/>
        </w:rPr>
      </w:pPr>
    </w:p>
    <w:p>
      <w:pPr>
        <w:ind w:left="780" w:right="140" w:hanging="305"/>
        <w:spacing w:after="0" w:line="297"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Americas—The Americas segment is comprised primarily of the U.S. and Canada, and derives its revenues from the marketing and distribution of various coconut water and non-coconut water products (e.g., coconut oil and milk). The Company’s Guayusa leaf products (</w:t>
      </w:r>
      <w:r>
        <w:rPr>
          <w:rFonts w:ascii="Arial" w:cs="Arial" w:eastAsia="Arial" w:hAnsi="Arial"/>
          <w:sz w:val="16"/>
          <w:szCs w:val="16"/>
          <w:i w:val="1"/>
          <w:iCs w:val="1"/>
          <w:color w:val="auto"/>
        </w:rPr>
        <w:t>Runa</w:t>
      </w:r>
      <w:r>
        <w:rPr>
          <w:rFonts w:ascii="Arial" w:cs="Arial" w:eastAsia="Arial" w:hAnsi="Arial"/>
          <w:sz w:val="16"/>
          <w:szCs w:val="16"/>
          <w:color w:val="auto"/>
        </w:rPr>
        <w:t>), aluminum bottle canned water (</w:t>
      </w:r>
      <w:r>
        <w:rPr>
          <w:rFonts w:ascii="Arial" w:cs="Arial" w:eastAsia="Arial" w:hAnsi="Arial"/>
          <w:sz w:val="16"/>
          <w:szCs w:val="16"/>
          <w:i w:val="1"/>
          <w:iCs w:val="1"/>
          <w:color w:val="auto"/>
        </w:rPr>
        <w:t>Ever &amp; Ever</w:t>
      </w:r>
      <w:r>
        <w:rPr>
          <w:rFonts w:ascii="Arial" w:cs="Arial" w:eastAsia="Arial" w:hAnsi="Arial"/>
          <w:sz w:val="16"/>
          <w:szCs w:val="16"/>
          <w:color w:val="auto"/>
        </w:rPr>
        <w:t>), and protein infused fitness drink (</w:t>
      </w:r>
      <w:r>
        <w:rPr>
          <w:rFonts w:ascii="Arial" w:cs="Arial" w:eastAsia="Arial" w:hAnsi="Arial"/>
          <w:sz w:val="16"/>
          <w:szCs w:val="16"/>
          <w:i w:val="1"/>
          <w:iCs w:val="1"/>
          <w:color w:val="auto"/>
        </w:rPr>
        <w:t>PWR LIFT</w:t>
      </w:r>
      <w:r>
        <w:rPr>
          <w:rFonts w:ascii="Arial" w:cs="Arial" w:eastAsia="Arial" w:hAnsi="Arial"/>
          <w:sz w:val="16"/>
          <w:szCs w:val="16"/>
          <w:color w:val="auto"/>
        </w:rPr>
        <w:t>) are marketed only in the Americas segment.</w:t>
      </w:r>
    </w:p>
    <w:p>
      <w:pPr>
        <w:spacing w:after="0" w:line="48" w:lineRule="exact"/>
        <w:rPr>
          <w:rFonts w:ascii="Arial" w:cs="Arial" w:eastAsia="Arial" w:hAnsi="Arial"/>
          <w:sz w:val="16"/>
          <w:szCs w:val="16"/>
          <w:color w:val="auto"/>
        </w:rPr>
      </w:pPr>
    </w:p>
    <w:p>
      <w:pPr>
        <w:ind w:left="780" w:right="820" w:hanging="305"/>
        <w:spacing w:after="0" w:line="358" w:lineRule="auto"/>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International—The International segment is comprised primarily of Europe, Middle East, and Asia Pacific, which includes the Company’s procurement arm and derives its revenues from the marketing and distribution of various coconut water and non-coconut water products.</w:t>
      </w:r>
    </w:p>
    <w:p>
      <w:pPr>
        <w:spacing w:after="0" w:line="8" w:lineRule="exact"/>
        <w:rPr>
          <w:sz w:val="20"/>
          <w:szCs w:val="20"/>
          <w:color w:val="auto"/>
        </w:rPr>
      </w:pPr>
    </w:p>
    <w:p>
      <w:pPr>
        <w:ind w:left="160" w:right="200" w:firstLine="627"/>
        <w:spacing w:after="0" w:line="288" w:lineRule="auto"/>
        <w:rPr>
          <w:sz w:val="20"/>
          <w:szCs w:val="20"/>
          <w:color w:val="auto"/>
        </w:rPr>
      </w:pPr>
      <w:r>
        <w:rPr>
          <w:rFonts w:ascii="Arial" w:cs="Arial" w:eastAsia="Arial" w:hAnsi="Arial"/>
          <w:sz w:val="17"/>
          <w:szCs w:val="17"/>
          <w:color w:val="auto"/>
        </w:rPr>
        <w:t>The Company’s Chief Executive Officer is the chief operating decision maker and evaluates segment performance primarily based on net sales and gross profit. All intercompany transactions between the segments have been eliminated.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Information about the Company’s operations by operating segment as of the three and six months ended June 30, 2023 and 2022 is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6"/>
              </w:rPr>
              <w:t>Three Months Ended June 30,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7"/>
          </w:tcPr>
          <w:p>
            <w:pPr>
              <w:jc w:val="right"/>
              <w:ind w:right="396"/>
              <w:spacing w:after="0"/>
              <w:rPr>
                <w:sz w:val="20"/>
                <w:szCs w:val="20"/>
                <w:color w:val="auto"/>
              </w:rPr>
            </w:pPr>
            <w:r>
              <w:rPr>
                <w:rFonts w:ascii="Arial" w:cs="Arial" w:eastAsia="Arial" w:hAnsi="Arial"/>
                <w:sz w:val="14"/>
                <w:szCs w:val="14"/>
                <w:b w:val="1"/>
                <w:bCs w:val="1"/>
                <w:color w:val="auto"/>
              </w:rPr>
              <w:t>Six Months Ended June 30,</w:t>
            </w:r>
          </w:p>
        </w:tc>
      </w:tr>
      <w:tr>
        <w:trPr>
          <w:trHeight w:val="23"/>
        </w:trPr>
        <w:tc>
          <w:tcPr>
            <w:tcW w:w="5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6"/>
        </w:trPr>
        <w:tc>
          <w:tcPr>
            <w:tcW w:w="5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sales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139,645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115,305</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249,404</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211,753</w:t>
            </w:r>
          </w:p>
        </w:tc>
      </w:tr>
      <w:tr>
        <w:trPr>
          <w:trHeight w:val="222"/>
        </w:trPr>
        <w:tc>
          <w:tcPr>
            <w:tcW w:w="5900" w:type="dxa"/>
            <w:vAlign w:val="bottom"/>
          </w:tcPr>
          <w:p>
            <w:pPr>
              <w:ind w:left="420"/>
              <w:spacing w:after="0"/>
              <w:rPr>
                <w:sz w:val="20"/>
                <w:szCs w:val="20"/>
                <w:color w:val="auto"/>
              </w:rPr>
            </w:pPr>
            <w:r>
              <w:rPr>
                <w:rFonts w:ascii="Arial" w:cs="Arial" w:eastAsia="Arial" w:hAnsi="Arial"/>
                <w:sz w:val="17"/>
                <w:szCs w:val="17"/>
                <w:color w:val="auto"/>
              </w:rPr>
              <w:t>Americas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121,263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100,493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7"/>
                <w:szCs w:val="17"/>
                <w:color w:val="auto"/>
              </w:rPr>
              <w:t>218,035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185,104</w:t>
            </w:r>
          </w:p>
        </w:tc>
      </w:tr>
      <w:tr>
        <w:trPr>
          <w:trHeight w:val="222"/>
        </w:trPr>
        <w:tc>
          <w:tcPr>
            <w:tcW w:w="5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International</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14,812</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31,369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26,649</w:t>
            </w:r>
          </w:p>
        </w:tc>
      </w:tr>
      <w:tr>
        <w:trPr>
          <w:trHeight w:val="231"/>
        </w:trPr>
        <w:tc>
          <w:tcPr>
            <w:tcW w:w="5900" w:type="dxa"/>
            <w:vAlign w:val="bottom"/>
          </w:tcPr>
          <w:p>
            <w:pPr>
              <w:ind w:left="20"/>
              <w:spacing w:after="0"/>
              <w:rPr>
                <w:sz w:val="20"/>
                <w:szCs w:val="20"/>
                <w:color w:val="auto"/>
              </w:rPr>
            </w:pPr>
            <w:r>
              <w:rPr>
                <w:rFonts w:ascii="Arial" w:cs="Arial" w:eastAsia="Arial" w:hAnsi="Arial"/>
                <w:sz w:val="17"/>
                <w:szCs w:val="17"/>
                <w:b w:val="1"/>
                <w:bCs w:val="1"/>
                <w:color w:val="auto"/>
              </w:rPr>
              <w:t>Gross profit</w:t>
            </w:r>
          </w:p>
        </w:tc>
        <w:tc>
          <w:tcPr>
            <w:tcW w:w="26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51,094</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29,289</w:t>
            </w:r>
          </w:p>
        </w:tc>
        <w:tc>
          <w:tcPr>
            <w:tcW w:w="42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84,755</w:t>
            </w:r>
          </w:p>
        </w:tc>
        <w:tc>
          <w:tcPr>
            <w:tcW w:w="36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48,352</w:t>
            </w:r>
          </w:p>
        </w:tc>
      </w:tr>
      <w:tr>
        <w:trPr>
          <w:trHeight w:val="226"/>
        </w:trPr>
        <w:tc>
          <w:tcPr>
            <w:tcW w:w="5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Americas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26,710</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74,258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43,006</w:t>
            </w:r>
          </w:p>
        </w:tc>
      </w:tr>
      <w:tr>
        <w:trPr>
          <w:trHeight w:val="222"/>
        </w:trPr>
        <w:tc>
          <w:tcPr>
            <w:tcW w:w="5900" w:type="dxa"/>
            <w:vAlign w:val="bottom"/>
          </w:tcPr>
          <w:p>
            <w:pPr>
              <w:ind w:left="420"/>
              <w:spacing w:after="0"/>
              <w:rPr>
                <w:sz w:val="20"/>
                <w:szCs w:val="20"/>
                <w:color w:val="auto"/>
              </w:rPr>
            </w:pPr>
            <w:r>
              <w:rPr>
                <w:rFonts w:ascii="Arial" w:cs="Arial" w:eastAsia="Arial" w:hAnsi="Arial"/>
                <w:sz w:val="17"/>
                <w:szCs w:val="17"/>
                <w:color w:val="auto"/>
              </w:rPr>
              <w:t>International</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5,985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2,579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10,497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5,346</w:t>
            </w:r>
          </w:p>
        </w:tc>
      </w:tr>
      <w:tr>
        <w:trPr>
          <w:trHeight w:val="500"/>
        </w:trPr>
        <w:tc>
          <w:tcPr>
            <w:tcW w:w="5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w w:val="88"/>
              </w:rPr>
              <w:t>As of June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w w:val="89"/>
              </w:rPr>
              <w:t>As of December 31,</w:t>
            </w:r>
          </w:p>
        </w:tc>
      </w:tr>
      <w:tr>
        <w:trPr>
          <w:trHeight w:val="23"/>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6"/>
        </w:trPr>
        <w:tc>
          <w:tcPr>
            <w:tcW w:w="5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segment assets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245,423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197,757</w:t>
            </w:r>
          </w:p>
        </w:tc>
      </w:tr>
      <w:tr>
        <w:trPr>
          <w:trHeight w:val="222"/>
        </w:trPr>
        <w:tc>
          <w:tcPr>
            <w:tcW w:w="5900" w:type="dxa"/>
            <w:vAlign w:val="bottom"/>
          </w:tcPr>
          <w:p>
            <w:pPr>
              <w:ind w:left="420"/>
              <w:spacing w:after="0"/>
              <w:rPr>
                <w:sz w:val="20"/>
                <w:szCs w:val="20"/>
                <w:color w:val="auto"/>
              </w:rPr>
            </w:pPr>
            <w:r>
              <w:rPr>
                <w:rFonts w:ascii="Arial" w:cs="Arial" w:eastAsia="Arial" w:hAnsi="Arial"/>
                <w:sz w:val="17"/>
                <w:szCs w:val="17"/>
                <w:color w:val="auto"/>
              </w:rPr>
              <w:t>Americas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184,637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156,588</w:t>
            </w:r>
          </w:p>
        </w:tc>
      </w:tr>
      <w:tr>
        <w:trPr>
          <w:trHeight w:val="222"/>
        </w:trPr>
        <w:tc>
          <w:tcPr>
            <w:tcW w:w="5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International</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41,169</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w w:val="96"/>
              </w:rPr>
              <w:t>Three Months Ended June 30,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23"/>
        </w:trPr>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Reconciliation</w:t>
            </w: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92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gross profit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51,094</w:t>
            </w:r>
          </w:p>
        </w:tc>
        <w:tc>
          <w:tcPr>
            <w:tcW w:w="38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29,289</w:t>
            </w:r>
          </w:p>
        </w:tc>
        <w:tc>
          <w:tcPr>
            <w:tcW w:w="46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84,755</w:t>
            </w:r>
          </w:p>
        </w:tc>
        <w:tc>
          <w:tcPr>
            <w:tcW w:w="40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48,352</w:t>
            </w:r>
          </w:p>
        </w:tc>
        <w:tc>
          <w:tcPr>
            <w:tcW w:w="0" w:type="dxa"/>
            <w:vAlign w:val="bottom"/>
          </w:tcPr>
          <w:p>
            <w:pPr>
              <w:spacing w:after="0"/>
              <w:rPr>
                <w:sz w:val="1"/>
                <w:szCs w:val="1"/>
                <w:color w:val="auto"/>
              </w:rPr>
            </w:pPr>
          </w:p>
        </w:tc>
      </w:tr>
      <w:tr>
        <w:trPr>
          <w:trHeight w:val="222"/>
        </w:trPr>
        <w:tc>
          <w:tcPr>
            <w:tcW w:w="5920" w:type="dxa"/>
            <w:vAlign w:val="bottom"/>
          </w:tcPr>
          <w:p>
            <w:pPr>
              <w:ind w:left="420"/>
              <w:spacing w:after="0"/>
              <w:rPr>
                <w:sz w:val="20"/>
                <w:szCs w:val="20"/>
                <w:color w:val="auto"/>
              </w:rPr>
            </w:pPr>
            <w:r>
              <w:rPr>
                <w:rFonts w:ascii="Arial" w:cs="Arial" w:eastAsia="Arial" w:hAnsi="Arial"/>
                <w:sz w:val="17"/>
                <w:szCs w:val="17"/>
                <w:color w:val="auto"/>
              </w:rPr>
              <w:t>Less: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30,249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24,257</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57,206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49,058</w:t>
            </w:r>
          </w:p>
        </w:tc>
        <w:tc>
          <w:tcPr>
            <w:tcW w:w="0" w:type="dxa"/>
            <w:vAlign w:val="bottom"/>
          </w:tcPr>
          <w:p>
            <w:pPr>
              <w:spacing w:after="0"/>
              <w:rPr>
                <w:sz w:val="1"/>
                <w:szCs w:val="1"/>
                <w:color w:val="auto"/>
              </w:rPr>
            </w:pPr>
          </w:p>
        </w:tc>
      </w:tr>
      <w:tr>
        <w:trPr>
          <w:trHeight w:val="222"/>
        </w:trPr>
        <w:tc>
          <w:tcPr>
            <w:tcW w:w="5920" w:type="dxa"/>
            <w:vAlign w:val="bottom"/>
          </w:tcPr>
          <w:p>
            <w:pPr>
              <w:ind w:left="420"/>
              <w:spacing w:after="0"/>
              <w:rPr>
                <w:sz w:val="20"/>
                <w:szCs w:val="20"/>
                <w:color w:val="auto"/>
              </w:rPr>
            </w:pPr>
            <w:r>
              <w:rPr>
                <w:rFonts w:ascii="Arial" w:cs="Arial" w:eastAsia="Arial" w:hAnsi="Arial"/>
                <w:sz w:val="17"/>
                <w:szCs w:val="17"/>
                <w:color w:val="auto"/>
              </w:rPr>
              <w:t>Income (loss) from operations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20,845</w:t>
            </w:r>
          </w:p>
        </w:tc>
        <w:tc>
          <w:tcPr>
            <w:tcW w:w="38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5,032</w:t>
            </w:r>
          </w:p>
        </w:tc>
        <w:tc>
          <w:tcPr>
            <w:tcW w:w="46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27,549</w:t>
            </w:r>
          </w:p>
        </w:tc>
        <w:tc>
          <w:tcPr>
            <w:tcW w:w="40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Less: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20" w:type="dxa"/>
            <w:vAlign w:val="bottom"/>
          </w:tcPr>
          <w:p>
            <w:pPr>
              <w:ind w:left="800"/>
              <w:spacing w:after="0"/>
              <w:rPr>
                <w:sz w:val="20"/>
                <w:szCs w:val="20"/>
                <w:color w:val="auto"/>
              </w:rPr>
            </w:pPr>
            <w:r>
              <w:rPr>
                <w:rFonts w:ascii="Arial" w:cs="Arial" w:eastAsia="Arial" w:hAnsi="Arial"/>
                <w:sz w:val="17"/>
                <w:szCs w:val="17"/>
                <w:color w:val="auto"/>
              </w:rPr>
              <w:t>Unrealized gain/(loss) on derivative instruments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(3,242)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5,464</w:t>
            </w:r>
          </w:p>
        </w:tc>
        <w:tc>
          <w:tcPr>
            <w:tcW w:w="0" w:type="dxa"/>
            <w:vAlign w:val="bottom"/>
          </w:tcPr>
          <w:p>
            <w:pPr>
              <w:spacing w:after="0"/>
              <w:rPr>
                <w:sz w:val="1"/>
                <w:szCs w:val="1"/>
                <w:color w:val="auto"/>
              </w:rPr>
            </w:pPr>
          </w:p>
        </w:tc>
      </w:tr>
      <w:tr>
        <w:trPr>
          <w:trHeight w:val="235"/>
        </w:trPr>
        <w:tc>
          <w:tcPr>
            <w:tcW w:w="59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Foreign currency gain/(loss)</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22"/>
        </w:trPr>
        <w:tc>
          <w:tcPr>
            <w:tcW w:w="5920" w:type="dxa"/>
            <w:vAlign w:val="bottom"/>
          </w:tcPr>
          <w:p>
            <w:pPr>
              <w:ind w:left="800"/>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2"/>
        </w:trPr>
        <w:tc>
          <w:tcPr>
            <w:tcW w:w="59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15"/>
        </w:trPr>
        <w:tc>
          <w:tcPr>
            <w:tcW w:w="5920" w:type="dxa"/>
            <w:vAlign w:val="bottom"/>
          </w:tcPr>
          <w:p>
            <w:pPr>
              <w:ind w:left="420"/>
              <w:spacing w:after="0"/>
              <w:rPr>
                <w:sz w:val="20"/>
                <w:szCs w:val="20"/>
                <w:color w:val="auto"/>
              </w:rPr>
            </w:pPr>
            <w:r>
              <w:rPr>
                <w:rFonts w:ascii="Arial" w:cs="Arial" w:eastAsia="Arial" w:hAnsi="Arial"/>
                <w:sz w:val="17"/>
                <w:szCs w:val="17"/>
                <w:color w:val="auto"/>
              </w:rPr>
              <w:t>Income before income taxes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22,256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1,694</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30,782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4,541</w:t>
            </w:r>
          </w:p>
        </w:tc>
        <w:tc>
          <w:tcPr>
            <w:tcW w:w="0" w:type="dxa"/>
            <w:vAlign w:val="bottom"/>
          </w:tcPr>
          <w:p>
            <w:pPr>
              <w:spacing w:after="0"/>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Geographic Data:</w:t>
      </w:r>
    </w:p>
    <w:p>
      <w:pPr>
        <w:spacing w:after="0" w:line="118" w:lineRule="exact"/>
        <w:rPr>
          <w:sz w:val="20"/>
          <w:szCs w:val="20"/>
          <w:color w:val="auto"/>
        </w:rPr>
      </w:pPr>
    </w:p>
    <w:p>
      <w:pPr>
        <w:ind w:right="100" w:firstLine="470"/>
        <w:spacing w:after="0" w:line="288" w:lineRule="auto"/>
        <w:rPr>
          <w:sz w:val="20"/>
          <w:szCs w:val="20"/>
          <w:color w:val="auto"/>
        </w:rPr>
      </w:pPr>
      <w:r>
        <w:rPr>
          <w:rFonts w:ascii="Arial" w:cs="Arial" w:eastAsia="Arial" w:hAnsi="Arial"/>
          <w:sz w:val="17"/>
          <w:szCs w:val="17"/>
          <w:color w:val="auto"/>
        </w:rPr>
        <w:t>The following table provides information related to the Company’s net sales by country, which is presented on the basis of the location that revenue from customers is recorded: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23"/>
        </w:trPr>
        <w:tc>
          <w:tcPr>
            <w:tcW w:w="8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204,152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174,818</w:t>
            </w:r>
          </w:p>
        </w:tc>
      </w:tr>
      <w:tr>
        <w:trPr>
          <w:trHeight w:val="222"/>
        </w:trPr>
        <w:tc>
          <w:tcPr>
            <w:tcW w:w="8100" w:type="dxa"/>
            <w:vAlign w:val="bottom"/>
          </w:tcPr>
          <w:p>
            <w:pPr>
              <w:ind w:left="20"/>
              <w:spacing w:after="0"/>
              <w:rPr>
                <w:sz w:val="20"/>
                <w:szCs w:val="20"/>
                <w:color w:val="auto"/>
              </w:rPr>
            </w:pPr>
            <w:r>
              <w:rPr>
                <w:rFonts w:ascii="Arial" w:cs="Arial" w:eastAsia="Arial" w:hAnsi="Arial"/>
                <w:sz w:val="17"/>
                <w:szCs w:val="17"/>
                <w:color w:val="auto"/>
              </w:rPr>
              <w:t>All other countries(1)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45,252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36,935</w:t>
            </w:r>
          </w:p>
        </w:tc>
      </w:tr>
      <w:tr>
        <w:trPr>
          <w:trHeight w:val="248"/>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249,404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211,753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21"/>
          <w:szCs w:val="21"/>
          <w:color w:val="auto"/>
        </w:rPr>
        <w:t>___________</w:t>
      </w:r>
    </w:p>
    <w:p>
      <w:pPr>
        <w:spacing w:after="0" w:line="93" w:lineRule="exact"/>
        <w:rPr>
          <w:sz w:val="20"/>
          <w:szCs w:val="20"/>
          <w:color w:val="auto"/>
        </w:rPr>
      </w:pPr>
    </w:p>
    <w:p>
      <w:pPr>
        <w:ind w:left="440" w:hanging="418"/>
        <w:spacing w:after="0"/>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individual country is greater than 10% of total net sales for the six months ended June 30, 2023 and 2022.</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related to the Company’s property and equipment, net by country: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58"/>
              <w:spacing w:after="0"/>
              <w:rPr>
                <w:sz w:val="20"/>
                <w:szCs w:val="20"/>
                <w:color w:val="auto"/>
              </w:rPr>
            </w:pPr>
            <w:r>
              <w:rPr>
                <w:rFonts w:ascii="Arial" w:cs="Arial" w:eastAsia="Arial" w:hAnsi="Arial"/>
                <w:sz w:val="14"/>
                <w:szCs w:val="14"/>
                <w:b w:val="1"/>
                <w:bCs w:val="1"/>
                <w:color w:val="auto"/>
                <w:w w:val="98"/>
              </w:rPr>
              <w:t>December 31,</w:t>
            </w:r>
          </w:p>
        </w:tc>
      </w:tr>
      <w:tr>
        <w:trPr>
          <w:trHeight w:val="187"/>
        </w:trPr>
        <w:tc>
          <w:tcPr>
            <w:tcW w:w="8180" w:type="dxa"/>
            <w:vAlign w:val="bottom"/>
          </w:tcPr>
          <w:p>
            <w:pPr>
              <w:spacing w:after="0"/>
              <w:rPr>
                <w:sz w:val="16"/>
                <w:szCs w:val="16"/>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23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r>
      <w:tr>
        <w:trPr>
          <w:trHeight w:val="222"/>
        </w:trPr>
        <w:tc>
          <w:tcPr>
            <w:tcW w:w="8180" w:type="dxa"/>
            <w:vAlign w:val="bottom"/>
          </w:tcPr>
          <w:p>
            <w:pPr>
              <w:ind w:left="20"/>
              <w:spacing w:after="0"/>
              <w:rPr>
                <w:sz w:val="20"/>
                <w:szCs w:val="20"/>
                <w:color w:val="auto"/>
              </w:rPr>
            </w:pPr>
            <w:r>
              <w:rPr>
                <w:rFonts w:ascii="Arial" w:cs="Arial" w:eastAsia="Arial" w:hAnsi="Arial"/>
                <w:sz w:val="17"/>
                <w:szCs w:val="17"/>
                <w:color w:val="auto"/>
              </w:rPr>
              <w:t>Ecuador</w:t>
            </w: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503</w:t>
            </w:r>
          </w:p>
        </w:tc>
      </w:tr>
      <w:tr>
        <w:trPr>
          <w:trHeight w:val="222"/>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Singapore</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1,452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w:t>
            </w:r>
          </w:p>
        </w:tc>
      </w:tr>
      <w:tr>
        <w:trPr>
          <w:trHeight w:val="23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 other countries(1)</w:t>
            </w: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r>
      <w:tr>
        <w:trPr>
          <w:trHeight w:val="235"/>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 (including asset held for sale)</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2,726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21"/>
          <w:szCs w:val="21"/>
          <w:color w:val="auto"/>
        </w:rPr>
        <w:t>___________</w:t>
      </w:r>
    </w:p>
    <w:p>
      <w:pPr>
        <w:spacing w:after="0" w:line="80" w:lineRule="exact"/>
        <w:rPr>
          <w:sz w:val="20"/>
          <w:szCs w:val="20"/>
          <w:color w:val="auto"/>
        </w:rPr>
      </w:pPr>
    </w:p>
    <w:p>
      <w:pPr>
        <w:ind w:left="440" w:hanging="418"/>
        <w:spacing w:after="0"/>
        <w:tabs>
          <w:tab w:leader="none" w:pos="4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No individual country is greater than 10% of total property and equipment, net as of June 30, 2023 and December 31, 2022.</w:t>
      </w:r>
    </w:p>
    <w:p>
      <w:pPr>
        <w:spacing w:after="0" w:line="200" w:lineRule="exact"/>
        <w:rPr>
          <w:rFonts w:ascii="Arial" w:cs="Arial" w:eastAsia="Arial" w:hAnsi="Arial"/>
          <w:sz w:val="17"/>
          <w:szCs w:val="17"/>
          <w:color w:val="auto"/>
        </w:rPr>
      </w:pPr>
    </w:p>
    <w:p>
      <w:pPr>
        <w:spacing w:after="0" w:line="231" w:lineRule="exact"/>
        <w:rPr>
          <w:rFonts w:ascii="Arial" w:cs="Arial" w:eastAsia="Arial" w:hAnsi="Arial"/>
          <w:sz w:val="17"/>
          <w:szCs w:val="17"/>
          <w:color w:val="auto"/>
        </w:rPr>
      </w:pPr>
    </w:p>
    <w:p>
      <w:pPr>
        <w:ind w:left="260" w:hanging="255"/>
        <w:spacing w:after="0"/>
        <w:tabs>
          <w:tab w:leader="none" w:pos="260"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RELATED-PARTY TRANSACTIONS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Director Nominee Agreements </w:t>
      </w:r>
      <w:r>
        <w:rPr>
          <w:rFonts w:ascii="Arial" w:cs="Arial" w:eastAsia="Arial" w:hAnsi="Arial"/>
          <w:sz w:val="17"/>
          <w:szCs w:val="17"/>
          <w:color w:val="auto"/>
        </w:rPr>
        <w:t>- On May 24, 2022, two members of the Board of Directors appointed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under the Investor Rights Agreement by Verlinvest Beverages SA, a stockholder of the Company, entered into nominee</w:t>
      </w:r>
    </w:p>
    <w:p>
      <w:pPr>
        <w:spacing w:after="0" w:line="1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agreements instructing the Company to pay all cash and equity compensation earned in connection with their board of director services to Verlinvest Beverages SA. Based on the aforementioned nominee agreements, RSUs granted to these two directors will be held by them as nominees for Verlinvest Beverages SA and, upon vesting of the RSUs, the shares will be transferred to Verlinvest Beverages SA. The nominee agreements are primarily between the directors and Verlinvest Beverages SA. The Company is a party to this arrangement solely to agree to the manner in which it would satisfy the</w:t>
      </w:r>
    </w:p>
    <w:p>
      <w:pPr>
        <w:spacing w:after="0" w:line="2" w:lineRule="exact"/>
        <w:rPr>
          <w:sz w:val="20"/>
          <w:szCs w:val="20"/>
          <w:color w:val="auto"/>
        </w:rPr>
      </w:pPr>
    </w:p>
    <w:p>
      <w:pPr>
        <w:ind w:right="380"/>
        <w:spacing w:after="0" w:line="255" w:lineRule="auto"/>
        <w:rPr>
          <w:sz w:val="20"/>
          <w:szCs w:val="20"/>
          <w:color w:val="auto"/>
        </w:rPr>
      </w:pPr>
      <w:r>
        <w:rPr>
          <w:rFonts w:ascii="Arial" w:cs="Arial" w:eastAsia="Arial" w:hAnsi="Arial"/>
          <w:sz w:val="17"/>
          <w:szCs w:val="17"/>
          <w:color w:val="auto"/>
        </w:rPr>
        <w:t>compensation obligations to these directors. As of June 30, 2023 and December 31, 2022, there is only one current member of the Board of Directors that is subject to this nominee agreement.</w:t>
      </w:r>
    </w:p>
    <w:p>
      <w:pPr>
        <w:spacing w:after="0" w:line="185"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b w:val="1"/>
          <w:bCs w:val="1"/>
          <w:i w:val="1"/>
          <w:iCs w:val="1"/>
          <w:color w:val="auto"/>
        </w:rPr>
        <w:t>Distribution Agreement with Shareholder</w:t>
      </w:r>
      <w:r>
        <w:rPr>
          <w:rFonts w:ascii="Arial" w:cs="Arial" w:eastAsia="Arial" w:hAnsi="Arial"/>
          <w:sz w:val="16"/>
          <w:szCs w:val="16"/>
          <w:color w:val="auto"/>
        </w:rPr>
        <w:t>—On October 1, 2019, the Company entered into a distribution agreement with one of its stockholders who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over 5% ownership in the Company, which extended through December 31, 2022 and has been continued upon the mutual agreement of each party. As of June 30, 2023, the stockholder's ownership in the Company is less than 5%. The distribution agreement granted the stockholder the right to sell, resell and distribute designated products supplied by the Company within a specified territory. The amount of revenue recognized related to this distribution agreement was $1,397 and $2,074 for the three months ended June 30, 2023 and 2022, respectively, and $2,987 and $3,406 for the six months ended June 30, 2023 and 2022, respectively. The amounts due from the stockholder in accounts receivable, net were $474 and $753 as of June 30, 2023 and December 31, 2022, respectively. Amounts payable to the stockholder in accounts payable were $0 and $38 as of June 30, 2023 and December 31, 2022, respectively. Related to this distribution arrangement, the Company and the stockholder have a service agreement where the Company shares in the compensation costs of the stockholder’s employee managing the China market. The Company recorded $33 and $58 for the three months ended June 30, 2023 and 2022, respectively, and $87 and $97 for the six months ended June 30, 2023 and 2022, in selling, general, and administrative expense ("SG&amp;A") for this service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15. ASSET HELD FOR SALE</w:t>
      </w:r>
    </w:p>
    <w:p>
      <w:pPr>
        <w:spacing w:after="0" w:line="236" w:lineRule="exact"/>
        <w:rPr>
          <w:sz w:val="20"/>
          <w:szCs w:val="20"/>
          <w:color w:val="auto"/>
        </w:rPr>
      </w:pPr>
    </w:p>
    <w:p>
      <w:pPr>
        <w:ind w:right="40" w:firstLine="627"/>
        <w:spacing w:after="0" w:line="253" w:lineRule="auto"/>
        <w:rPr>
          <w:sz w:val="20"/>
          <w:szCs w:val="20"/>
          <w:color w:val="auto"/>
        </w:rPr>
      </w:pPr>
      <w:r>
        <w:rPr>
          <w:rFonts w:ascii="Arial" w:cs="Arial" w:eastAsia="Arial" w:hAnsi="Arial"/>
          <w:sz w:val="17"/>
          <w:szCs w:val="17"/>
          <w:color w:val="auto"/>
        </w:rPr>
        <w:t>The asset group held for sale consists of a farm in Ecuador which was the source of Guayusa leaves for our Runa products. Since the Company is able to source Guayusa through alternative means to produce the Runa products, as of September 30, 2022, the Company committed to a plan for disposal through sale. The Company performed a fair value assessment on the asset group held for sale consisting of land, a production plant, equipment and inventory. The Company obtained a valuation of the assets and adjusted the carrying amount down to their fair value less costs to sell, which resulted in a $619 impairment loss recorded in SG&amp;A during the third quarter of 2022. The remaining carrying amount as of June 30, 2023 and December 31, 2022 is listed below. These assets held for sale do not qualify for discontinued operations reporting.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held for sale</w:t>
            </w:r>
          </w:p>
        </w:tc>
        <w:tc>
          <w:tcPr>
            <w:tcW w:w="604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753"/>
              <w:spacing w:after="0"/>
              <w:rPr>
                <w:sz w:val="20"/>
                <w:szCs w:val="20"/>
                <w:color w:val="auto"/>
              </w:rPr>
            </w:pPr>
            <w:r>
              <w:rPr>
                <w:rFonts w:ascii="Arial" w:cs="Arial" w:eastAsia="Arial" w:hAnsi="Arial"/>
                <w:sz w:val="17"/>
                <w:szCs w:val="17"/>
                <w:color w:val="auto"/>
              </w:rPr>
              <w:t>Amount</w:t>
            </w:r>
          </w:p>
        </w:tc>
      </w:tr>
      <w:tr>
        <w:trPr>
          <w:trHeight w:val="222"/>
        </w:trPr>
        <w:tc>
          <w:tcPr>
            <w:tcW w:w="3420" w:type="dxa"/>
            <w:vAlign w:val="bottom"/>
          </w:tcPr>
          <w:p>
            <w:pPr>
              <w:ind w:left="20"/>
              <w:spacing w:after="0"/>
              <w:rPr>
                <w:sz w:val="20"/>
                <w:szCs w:val="20"/>
                <w:color w:val="auto"/>
              </w:rPr>
            </w:pPr>
            <w:r>
              <w:rPr>
                <w:rFonts w:ascii="Arial" w:cs="Arial" w:eastAsia="Arial" w:hAnsi="Arial"/>
                <w:sz w:val="17"/>
                <w:szCs w:val="17"/>
                <w:color w:val="auto"/>
              </w:rPr>
              <w:t>Land</w:t>
            </w:r>
          </w:p>
        </w:tc>
        <w:tc>
          <w:tcPr>
            <w:tcW w:w="604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503</w:t>
            </w:r>
          </w:p>
        </w:tc>
      </w:tr>
      <w:tr>
        <w:trPr>
          <w:trHeight w:val="902"/>
        </w:trPr>
        <w:tc>
          <w:tcPr>
            <w:tcW w:w="3420" w:type="dxa"/>
            <w:vAlign w:val="bottom"/>
          </w:tcPr>
          <w:p>
            <w:pPr>
              <w:spacing w:after="0"/>
              <w:rPr>
                <w:sz w:val="24"/>
                <w:szCs w:val="24"/>
                <w:color w:val="auto"/>
              </w:rPr>
            </w:pPr>
          </w:p>
        </w:tc>
        <w:tc>
          <w:tcPr>
            <w:tcW w:w="6040" w:type="dxa"/>
            <w:vAlign w:val="bottom"/>
          </w:tcPr>
          <w:p>
            <w:pPr>
              <w:jc w:val="right"/>
              <w:ind w:right="3653"/>
              <w:spacing w:after="0"/>
              <w:rPr>
                <w:sz w:val="20"/>
                <w:szCs w:val="20"/>
                <w:color w:val="auto"/>
              </w:rPr>
            </w:pPr>
            <w:r>
              <w:rPr>
                <w:rFonts w:ascii="Arial" w:cs="Arial" w:eastAsia="Arial" w:hAnsi="Arial"/>
                <w:sz w:val="17"/>
                <w:szCs w:val="17"/>
                <w:color w:val="auto"/>
              </w:rPr>
              <w:t>22</w:t>
            </w:r>
          </w:p>
        </w:tc>
        <w:tc>
          <w:tcPr>
            <w:tcW w:w="1780" w:type="dxa"/>
            <w:vAlign w:val="bottom"/>
          </w:tcPr>
          <w:p>
            <w:pPr>
              <w:spacing w:after="0"/>
              <w:rPr>
                <w:sz w:val="24"/>
                <w:szCs w:val="24"/>
                <w:color w:val="auto"/>
              </w:rPr>
            </w:pPr>
          </w:p>
        </w:tc>
      </w:tr>
      <w:tr>
        <w:trPr>
          <w:trHeight w:val="85"/>
        </w:trPr>
        <w:tc>
          <w:tcPr>
            <w:tcW w:w="3420" w:type="dxa"/>
            <w:vAlign w:val="bottom"/>
            <w:tcBorders>
              <w:bottom w:val="single" w:sz="8" w:color="9A9A9A"/>
            </w:tcBorders>
          </w:tcPr>
          <w:p>
            <w:pPr>
              <w:spacing w:after="0"/>
              <w:rPr>
                <w:sz w:val="7"/>
                <w:szCs w:val="7"/>
                <w:color w:val="auto"/>
              </w:rPr>
            </w:pPr>
          </w:p>
        </w:tc>
        <w:tc>
          <w:tcPr>
            <w:tcW w:w="604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16. SUBSEQUENT EVENTS</w:t>
      </w:r>
    </w:p>
    <w:p>
      <w:pPr>
        <w:spacing w:after="0" w:line="236" w:lineRule="exact"/>
        <w:rPr>
          <w:sz w:val="20"/>
          <w:szCs w:val="20"/>
          <w:color w:val="auto"/>
        </w:rPr>
      </w:pPr>
    </w:p>
    <w:p>
      <w:pPr>
        <w:ind w:right="120" w:firstLine="627"/>
        <w:spacing w:after="0" w:line="251" w:lineRule="auto"/>
        <w:rPr>
          <w:sz w:val="20"/>
          <w:szCs w:val="20"/>
          <w:color w:val="auto"/>
        </w:rPr>
      </w:pPr>
      <w:r>
        <w:rPr>
          <w:rFonts w:ascii="Arial" w:cs="Arial" w:eastAsia="Arial" w:hAnsi="Arial"/>
          <w:sz w:val="17"/>
          <w:szCs w:val="17"/>
          <w:color w:val="auto"/>
        </w:rPr>
        <w:t>The stock option awards described in Note 10, Stockholders' Equity, containing performance and market vesting conditions, include a grant to the current CEO in 2019 that vest upon occurrence of an initial public offering or other qualifying liquidity event and upon achieving a predetermined equity value of the Company. As of July 31, 2023, the performance and market vesting conditions were achieved and the remaining stock compensation expense of $762 for this award will be accelerated and recognized in the third quarter of 2023.</w:t>
      </w:r>
    </w:p>
    <w:p>
      <w:pPr>
        <w:spacing w:after="0" w:line="202" w:lineRule="exact"/>
        <w:rPr>
          <w:sz w:val="20"/>
          <w:szCs w:val="20"/>
          <w:color w:val="auto"/>
        </w:rPr>
      </w:pPr>
    </w:p>
    <w:p>
      <w:pPr>
        <w:jc w:val="both"/>
        <w:ind w:firstLine="627"/>
        <w:spacing w:after="0" w:line="289" w:lineRule="auto"/>
        <w:rPr>
          <w:sz w:val="20"/>
          <w:szCs w:val="20"/>
          <w:color w:val="auto"/>
        </w:rPr>
      </w:pPr>
      <w:r>
        <w:rPr>
          <w:rFonts w:ascii="Arial" w:cs="Arial" w:eastAsia="Arial" w:hAnsi="Arial"/>
          <w:sz w:val="15"/>
          <w:szCs w:val="15"/>
          <w:color w:val="auto"/>
        </w:rPr>
        <w:t>Based on recent negotiations with one of our major customers disclosed in Note 7, Commitments and Contingencies, a joint decision was made to start to discontinue the private label supply relationship as the terms required to retain the business were contrary to the Company's long term margin targets. While there is some uncertainty about the timing of this transition, the Company expects a significant decline in its private label net sales over the next 12 months with potential impact beginning as early as the fourth quarter of 2023. The Company does not expect this change to impact its branded business with this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2. Management’s Discussion and Analysis of Financial Condition and Results of Operations.</w:t>
      </w:r>
    </w:p>
    <w:p>
      <w:pPr>
        <w:spacing w:after="0" w:line="118" w:lineRule="exact"/>
        <w:rPr>
          <w:sz w:val="20"/>
          <w:szCs w:val="20"/>
          <w:color w:val="auto"/>
        </w:rPr>
      </w:pPr>
    </w:p>
    <w:p>
      <w:pPr>
        <w:ind w:right="80" w:firstLine="470"/>
        <w:spacing w:after="0" w:line="26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2022 and filed with the Securities and Exchange Commission ("SEC") on March 14, 2023 (the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of the Form 10-K and other factors set forth in the Form 10-K and this Quarterly Report on Form 10-Q.</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5" w:lineRule="exact"/>
        <w:rPr>
          <w:sz w:val="20"/>
          <w:szCs w:val="20"/>
          <w:color w:val="auto"/>
        </w:rPr>
      </w:pPr>
    </w:p>
    <w:p>
      <w:pPr>
        <w:ind w:right="80" w:firstLine="627"/>
        <w:spacing w:after="0" w:line="245" w:lineRule="auto"/>
        <w:rPr>
          <w:sz w:val="20"/>
          <w:szCs w:val="20"/>
          <w:color w:val="auto"/>
        </w:rPr>
      </w:pPr>
      <w:r>
        <w:rPr>
          <w:rFonts w:ascii="Arial" w:cs="Arial" w:eastAsia="Arial" w:hAnsi="Arial"/>
          <w:sz w:val="17"/>
          <w:szCs w:val="17"/>
          <w:color w:val="auto"/>
        </w:rPr>
        <w:t>The Vita Coco Company is a leading platform for brands in the functional beverage category. We pioneered packaged coconut water in 2004 and have extended our business into other healthy hydration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w:t>
      </w:r>
    </w:p>
    <w:p>
      <w:pPr>
        <w:spacing w:after="0" w:line="207" w:lineRule="exact"/>
        <w:rPr>
          <w:sz w:val="20"/>
          <w:szCs w:val="20"/>
          <w:color w:val="auto"/>
        </w:rPr>
      </w:pPr>
    </w:p>
    <w:p>
      <w:pPr>
        <w:ind w:right="20" w:firstLine="627"/>
        <w:spacing w:after="0" w:line="282" w:lineRule="auto"/>
        <w:rPr>
          <w:sz w:val="20"/>
          <w:szCs w:val="20"/>
          <w:color w:val="auto"/>
        </w:rPr>
      </w:pPr>
      <w:r>
        <w:rPr>
          <w:rFonts w:ascii="Arial" w:cs="Arial" w:eastAsia="Arial" w:hAnsi="Arial"/>
          <w:sz w:val="15"/>
          <w:szCs w:val="15"/>
          <w:color w:val="auto"/>
        </w:rPr>
        <w:t xml:space="preserve">Our branded portfolio is led by our </w:t>
      </w:r>
      <w:r>
        <w:rPr>
          <w:rFonts w:ascii="Arial" w:cs="Arial" w:eastAsia="Arial" w:hAnsi="Arial"/>
          <w:sz w:val="15"/>
          <w:szCs w:val="15"/>
          <w:i w:val="1"/>
          <w:iCs w:val="1"/>
          <w:color w:val="auto"/>
        </w:rPr>
        <w:t>Vita Coco</w:t>
      </w:r>
      <w:r>
        <w:rPr>
          <w:rFonts w:ascii="Arial" w:cs="Arial" w:eastAsia="Arial" w:hAnsi="Arial"/>
          <w:sz w:val="15"/>
          <w:szCs w:val="15"/>
          <w:color w:val="auto"/>
        </w:rPr>
        <w:t xml:space="preserve"> brand, which is the leader in the coconut water category in the United States, and also includes coconut oil, juice, hydration mix and milk offerings. Our other brands include </w:t>
      </w:r>
      <w:r>
        <w:rPr>
          <w:rFonts w:ascii="Arial" w:cs="Arial" w:eastAsia="Arial" w:hAnsi="Arial"/>
          <w:sz w:val="15"/>
          <w:szCs w:val="15"/>
          <w:i w:val="1"/>
          <w:iCs w:val="1"/>
          <w:color w:val="auto"/>
        </w:rPr>
        <w:t>Runa</w:t>
      </w:r>
      <w:r>
        <w:rPr>
          <w:rFonts w:ascii="Arial" w:cs="Arial" w:eastAsia="Arial" w:hAnsi="Arial"/>
          <w:sz w:val="15"/>
          <w:szCs w:val="15"/>
          <w:color w:val="auto"/>
        </w:rPr>
        <w:t xml:space="preserve">, a plant-based energy drink inspired from the Guayusa plant native to Ecuador, </w:t>
      </w:r>
      <w:r>
        <w:rPr>
          <w:rFonts w:ascii="Arial" w:cs="Arial" w:eastAsia="Arial" w:hAnsi="Arial"/>
          <w:sz w:val="15"/>
          <w:szCs w:val="15"/>
          <w:i w:val="1"/>
          <w:iCs w:val="1"/>
          <w:color w:val="auto"/>
        </w:rPr>
        <w:t>Ever</w:t>
      </w:r>
    </w:p>
    <w:p>
      <w:pPr>
        <w:spacing w:after="0" w:line="1" w:lineRule="exact"/>
        <w:rPr>
          <w:sz w:val="20"/>
          <w:szCs w:val="20"/>
          <w:color w:val="auto"/>
        </w:rPr>
      </w:pPr>
    </w:p>
    <w:p>
      <w:pPr>
        <w:ind w:firstLine="5"/>
        <w:spacing w:after="0" w:line="268" w:lineRule="auto"/>
        <w:tabs>
          <w:tab w:leader="none" w:pos="179"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Ever</w:t>
      </w:r>
      <w:r>
        <w:rPr>
          <w:rFonts w:ascii="Arial" w:cs="Arial" w:eastAsia="Arial" w:hAnsi="Arial"/>
          <w:sz w:val="16"/>
          <w:szCs w:val="16"/>
          <w:color w:val="auto"/>
        </w:rPr>
        <w:t>, a sustainably packaged water, and</w:t>
      </w:r>
      <w:r>
        <w:rPr>
          <w:rFonts w:ascii="Arial" w:cs="Arial" w:eastAsia="Arial" w:hAnsi="Arial"/>
          <w:sz w:val="16"/>
          <w:szCs w:val="16"/>
          <w:i w:val="1"/>
          <w:iCs w:val="1"/>
          <w:color w:val="auto"/>
        </w:rPr>
        <w:t xml:space="preserve"> PWR LIFT</w:t>
      </w:r>
      <w:r>
        <w:rPr>
          <w:rFonts w:ascii="Arial" w:cs="Arial" w:eastAsia="Arial" w:hAnsi="Arial"/>
          <w:sz w:val="16"/>
          <w:szCs w:val="16"/>
          <w:color w:val="auto"/>
        </w:rPr>
        <w:t>, a protein-infused fitness drink. We also supply Private Label products to key retailers in both the coconut</w:t>
      </w:r>
      <w:r>
        <w:rPr>
          <w:rFonts w:ascii="Arial" w:cs="Arial" w:eastAsia="Arial" w:hAnsi="Arial"/>
          <w:sz w:val="16"/>
          <w:szCs w:val="16"/>
          <w:i w:val="1"/>
          <w:iCs w:val="1"/>
          <w:color w:val="auto"/>
        </w:rPr>
        <w:t xml:space="preserve"> </w:t>
      </w:r>
      <w:r>
        <w:rPr>
          <w:rFonts w:ascii="Arial" w:cs="Arial" w:eastAsia="Arial" w:hAnsi="Arial"/>
          <w:sz w:val="16"/>
          <w:szCs w:val="16"/>
          <w:color w:val="auto"/>
        </w:rPr>
        <w:t>water and coconut oil categories. We also conduct other revenue transactions such as bulk product sales to beverage and food companies.</w:t>
      </w:r>
    </w:p>
    <w:p>
      <w:pPr>
        <w:spacing w:after="0" w:line="189" w:lineRule="exact"/>
        <w:rPr>
          <w:sz w:val="20"/>
          <w:szCs w:val="20"/>
          <w:color w:val="auto"/>
        </w:rPr>
      </w:pPr>
    </w:p>
    <w:p>
      <w:pPr>
        <w:ind w:firstLine="627"/>
        <w:spacing w:after="0" w:line="279" w:lineRule="auto"/>
        <w:rPr>
          <w:sz w:val="20"/>
          <w:szCs w:val="20"/>
          <w:color w:val="auto"/>
        </w:rPr>
      </w:pPr>
      <w:r>
        <w:rPr>
          <w:rFonts w:ascii="Arial" w:cs="Arial" w:eastAsia="Arial" w:hAnsi="Arial"/>
          <w:sz w:val="16"/>
          <w:szCs w:val="16"/>
          <w:color w:val="auto"/>
        </w:rPr>
        <w:t>We source our coconut water from a diversified global network of 14 factories across six countries supported by thousands of coconut farmers. As we do not own any of these factories, our supply chain is a fixed asset-lite model designed to better react to changes in the market or consumer preferences. We also work with co-packers in America and Europe to support local packaging and repacking of our products to better service our customers’ needs.</w:t>
      </w:r>
    </w:p>
    <w:p>
      <w:pPr>
        <w:spacing w:after="0" w:line="182" w:lineRule="exact"/>
        <w:rPr>
          <w:sz w:val="20"/>
          <w:szCs w:val="20"/>
          <w:color w:val="auto"/>
        </w:rPr>
      </w:pPr>
    </w:p>
    <w:p>
      <w:pPr>
        <w:ind w:right="80" w:firstLine="627"/>
        <w:spacing w:after="0" w:line="279" w:lineRule="auto"/>
        <w:rPr>
          <w:sz w:val="20"/>
          <w:szCs w:val="20"/>
          <w:color w:val="auto"/>
        </w:rPr>
      </w:pPr>
      <w:r>
        <w:rPr>
          <w:rFonts w:ascii="Arial" w:cs="Arial" w:eastAsia="Arial" w:hAnsi="Arial"/>
          <w:sz w:val="16"/>
          <w:szCs w:val="16"/>
          <w:i w:val="1"/>
          <w:iCs w:val="1"/>
          <w:color w:val="auto"/>
        </w:rPr>
        <w:t xml:space="preserve">Vita Coco </w:t>
      </w:r>
      <w:r>
        <w:rPr>
          <w:rFonts w:ascii="Arial" w:cs="Arial" w:eastAsia="Arial" w:hAnsi="Arial"/>
          <w:sz w:val="16"/>
          <w:szCs w:val="16"/>
          <w:color w:val="auto"/>
        </w:rPr>
        <w:t>is available in over 30 countries, with our primary markets in North America, the United Kingdom and China. Our primary markets for</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Label are North America and Europe. Our products are distributed primarily through club, food, drug, mass, convenience, e-commerce and foodservice channels. We are also available in a variety of on-premise locations such as corporate offices, fitness clubs, airports and educational institutions.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21" w:lineRule="exact"/>
        <w:rPr>
          <w:sz w:val="20"/>
          <w:szCs w:val="20"/>
          <w:color w:val="auto"/>
        </w:rPr>
      </w:pPr>
    </w:p>
    <w:p>
      <w:pPr>
        <w:ind w:firstLine="470"/>
        <w:spacing w:after="0" w:line="257" w:lineRule="auto"/>
        <w:rPr>
          <w:sz w:val="20"/>
          <w:szCs w:val="20"/>
          <w:color w:val="auto"/>
        </w:rPr>
      </w:pPr>
      <w:r>
        <w:rPr>
          <w:rFonts w:ascii="Arial" w:cs="Arial" w:eastAsia="Arial" w:hAnsi="Arial"/>
          <w:sz w:val="16"/>
          <w:szCs w:val="16"/>
          <w:color w:val="auto"/>
        </w:rPr>
        <w:t>We believe that our performance and future success depend on a number of factors that present significant opportunities for us. Based on recent negotiations with one of our major customers disclosed in Note 7, Commitments and Contingencies, a joint decision was made to start to discontinue the private label supply relationship as the terms required to retain the business were contrary to the Company's long term margin targets. While there is some uncertainty about the timing of this transition, we expect a significant decline in our private label net sales over the next 12 months with potential impact beginning as early as the fourth quarter of 2023. We do not expect this change to impact our branded business with this customer. There is no certainty about the expected decline in net sales for 2024, however, based on current assumptions, the loss of private label business could result in a mid-single digit percentage decrease in net sales as compared to net sales in 2023 as our brand growth initiatives are not expected to fully offset the loss of this private label business</w:t>
      </w:r>
      <w:r>
        <w:rPr>
          <w:rFonts w:ascii="Arial" w:cs="Arial" w:eastAsia="Arial" w:hAnsi="Arial"/>
          <w:sz w:val="16"/>
          <w:szCs w:val="16"/>
          <w:b w:val="1"/>
          <w:bCs w:val="1"/>
          <w:color w:val="auto"/>
        </w:rPr>
        <w:t>.</w:t>
      </w:r>
      <w:r>
        <w:rPr>
          <w:rFonts w:ascii="Arial" w:cs="Arial" w:eastAsia="Arial" w:hAnsi="Arial"/>
          <w:sz w:val="16"/>
          <w:szCs w:val="16"/>
          <w:color w:val="auto"/>
        </w:rPr>
        <w:t xml:space="preserve"> Other than this change in business and the changes noted below in "Impact of COVID-19 and the Current Geopolitical and Economic Instability," there have been no material changes to such factors from those described in the Form 10-K under the heading “Key Factors Affecting our Performance.” Those factors also pose risks and challenges, including those discussed in Part I, Item 1A. “Risk Factors” of the Form 10-K.</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Global Events Causing Macroeconomic Uncertainty</w:t>
      </w:r>
    </w:p>
    <w:p>
      <w:pPr>
        <w:spacing w:after="0" w:line="111" w:lineRule="exact"/>
        <w:rPr>
          <w:sz w:val="20"/>
          <w:szCs w:val="20"/>
          <w:color w:val="auto"/>
        </w:rPr>
      </w:pPr>
    </w:p>
    <w:p>
      <w:pPr>
        <w:ind w:firstLine="470"/>
        <w:spacing w:after="0" w:line="284" w:lineRule="auto"/>
        <w:rPr>
          <w:sz w:val="20"/>
          <w:szCs w:val="20"/>
          <w:color w:val="auto"/>
        </w:rPr>
      </w:pPr>
      <w:r>
        <w:rPr>
          <w:rFonts w:ascii="Arial" w:cs="Arial" w:eastAsia="Arial" w:hAnsi="Arial"/>
          <w:sz w:val="16"/>
          <w:szCs w:val="16"/>
          <w:color w:val="auto"/>
        </w:rPr>
        <w:t>Uncertainty in the macroeconomic environment resulting from current geopolitical and economic instability (including the effects of the conflict between Ukraine and Russia) and the high interest rate and inflationary cost environment may affect our business. It is not currently possible to ascertain the overall impact of these macroeconomic uncertainties on the Company’s business, results of operations, financial condition or liquidity. Future events and effects related to these macroeconomic uncertainties cannot be determined with precision and actual results could significantly differ from estimates or forecasts. For a further discussion of the risks and challenges posed by these events, please see Part I, Item 1A. “Risk Factors” in our Form 10-K.</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Sales</w:t>
      </w:r>
    </w:p>
    <w:p>
      <w:pPr>
        <w:spacing w:after="0" w:line="118" w:lineRule="exact"/>
        <w:rPr>
          <w:sz w:val="20"/>
          <w:szCs w:val="20"/>
          <w:color w:val="auto"/>
        </w:rPr>
      </w:pPr>
    </w:p>
    <w:p>
      <w:pPr>
        <w:ind w:right="140" w:firstLine="533"/>
        <w:spacing w:after="0" w:line="256" w:lineRule="auto"/>
        <w:rPr>
          <w:sz w:val="20"/>
          <w:szCs w:val="20"/>
          <w:color w:val="auto"/>
        </w:rPr>
      </w:pPr>
      <w:r>
        <w:rPr>
          <w:rFonts w:ascii="Arial" w:cs="Arial" w:eastAsia="Arial" w:hAnsi="Arial"/>
          <w:sz w:val="17"/>
          <w:szCs w:val="17"/>
          <w:color w:val="auto"/>
        </w:rPr>
        <w:t xml:space="preserve">We generate revenue through the sale of our </w:t>
      </w:r>
      <w:r>
        <w:rPr>
          <w:rFonts w:ascii="Arial" w:cs="Arial" w:eastAsia="Arial" w:hAnsi="Arial"/>
          <w:sz w:val="17"/>
          <w:szCs w:val="17"/>
          <w:i w:val="1"/>
          <w:iCs w:val="1"/>
          <w:color w:val="auto"/>
        </w:rPr>
        <w:t>Vita Coco</w:t>
      </w:r>
      <w:r>
        <w:rPr>
          <w:rFonts w:ascii="Arial" w:cs="Arial" w:eastAsia="Arial" w:hAnsi="Arial"/>
          <w:sz w:val="17"/>
          <w:szCs w:val="17"/>
          <w:color w:val="auto"/>
        </w:rPr>
        <w:t xml:space="preserve"> 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Goods Sold</w:t>
      </w:r>
    </w:p>
    <w:p>
      <w:pPr>
        <w:spacing w:after="0" w:line="118" w:lineRule="exact"/>
        <w:rPr>
          <w:sz w:val="20"/>
          <w:szCs w:val="20"/>
          <w:color w:val="auto"/>
        </w:rPr>
      </w:pPr>
    </w:p>
    <w:p>
      <w:pPr>
        <w:ind w:right="140" w:firstLine="533"/>
        <w:spacing w:after="0" w:line="272" w:lineRule="auto"/>
        <w:rPr>
          <w:sz w:val="20"/>
          <w:szCs w:val="20"/>
          <w:color w:val="auto"/>
        </w:rPr>
      </w:pPr>
      <w:r>
        <w:rPr>
          <w:rFonts w:ascii="Arial" w:cs="Arial" w:eastAsia="Arial" w:hAnsi="Arial"/>
          <w:sz w:val="17"/>
          <w:szCs w:val="17"/>
          <w:color w:val="auto"/>
        </w:rPr>
        <w:t>Cost of goods sold includes the costs of the products sold to customers, inbound and outbound shipping and handling costs, freight and duties, shipping and packaging supplies, and warehouse fulfillment costs.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 and Gross Margin</w:t>
      </w:r>
    </w:p>
    <w:p>
      <w:pPr>
        <w:spacing w:after="0" w:line="118" w:lineRule="exact"/>
        <w:rPr>
          <w:sz w:val="20"/>
          <w:szCs w:val="20"/>
          <w:color w:val="auto"/>
        </w:rPr>
      </w:pPr>
    </w:p>
    <w:p>
      <w:pPr>
        <w:ind w:right="180" w:firstLine="533"/>
        <w:spacing w:after="0" w:line="256" w:lineRule="auto"/>
        <w:rPr>
          <w:sz w:val="20"/>
          <w:szCs w:val="20"/>
          <w:color w:val="auto"/>
        </w:rPr>
      </w:pPr>
      <w:r>
        <w:rPr>
          <w:rFonts w:ascii="Arial" w:cs="Arial" w:eastAsia="Arial" w:hAnsi="Arial"/>
          <w:sz w:val="17"/>
          <w:szCs w:val="17"/>
          <w:color w:val="auto"/>
        </w:rPr>
        <w:t>Gross profit is net sales less cost of goods sold, and gross margin is gross profit as a percentage of net sales. Gross profit has been, and will continue to be, affected by various factors, including the mix of products we sell, the channels through which we sell our products, the promotional environment in the marketplace, manufacturing costs, commodity prices, warehouse costs, and transportation rates. We expect that our gross margin will fluctuate from period to period depending on the interplay of these variables.</w:t>
      </w:r>
    </w:p>
    <w:p>
      <w:pPr>
        <w:spacing w:after="0" w:line="172" w:lineRule="exact"/>
        <w:rPr>
          <w:sz w:val="20"/>
          <w:szCs w:val="20"/>
          <w:color w:val="auto"/>
        </w:rPr>
      </w:pPr>
    </w:p>
    <w:p>
      <w:pPr>
        <w:jc w:val="both"/>
        <w:ind w:right="620" w:firstLine="533"/>
        <w:spacing w:after="0" w:line="264" w:lineRule="auto"/>
        <w:rPr>
          <w:sz w:val="20"/>
          <w:szCs w:val="20"/>
          <w:color w:val="auto"/>
        </w:rPr>
      </w:pPr>
      <w:r>
        <w:rPr>
          <w:rFonts w:ascii="Arial" w:cs="Arial" w:eastAsia="Arial" w:hAnsi="Arial"/>
          <w:sz w:val="17"/>
          <w:szCs w:val="17"/>
          <w:color w:val="auto"/>
        </w:rPr>
        <w:t>Management believes gross margin provides investors with useful information related to the profitability of our business prior to considering the operating costs incurred. Management uses gross profit and gross margin as key measures in making financial, operating, and planning decisions and in evaluating our performance.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18" w:lineRule="exact"/>
        <w:rPr>
          <w:sz w:val="20"/>
          <w:szCs w:val="20"/>
          <w:color w:val="auto"/>
        </w:rPr>
      </w:pPr>
    </w:p>
    <w:p>
      <w:pPr>
        <w:ind w:firstLine="533"/>
        <w:spacing w:after="0" w:line="269" w:lineRule="auto"/>
        <w:rPr>
          <w:sz w:val="20"/>
          <w:szCs w:val="20"/>
          <w:color w:val="auto"/>
        </w:rPr>
      </w:pPr>
      <w:r>
        <w:rPr>
          <w:rFonts w:ascii="Arial" w:cs="Arial" w:eastAsia="Arial" w:hAnsi="Arial"/>
          <w:sz w:val="16"/>
          <w:szCs w:val="16"/>
          <w:color w:val="auto"/>
        </w:rPr>
        <w:t>Selling, general and administrative expenses ("SG&amp;A") include marketing expenses, sales promotion expenses, and general and administrative expenses. Marketing and sales promotion expenses consist primarily of costs incurred promoting and marketing our products and are primarily driven by investments to grow our business and retain customers. We expect SG&amp;A to increase in absolute dollars and to vary from period to period as a percentage of net sales for the foreseeable future. General and administrative expenses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 We expense all SG&amp;A as incurred.</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 Net</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Unrealized Gain/(Loss) on Derivative Instruments</w:t>
      </w:r>
    </w:p>
    <w:p>
      <w:pPr>
        <w:spacing w:after="0" w:line="105" w:lineRule="exact"/>
        <w:rPr>
          <w:sz w:val="20"/>
          <w:szCs w:val="20"/>
          <w:color w:val="auto"/>
        </w:rPr>
      </w:pPr>
    </w:p>
    <w:p>
      <w:pPr>
        <w:ind w:right="40" w:firstLine="533"/>
        <w:spacing w:after="0" w:line="256" w:lineRule="auto"/>
        <w:rPr>
          <w:sz w:val="20"/>
          <w:szCs w:val="20"/>
          <w:color w:val="auto"/>
        </w:rPr>
      </w:pPr>
      <w:r>
        <w:rPr>
          <w:rFonts w:ascii="Arial" w:cs="Arial" w:eastAsia="Arial" w:hAnsi="Arial"/>
          <w:sz w:val="17"/>
          <w:szCs w:val="17"/>
          <w:color w:val="auto"/>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 on derivative instruments consists of gains or losses on such foreign currency exchange contracts which are unsettled as of period end. See Part I, Item 3 “Quantitative and Qualitative Disclosures about Market Risk—Foreign Currency Exchange Risk</w:t>
      </w:r>
      <w:r>
        <w:rPr>
          <w:rFonts w:ascii="Arial" w:cs="Arial" w:eastAsia="Arial" w:hAnsi="Arial"/>
          <w:sz w:val="17"/>
          <w:szCs w:val="17"/>
          <w:i w:val="1"/>
          <w:iCs w:val="1"/>
          <w:color w:val="auto"/>
        </w:rPr>
        <w:t>”</w:t>
      </w:r>
      <w:r>
        <w:rPr>
          <w:rFonts w:ascii="Arial" w:cs="Arial" w:eastAsia="Arial" w:hAnsi="Arial"/>
          <w:sz w:val="17"/>
          <w:szCs w:val="17"/>
          <w:color w:val="auto"/>
        </w:rPr>
        <w:t xml:space="preserve"> for further information.</w:t>
      </w:r>
    </w:p>
    <w:p>
      <w:pPr>
        <w:spacing w:after="0" w:line="290"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Foreign Currency Gain/(Loss)</w:t>
      </w:r>
    </w:p>
    <w:p>
      <w:pPr>
        <w:spacing w:after="0" w:line="105" w:lineRule="exact"/>
        <w:rPr>
          <w:sz w:val="20"/>
          <w:szCs w:val="20"/>
          <w:color w:val="auto"/>
        </w:rPr>
      </w:pPr>
    </w:p>
    <w:p>
      <w:pPr>
        <w:ind w:right="40" w:firstLine="627"/>
        <w:spacing w:after="0" w:line="256" w:lineRule="auto"/>
        <w:rPr>
          <w:sz w:val="20"/>
          <w:szCs w:val="20"/>
          <w:color w:val="auto"/>
        </w:rPr>
      </w:pPr>
      <w:r>
        <w:rPr>
          <w:rFonts w:ascii="Arial" w:cs="Arial" w:eastAsia="Arial" w:hAnsi="Arial"/>
          <w:sz w:val="17"/>
          <w:szCs w:val="17"/>
          <w:color w:val="auto"/>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“—Quantitative and Qualitative Disclosures about Market Risk—Foreign Currency Exchange Risk</w:t>
      </w:r>
      <w:r>
        <w:rPr>
          <w:rFonts w:ascii="Arial" w:cs="Arial" w:eastAsia="Arial" w:hAnsi="Arial"/>
          <w:sz w:val="17"/>
          <w:szCs w:val="17"/>
          <w:i w:val="1"/>
          <w:iCs w:val="1"/>
          <w:color w:val="auto"/>
        </w:rPr>
        <w:t>”</w:t>
      </w:r>
      <w:r>
        <w:rPr>
          <w:rFonts w:ascii="Arial" w:cs="Arial" w:eastAsia="Arial" w:hAnsi="Arial"/>
          <w:sz w:val="17"/>
          <w:szCs w:val="17"/>
          <w:color w:val="auto"/>
        </w:rPr>
        <w:t xml:space="preserve"> for further information.</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Interest Income</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Interest income consists of interest income earned on our cash and cash equivalents, and money market funds.</w:t>
      </w:r>
    </w:p>
    <w:p>
      <w:pPr>
        <w:spacing w:after="0" w:line="32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Interest expense consists of interest payable on our credit facilities and vehicle loans.</w:t>
      </w:r>
    </w:p>
    <w:p>
      <w:pPr>
        <w:spacing w:after="0" w:line="31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118" w:lineRule="exact"/>
        <w:rPr>
          <w:sz w:val="20"/>
          <w:szCs w:val="20"/>
          <w:color w:val="auto"/>
        </w:rPr>
      </w:pPr>
    </w:p>
    <w:p>
      <w:pPr>
        <w:ind w:right="20" w:firstLine="533"/>
        <w:spacing w:after="0" w:line="256" w:lineRule="auto"/>
        <w:rPr>
          <w:sz w:val="20"/>
          <w:szCs w:val="20"/>
          <w:color w:val="auto"/>
        </w:rPr>
      </w:pPr>
      <w:r>
        <w:rPr>
          <w:rFonts w:ascii="Arial" w:cs="Arial" w:eastAsia="Arial" w:hAnsi="Arial"/>
          <w:sz w:val="17"/>
          <w:szCs w:val="17"/>
          <w:color w:val="auto"/>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Segments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operate in two reporting segments:</w:t>
      </w:r>
    </w:p>
    <w:p>
      <w:pPr>
        <w:spacing w:after="0" w:line="118" w:lineRule="exact"/>
        <w:rPr>
          <w:sz w:val="20"/>
          <w:szCs w:val="20"/>
          <w:color w:val="auto"/>
        </w:rPr>
      </w:pPr>
    </w:p>
    <w:p>
      <w:pPr>
        <w:ind w:left="780" w:hanging="227"/>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Americas</w:t>
      </w:r>
      <w:r>
        <w:rPr>
          <w:rFonts w:ascii="Arial" w:cs="Arial" w:eastAsia="Arial" w:hAnsi="Arial"/>
          <w:sz w:val="17"/>
          <w:szCs w:val="17"/>
          <w:color w:val="auto"/>
        </w:rPr>
        <w:t>—The Americas segment is comprised of our operations in the Americas region, primarily in the United States and Canada.</w:t>
      </w:r>
    </w:p>
    <w:p>
      <w:pPr>
        <w:spacing w:after="0" w:line="105" w:lineRule="exact"/>
        <w:rPr>
          <w:rFonts w:ascii="Arial" w:cs="Arial" w:eastAsia="Arial" w:hAnsi="Arial"/>
          <w:sz w:val="17"/>
          <w:szCs w:val="17"/>
          <w:color w:val="auto"/>
        </w:rPr>
      </w:pPr>
    </w:p>
    <w:p>
      <w:pPr>
        <w:ind w:left="780" w:hanging="227"/>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International</w:t>
      </w:r>
      <w:r>
        <w:rPr>
          <w:rFonts w:ascii="Arial" w:cs="Arial" w:eastAsia="Arial" w:hAnsi="Arial"/>
          <w:sz w:val="17"/>
          <w:szCs w:val="17"/>
          <w:color w:val="auto"/>
        </w:rPr>
        <w:t>—The International segment is comprised of our operations primarily in Europe, the Middle East, and the Asia Pacific regions.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Each segment derives its revenues from the following product categories:</w:t>
      </w:r>
    </w:p>
    <w:p>
      <w:pPr>
        <w:spacing w:after="0" w:line="105" w:lineRule="exact"/>
        <w:rPr>
          <w:sz w:val="20"/>
          <w:szCs w:val="20"/>
          <w:color w:val="auto"/>
        </w:rPr>
      </w:pPr>
    </w:p>
    <w:p>
      <w:pPr>
        <w:ind w:left="780" w:right="320" w:hanging="227"/>
        <w:spacing w:after="0" w:line="264" w:lineRule="auto"/>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Vita Coco Coconut Water</w:t>
      </w:r>
      <w:r>
        <w:rPr>
          <w:rFonts w:ascii="Arial" w:cs="Arial" w:eastAsia="Arial" w:hAnsi="Arial"/>
          <w:sz w:val="17"/>
          <w:szCs w:val="17"/>
          <w:color w:val="auto"/>
        </w:rPr>
        <w:t>—This product category consists of all branded coconut water product offerings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Vita Coco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labels, where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majority ingredient is coconut water. For these products, control is transferred upon customer receipt, at which point the Company recognizes the transaction price for the product as revenue.</w:t>
      </w:r>
    </w:p>
    <w:p>
      <w:pPr>
        <w:spacing w:after="0" w:line="60" w:lineRule="exact"/>
        <w:rPr>
          <w:rFonts w:ascii="Arial" w:cs="Arial" w:eastAsia="Arial" w:hAnsi="Arial"/>
          <w:sz w:val="17"/>
          <w:szCs w:val="17"/>
          <w:color w:val="auto"/>
        </w:rPr>
      </w:pPr>
    </w:p>
    <w:p>
      <w:pPr>
        <w:ind w:left="780" w:hanging="227"/>
        <w:spacing w:after="0" w:line="277"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Private Label </w:t>
      </w:r>
      <w:r>
        <w:rPr>
          <w:rFonts w:ascii="Arial" w:cs="Arial" w:eastAsia="Arial" w:hAnsi="Arial"/>
          <w:sz w:val="16"/>
          <w:szCs w:val="16"/>
          <w:color w:val="auto"/>
        </w:rPr>
        <w:t>—This product category consists of all private label product offerings, which includes coconut water and oil. The Company determined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52" w:lineRule="exact"/>
        <w:rPr>
          <w:rFonts w:ascii="Arial" w:cs="Arial" w:eastAsia="Arial" w:hAnsi="Arial"/>
          <w:sz w:val="16"/>
          <w:szCs w:val="16"/>
          <w:color w:val="auto"/>
        </w:rPr>
      </w:pPr>
    </w:p>
    <w:p>
      <w:pPr>
        <w:ind w:left="780" w:right="80" w:hanging="227"/>
        <w:spacing w:after="0" w:line="288"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Other—</w:t>
      </w:r>
      <w:r>
        <w:rPr>
          <w:rFonts w:ascii="Arial" w:cs="Arial" w:eastAsia="Arial" w:hAnsi="Arial"/>
          <w:sz w:val="16"/>
          <w:szCs w:val="16"/>
          <w:color w:val="auto"/>
        </w:rPr>
        <w:t>This product category consists of all other products, which includes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Runa, Ever &amp; Ever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PWR LIFT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offerings,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Vita Coco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extensions beyond coconut water, coconut milk products, and other revenue transactions (e.g., bulk product sales). For these products, control is transferred upon customer receipt, at which point the Company recognizes the transaction price for the product as revenue.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Comparison of the Three and Six Months Ended June 30, 2023 and 2022</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results of operations for the three and six months ended June 30, 2023 and 2022, respectively: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6"/>
              </w:rPr>
              <w:t>Three Months Ended June 30,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7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2"/>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139,645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115,305</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249,404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211,753</w:t>
            </w:r>
          </w:p>
        </w:tc>
        <w:tc>
          <w:tcPr>
            <w:tcW w:w="0" w:type="dxa"/>
            <w:vAlign w:val="bottom"/>
          </w:tcPr>
          <w:p>
            <w:pPr>
              <w:spacing w:after="0"/>
              <w:rPr>
                <w:sz w:val="1"/>
                <w:szCs w:val="1"/>
                <w:color w:val="auto"/>
              </w:rPr>
            </w:pPr>
          </w:p>
        </w:tc>
      </w:tr>
      <w:tr>
        <w:trPr>
          <w:trHeight w:val="222"/>
        </w:trPr>
        <w:tc>
          <w:tcPr>
            <w:tcW w:w="5720" w:type="dxa"/>
            <w:vAlign w:val="bottom"/>
          </w:tcPr>
          <w:p>
            <w:pPr>
              <w:ind w:left="20"/>
              <w:spacing w:after="0"/>
              <w:rPr>
                <w:sz w:val="20"/>
                <w:szCs w:val="20"/>
                <w:color w:val="auto"/>
              </w:rPr>
            </w:pPr>
            <w:r>
              <w:rPr>
                <w:rFonts w:ascii="Arial" w:cs="Arial" w:eastAsia="Arial" w:hAnsi="Arial"/>
                <w:sz w:val="17"/>
                <w:szCs w:val="17"/>
                <w:color w:val="auto"/>
              </w:rPr>
              <w:t>Cost of goods sold</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88,551</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86,016</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164,649</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163,401</w:t>
            </w:r>
          </w:p>
        </w:tc>
        <w:tc>
          <w:tcPr>
            <w:tcW w:w="0" w:type="dxa"/>
            <w:vAlign w:val="bottom"/>
          </w:tcPr>
          <w:p>
            <w:pPr>
              <w:spacing w:after="0"/>
              <w:rPr>
                <w:sz w:val="1"/>
                <w:szCs w:val="1"/>
                <w:color w:val="auto"/>
              </w:rPr>
            </w:pPr>
          </w:p>
        </w:tc>
      </w:tr>
      <w:tr>
        <w:trPr>
          <w:trHeight w:val="215"/>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Gross profit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51,094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29,289</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84,755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48,352</w:t>
            </w: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30,249</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24,257</w:t>
            </w:r>
          </w:p>
        </w:tc>
        <w:tc>
          <w:tcPr>
            <w:tcW w:w="2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57,206</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49,058</w:t>
            </w:r>
          </w:p>
        </w:tc>
        <w:tc>
          <w:tcPr>
            <w:tcW w:w="0" w:type="dxa"/>
            <w:vAlign w:val="bottom"/>
          </w:tcPr>
          <w:p>
            <w:pPr>
              <w:spacing w:after="0"/>
              <w:rPr>
                <w:sz w:val="1"/>
                <w:szCs w:val="1"/>
                <w:color w:val="auto"/>
              </w:rPr>
            </w:pPr>
          </w:p>
        </w:tc>
      </w:tr>
      <w:tr>
        <w:trPr>
          <w:trHeight w:val="215"/>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(loss) from operations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20,845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5,032</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27,549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tcPr>
          <w:p>
            <w:pPr>
              <w:ind w:left="340"/>
              <w:spacing w:after="0"/>
              <w:rPr>
                <w:sz w:val="20"/>
                <w:szCs w:val="20"/>
                <w:color w:val="auto"/>
              </w:rPr>
            </w:pPr>
            <w:r>
              <w:rPr>
                <w:rFonts w:ascii="Arial" w:cs="Arial" w:eastAsia="Arial" w:hAnsi="Arial"/>
                <w:sz w:val="17"/>
                <w:szCs w:val="17"/>
                <w:color w:val="auto"/>
              </w:rPr>
              <w:t>Unrealized gain/(loss) on derivative instrument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(3,242)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5,464</w:t>
            </w:r>
          </w:p>
        </w:tc>
        <w:tc>
          <w:tcPr>
            <w:tcW w:w="0" w:type="dxa"/>
            <w:vAlign w:val="bottom"/>
          </w:tcPr>
          <w:p>
            <w:pPr>
              <w:spacing w:after="0"/>
              <w:rPr>
                <w:sz w:val="1"/>
                <w:szCs w:val="1"/>
                <w:color w:val="auto"/>
              </w:rPr>
            </w:pPr>
          </w:p>
        </w:tc>
      </w:tr>
      <w:tr>
        <w:trPr>
          <w:trHeight w:val="222"/>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gain/(loss)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29"/>
        </w:trPr>
        <w:tc>
          <w:tcPr>
            <w:tcW w:w="5720" w:type="dxa"/>
            <w:vAlign w:val="bottom"/>
          </w:tcPr>
          <w:p>
            <w:pPr>
              <w:ind w:left="340"/>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15"/>
        </w:trPr>
        <w:tc>
          <w:tcPr>
            <w:tcW w:w="5720" w:type="dxa"/>
            <w:vAlign w:val="bottom"/>
          </w:tcPr>
          <w:p>
            <w:pPr>
              <w:ind w:left="640"/>
              <w:spacing w:after="0"/>
              <w:rPr>
                <w:sz w:val="20"/>
                <w:szCs w:val="20"/>
                <w:color w:val="auto"/>
              </w:rPr>
            </w:pPr>
            <w:r>
              <w:rPr>
                <w:rFonts w:ascii="Arial" w:cs="Arial" w:eastAsia="Arial" w:hAnsi="Arial"/>
                <w:sz w:val="17"/>
                <w:szCs w:val="17"/>
                <w:color w:val="auto"/>
              </w:rPr>
              <w:t>Total other income (expense)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1,411</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(3,338)</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3,233</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5,247</w:t>
            </w:r>
          </w:p>
        </w:tc>
        <w:tc>
          <w:tcPr>
            <w:tcW w:w="0" w:type="dxa"/>
            <w:vAlign w:val="bottom"/>
          </w:tcPr>
          <w:p>
            <w:pPr>
              <w:spacing w:after="0"/>
              <w:rPr>
                <w:sz w:val="1"/>
                <w:szCs w:val="1"/>
                <w:color w:val="auto"/>
              </w:rPr>
            </w:pPr>
          </w:p>
        </w:tc>
      </w:tr>
      <w:tr>
        <w:trPr>
          <w:trHeight w:val="228"/>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4,541</w:t>
            </w:r>
          </w:p>
        </w:tc>
        <w:tc>
          <w:tcPr>
            <w:tcW w:w="0" w:type="dxa"/>
            <w:vAlign w:val="bottom"/>
          </w:tcPr>
          <w:p>
            <w:pPr>
              <w:spacing w:after="0"/>
              <w:rPr>
                <w:sz w:val="1"/>
                <w:szCs w:val="1"/>
                <w:color w:val="auto"/>
              </w:rPr>
            </w:pPr>
          </w:p>
        </w:tc>
      </w:tr>
      <w:tr>
        <w:trPr>
          <w:trHeight w:val="222"/>
        </w:trPr>
        <w:tc>
          <w:tcPr>
            <w:tcW w:w="5720" w:type="dxa"/>
            <w:vAlign w:val="bottom"/>
          </w:tcPr>
          <w:p>
            <w:pPr>
              <w:ind w:left="340"/>
              <w:spacing w:after="0"/>
              <w:rPr>
                <w:sz w:val="20"/>
                <w:szCs w:val="20"/>
                <w:color w:val="auto"/>
              </w:rPr>
            </w:pPr>
            <w:r>
              <w:rPr>
                <w:rFonts w:ascii="Arial" w:cs="Arial" w:eastAsia="Arial" w:hAnsi="Arial"/>
                <w:sz w:val="17"/>
                <w:szCs w:val="17"/>
                <w:color w:val="auto"/>
              </w:rPr>
              <w:t>Income tax expense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(4,269)</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(6,090)</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(1,175)</w:t>
            </w:r>
          </w:p>
        </w:tc>
        <w:tc>
          <w:tcPr>
            <w:tcW w:w="0" w:type="dxa"/>
            <w:vAlign w:val="bottom"/>
          </w:tcPr>
          <w:p>
            <w:pPr>
              <w:spacing w:after="0"/>
              <w:rPr>
                <w:sz w:val="1"/>
                <w:szCs w:val="1"/>
                <w:color w:val="auto"/>
              </w:rPr>
            </w:pPr>
          </w:p>
        </w:tc>
      </w:tr>
      <w:tr>
        <w:trPr>
          <w:trHeight w:val="235"/>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17,987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24,692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Sales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a comparative summary of net sales by operating segment and product category:</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20" w:type="dxa"/>
            <w:vAlign w:val="bottom"/>
          </w:tcPr>
          <w:p>
            <w:pPr>
              <w:spacing w:after="0"/>
              <w:rPr>
                <w:sz w:val="15"/>
                <w:szCs w:val="15"/>
                <w:color w:val="auto"/>
              </w:rPr>
            </w:pPr>
          </w:p>
        </w:tc>
        <w:tc>
          <w:tcPr>
            <w:tcW w:w="192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 June 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3"/>
          </w:tcPr>
          <w:p>
            <w:pPr>
              <w:jc w:val="right"/>
              <w:ind w:right="557"/>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w w:val="89"/>
              </w:rPr>
              <w:t>Six Months Ended June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3"/>
          </w:tcPr>
          <w:p>
            <w:pPr>
              <w:jc w:val="right"/>
              <w:ind w:right="557"/>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82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Americas segment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340"/>
              <w:spacing w:after="0"/>
              <w:rPr>
                <w:sz w:val="20"/>
                <w:szCs w:val="20"/>
                <w:color w:val="auto"/>
              </w:rPr>
            </w:pPr>
            <w:r>
              <w:rPr>
                <w:rFonts w:ascii="Arial" w:cs="Arial" w:eastAsia="Arial" w:hAnsi="Arial"/>
                <w:sz w:val="17"/>
                <w:szCs w:val="17"/>
                <w:color w:val="auto"/>
              </w:rPr>
              <w:t>Vita Coco Coconut Water</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95,004</w:t>
            </w:r>
          </w:p>
        </w:tc>
        <w:tc>
          <w:tcPr>
            <w:tcW w:w="30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76,436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18,568</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24.3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164,142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135,291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28,851</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21.3</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Private Label</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820" w:type="dxa"/>
            <w:vAlign w:val="bottom"/>
          </w:tcPr>
          <w:p>
            <w:pPr>
              <w:ind w:left="34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3,510</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(1,310)</w:t>
            </w:r>
          </w:p>
        </w:tc>
        <w:tc>
          <w:tcPr>
            <w:tcW w:w="12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(37.3 %)</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(1,402)</w:t>
            </w:r>
          </w:p>
        </w:tc>
        <w:tc>
          <w:tcPr>
            <w:tcW w:w="100" w:type="dxa"/>
            <w:vAlign w:val="bottom"/>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(22.7 %)</w:t>
            </w:r>
          </w:p>
        </w:tc>
        <w:tc>
          <w:tcPr>
            <w:tcW w:w="0" w:type="dxa"/>
            <w:vAlign w:val="bottom"/>
          </w:tcPr>
          <w:p>
            <w:pPr>
              <w:spacing w:after="0"/>
              <w:rPr>
                <w:sz w:val="1"/>
                <w:szCs w:val="1"/>
                <w:color w:val="auto"/>
              </w:rPr>
            </w:pPr>
          </w:p>
        </w:tc>
      </w:tr>
      <w:tr>
        <w:trPr>
          <w:trHeight w:val="228"/>
        </w:trPr>
        <w:tc>
          <w:tcPr>
            <w:tcW w:w="28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Subtotal</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20,770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218,035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32,931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820" w:type="dxa"/>
            <w:vAlign w:val="bottom"/>
          </w:tcPr>
          <w:p>
            <w:pPr>
              <w:ind w:left="20"/>
              <w:spacing w:after="0"/>
              <w:rPr>
                <w:sz w:val="20"/>
                <w:szCs w:val="20"/>
                <w:color w:val="auto"/>
              </w:rPr>
            </w:pPr>
            <w:r>
              <w:rPr>
                <w:rFonts w:ascii="Arial" w:cs="Arial" w:eastAsia="Arial" w:hAnsi="Arial"/>
                <w:sz w:val="17"/>
                <w:szCs w:val="17"/>
                <w:b w:val="1"/>
                <w:bCs w:val="1"/>
                <w:color w:val="auto"/>
              </w:rPr>
              <w:t>International segment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Vita Coco Coconut Water</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2820" w:type="dxa"/>
            <w:vAlign w:val="bottom"/>
          </w:tcPr>
          <w:p>
            <w:pPr>
              <w:ind w:left="340"/>
              <w:spacing w:after="0"/>
              <w:rPr>
                <w:sz w:val="20"/>
                <w:szCs w:val="20"/>
                <w:color w:val="auto"/>
              </w:rPr>
            </w:pPr>
            <w:r>
              <w:rPr>
                <w:rFonts w:ascii="Arial" w:cs="Arial" w:eastAsia="Arial" w:hAnsi="Arial"/>
                <w:sz w:val="17"/>
                <w:szCs w:val="17"/>
                <w:color w:val="auto"/>
              </w:rPr>
              <w:t>Private Label</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2,107</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71.5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7,719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5,711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2,008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35.2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(17.8) %</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(6.3) %</w:t>
            </w:r>
          </w:p>
        </w:tc>
        <w:tc>
          <w:tcPr>
            <w:tcW w:w="0" w:type="dxa"/>
            <w:vAlign w:val="bottom"/>
          </w:tcPr>
          <w:p>
            <w:pPr>
              <w:spacing w:after="0"/>
              <w:rPr>
                <w:sz w:val="1"/>
                <w:szCs w:val="1"/>
                <w:color w:val="auto"/>
              </w:rPr>
            </w:pPr>
          </w:p>
        </w:tc>
      </w:tr>
      <w:tr>
        <w:trPr>
          <w:trHeight w:val="215"/>
        </w:trPr>
        <w:tc>
          <w:tcPr>
            <w:tcW w:w="2820" w:type="dxa"/>
            <w:vAlign w:val="bottom"/>
          </w:tcPr>
          <w:p>
            <w:pPr>
              <w:ind w:left="640"/>
              <w:spacing w:after="0"/>
              <w:rPr>
                <w:sz w:val="20"/>
                <w:szCs w:val="20"/>
                <w:color w:val="auto"/>
              </w:rPr>
            </w:pPr>
            <w:r>
              <w:rPr>
                <w:rFonts w:ascii="Arial" w:cs="Arial" w:eastAsia="Arial" w:hAnsi="Arial"/>
                <w:sz w:val="17"/>
                <w:szCs w:val="17"/>
                <w:color w:val="auto"/>
              </w:rPr>
              <w:t>Subtotal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18,382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14,812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3,570</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31,369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26,649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4,720</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2820" w:type="dxa"/>
            <w:vAlign w:val="bottom"/>
            <w:shd w:val="clear" w:color="auto" w:fill="CCEEFF"/>
          </w:tcPr>
          <w:p>
            <w:pPr>
              <w:ind w:left="960"/>
              <w:spacing w:after="0"/>
              <w:rPr>
                <w:sz w:val="20"/>
                <w:szCs w:val="20"/>
                <w:color w:val="auto"/>
              </w:rPr>
            </w:pPr>
            <w:r>
              <w:rPr>
                <w:rFonts w:ascii="Arial" w:cs="Arial" w:eastAsia="Arial" w:hAnsi="Arial"/>
                <w:sz w:val="17"/>
                <w:szCs w:val="17"/>
                <w:color w:val="auto"/>
              </w:rPr>
              <w:t>Total 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139,645</w:t>
            </w:r>
          </w:p>
        </w:tc>
        <w:tc>
          <w:tcPr>
            <w:tcW w:w="3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249,404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right="160" w:firstLine="470"/>
        <w:spacing w:after="0" w:line="272" w:lineRule="auto"/>
        <w:rPr>
          <w:sz w:val="20"/>
          <w:szCs w:val="20"/>
          <w:color w:val="auto"/>
        </w:rPr>
      </w:pPr>
      <w:r>
        <w:rPr>
          <w:rFonts w:ascii="Arial" w:cs="Arial" w:eastAsia="Arial" w:hAnsi="Arial"/>
          <w:sz w:val="17"/>
          <w:szCs w:val="17"/>
          <w:color w:val="auto"/>
        </w:rPr>
        <w:t>For the three and six months ended June 30, 2023, the primary driver of the consolidated net sales increase of 21.1% and 17.8%, respectively, was increased case equivalents ("CE") volume growth of 17.4% and 13.2%, respectively, coupled with some benefits from net pricing actions on branded net sales, partially offset by some price decreases on private label products.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Volume in Case Equivalent</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a comparative summary of our volume in CE, by operating segment and product category:</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6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Three Months Ended June 30,</w:t>
            </w:r>
          </w:p>
        </w:tc>
        <w:tc>
          <w:tcPr>
            <w:tcW w:w="100" w:type="dxa"/>
            <w:vAlign w:val="bottom"/>
          </w:tcPr>
          <w:p>
            <w:pPr>
              <w:spacing w:after="0"/>
              <w:rPr>
                <w:sz w:val="15"/>
                <w:szCs w:val="15"/>
                <w:color w:val="auto"/>
              </w:rPr>
            </w:pPr>
          </w:p>
        </w:tc>
        <w:tc>
          <w:tcPr>
            <w:tcW w:w="2080" w:type="dxa"/>
            <w:vAlign w:val="bottom"/>
            <w:gridSpan w:val="3"/>
          </w:tcPr>
          <w:p>
            <w:pPr>
              <w:jc w:val="right"/>
              <w:ind w:right="716"/>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c>
          <w:tcPr>
            <w:tcW w:w="1900" w:type="dxa"/>
            <w:vAlign w:val="bottom"/>
            <w:gridSpan w:val="3"/>
          </w:tcPr>
          <w:p>
            <w:pPr>
              <w:jc w:val="right"/>
              <w:ind w:right="33"/>
              <w:spacing w:after="0"/>
              <w:rPr>
                <w:sz w:val="20"/>
                <w:szCs w:val="20"/>
                <w:color w:val="auto"/>
              </w:rPr>
            </w:pPr>
            <w:r>
              <w:rPr>
                <w:rFonts w:ascii="Arial" w:cs="Arial" w:eastAsia="Arial" w:hAnsi="Arial"/>
                <w:sz w:val="14"/>
                <w:szCs w:val="14"/>
                <w:b w:val="1"/>
                <w:bCs w:val="1"/>
                <w:color w:val="auto"/>
                <w:w w:val="97"/>
              </w:rPr>
              <w:t>Six Months Ended June 30,</w:t>
            </w:r>
          </w:p>
        </w:tc>
        <w:tc>
          <w:tcPr>
            <w:tcW w:w="100" w:type="dxa"/>
            <w:vAlign w:val="bottom"/>
          </w:tcPr>
          <w:p>
            <w:pPr>
              <w:spacing w:after="0"/>
              <w:rPr>
                <w:sz w:val="15"/>
                <w:szCs w:val="15"/>
                <w:color w:val="auto"/>
              </w:rPr>
            </w:pPr>
          </w:p>
        </w:tc>
        <w:tc>
          <w:tcPr>
            <w:tcW w:w="2100" w:type="dxa"/>
            <w:vAlign w:val="bottom"/>
            <w:gridSpan w:val="3"/>
          </w:tcPr>
          <w:p>
            <w:pPr>
              <w:jc w:val="right"/>
              <w:ind w:right="7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960" w:type="dxa"/>
            <w:vAlign w:val="bottom"/>
            <w:vMerge w:val="continue"/>
          </w:tcPr>
          <w:p>
            <w:pPr>
              <w:spacing w:after="0"/>
              <w:rPr>
                <w:sz w:val="15"/>
                <w:szCs w:val="15"/>
                <w:color w:val="auto"/>
              </w:rPr>
            </w:pPr>
          </w:p>
        </w:tc>
        <w:tc>
          <w:tcPr>
            <w:tcW w:w="900" w:type="dxa"/>
            <w:vAlign w:val="bottom"/>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100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900" w:type="dxa"/>
            <w:vAlign w:val="bottom"/>
          </w:tcPr>
          <w:p>
            <w:pPr>
              <w:jc w:val="right"/>
              <w:ind w:right="13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080" w:type="dxa"/>
            <w:vAlign w:val="bottom"/>
          </w:tcPr>
          <w:p>
            <w:pPr>
              <w:jc w:val="right"/>
              <w:ind w:right="136"/>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5"/>
                <w:szCs w:val="15"/>
                <w:color w:val="auto"/>
              </w:rPr>
            </w:pPr>
          </w:p>
        </w:tc>
        <w:tc>
          <w:tcPr>
            <w:tcW w:w="9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98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900" w:type="dxa"/>
            <w:vAlign w:val="bottom"/>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Americas segment</w:t>
            </w: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340"/>
              <w:spacing w:after="0"/>
              <w:rPr>
                <w:sz w:val="20"/>
                <w:szCs w:val="20"/>
                <w:color w:val="auto"/>
              </w:rPr>
            </w:pPr>
            <w:r>
              <w:rPr>
                <w:rFonts w:ascii="Arial" w:cs="Arial" w:eastAsia="Arial" w:hAnsi="Arial"/>
                <w:sz w:val="17"/>
                <w:szCs w:val="17"/>
                <w:color w:val="auto"/>
              </w:rPr>
              <w:t>Vita Coco Coconut Water</w:t>
            </w:r>
          </w:p>
        </w:tc>
        <w:tc>
          <w:tcPr>
            <w:tcW w:w="900" w:type="dxa"/>
            <w:vAlign w:val="bottom"/>
          </w:tcPr>
          <w:p>
            <w:pPr>
              <w:jc w:val="right"/>
              <w:spacing w:after="0"/>
              <w:rPr>
                <w:sz w:val="20"/>
                <w:szCs w:val="20"/>
                <w:color w:val="auto"/>
              </w:rPr>
            </w:pPr>
            <w:r>
              <w:rPr>
                <w:rFonts w:ascii="Arial" w:cs="Arial" w:eastAsia="Arial" w:hAnsi="Arial"/>
                <w:sz w:val="17"/>
                <w:szCs w:val="17"/>
                <w:color w:val="auto"/>
              </w:rPr>
              <w:t>10,056</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8,304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1,752</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21.1 %</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17,277</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14,599</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2,678</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18.3 %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Private Label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2,137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22.1 %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5,269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4,867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8.3 %</w:t>
            </w:r>
          </w:p>
        </w:tc>
        <w:tc>
          <w:tcPr>
            <w:tcW w:w="0" w:type="dxa"/>
            <w:vAlign w:val="bottom"/>
          </w:tcPr>
          <w:p>
            <w:pPr>
              <w:spacing w:after="0"/>
              <w:rPr>
                <w:sz w:val="1"/>
                <w:szCs w:val="1"/>
                <w:color w:val="auto"/>
              </w:rPr>
            </w:pPr>
          </w:p>
        </w:tc>
      </w:tr>
      <w:tr>
        <w:trPr>
          <w:trHeight w:val="222"/>
        </w:trPr>
        <w:tc>
          <w:tcPr>
            <w:tcW w:w="2960" w:type="dxa"/>
            <w:vAlign w:val="bottom"/>
          </w:tcPr>
          <w:p>
            <w:pPr>
              <w:ind w:left="340"/>
              <w:spacing w:after="0"/>
              <w:rPr>
                <w:sz w:val="20"/>
                <w:szCs w:val="20"/>
                <w:color w:val="auto"/>
              </w:rPr>
            </w:pPr>
            <w:r>
              <w:rPr>
                <w:rFonts w:ascii="Arial" w:cs="Arial" w:eastAsia="Arial" w:hAnsi="Arial"/>
                <w:sz w:val="17"/>
                <w:szCs w:val="17"/>
                <w:color w:val="auto"/>
              </w:rPr>
              <w:t>Other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Subtotal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10,967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1,908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22,995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20,358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2,637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13.0 %</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Arial" w:cs="Arial" w:eastAsia="Arial" w:hAnsi="Arial"/>
                <w:sz w:val="17"/>
                <w:szCs w:val="17"/>
                <w:b w:val="1"/>
                <w:bCs w:val="1"/>
                <w:color w:val="auto"/>
              </w:rPr>
              <w:t>International segment*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Vita Coco Coconut Water</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3,161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2,831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11.7 %</w:t>
            </w:r>
          </w:p>
        </w:tc>
        <w:tc>
          <w:tcPr>
            <w:tcW w:w="0" w:type="dxa"/>
            <w:vAlign w:val="bottom"/>
          </w:tcPr>
          <w:p>
            <w:pPr>
              <w:spacing w:after="0"/>
              <w:rPr>
                <w:sz w:val="1"/>
                <w:szCs w:val="1"/>
                <w:color w:val="auto"/>
              </w:rPr>
            </w:pPr>
          </w:p>
        </w:tc>
      </w:tr>
      <w:tr>
        <w:trPr>
          <w:trHeight w:val="229"/>
        </w:trPr>
        <w:tc>
          <w:tcPr>
            <w:tcW w:w="2960" w:type="dxa"/>
            <w:vAlign w:val="bottom"/>
          </w:tcPr>
          <w:p>
            <w:pPr>
              <w:ind w:left="340"/>
              <w:spacing w:after="0"/>
              <w:rPr>
                <w:sz w:val="20"/>
                <w:szCs w:val="20"/>
                <w:color w:val="auto"/>
              </w:rPr>
            </w:pPr>
            <w:r>
              <w:rPr>
                <w:rFonts w:ascii="Arial" w:cs="Arial" w:eastAsia="Arial" w:hAnsi="Arial"/>
                <w:sz w:val="17"/>
                <w:szCs w:val="17"/>
                <w:color w:val="auto"/>
              </w:rPr>
              <w:t>Private Label</w:t>
            </w:r>
          </w:p>
        </w:tc>
        <w:tc>
          <w:tcPr>
            <w:tcW w:w="900" w:type="dxa"/>
            <w:vAlign w:val="bottom"/>
          </w:tcPr>
          <w:p>
            <w:pPr>
              <w:jc w:val="right"/>
              <w:spacing w:after="0"/>
              <w:rPr>
                <w:sz w:val="20"/>
                <w:szCs w:val="20"/>
                <w:color w:val="auto"/>
              </w:rPr>
            </w:pPr>
            <w:r>
              <w:rPr>
                <w:rFonts w:ascii="Arial" w:cs="Arial" w:eastAsia="Arial" w:hAnsi="Arial"/>
                <w:sz w:val="17"/>
                <w:szCs w:val="17"/>
                <w:color w:val="auto"/>
              </w:rPr>
              <w:t>647</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421</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226</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53.7 %</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1,041</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834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207</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24.8 %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24.0 %</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39.1 %</w:t>
            </w:r>
          </w:p>
        </w:tc>
        <w:tc>
          <w:tcPr>
            <w:tcW w:w="0" w:type="dxa"/>
            <w:vAlign w:val="bottom"/>
          </w:tcPr>
          <w:p>
            <w:pPr>
              <w:spacing w:after="0"/>
              <w:rPr>
                <w:sz w:val="1"/>
                <w:szCs w:val="1"/>
                <w:color w:val="auto"/>
              </w:rPr>
            </w:pPr>
          </w:p>
        </w:tc>
      </w:tr>
      <w:tr>
        <w:trPr>
          <w:trHeight w:val="215"/>
        </w:trPr>
        <w:tc>
          <w:tcPr>
            <w:tcW w:w="2960" w:type="dxa"/>
            <w:vAlign w:val="bottom"/>
          </w:tcPr>
          <w:p>
            <w:pPr>
              <w:ind w:left="640"/>
              <w:spacing w:after="0"/>
              <w:rPr>
                <w:sz w:val="20"/>
                <w:szCs w:val="20"/>
                <w:color w:val="auto"/>
              </w:rPr>
            </w:pPr>
            <w:r>
              <w:rPr>
                <w:rFonts w:ascii="Arial" w:cs="Arial" w:eastAsia="Arial" w:hAnsi="Arial"/>
                <w:sz w:val="17"/>
                <w:szCs w:val="17"/>
                <w:color w:val="auto"/>
              </w:rPr>
              <w:t>Subtotal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2,424</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2,059</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17.7 %</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4,238</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3,691</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14.8 %</w:t>
            </w: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Total volume (CE)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15,299</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13,026</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17.4 %</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27,233</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24,049</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13.2 %</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right="240"/>
        <w:spacing w:after="0" w:line="288" w:lineRule="auto"/>
        <w:rPr>
          <w:sz w:val="20"/>
          <w:szCs w:val="20"/>
          <w:color w:val="auto"/>
        </w:rPr>
      </w:pPr>
      <w:r>
        <w:rPr>
          <w:rFonts w:ascii="Arial" w:cs="Arial" w:eastAsia="Arial" w:hAnsi="Arial"/>
          <w:sz w:val="17"/>
          <w:szCs w:val="17"/>
          <w:i w:val="1"/>
          <w:iCs w:val="1"/>
          <w:color w:val="auto"/>
        </w:rPr>
        <w:t>Note: A CE is a standard volume measure used by management, which is defined as a case of 12 bottles of 330ml liquid beverages or the same liter volume of oil.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 International, Other excludes minor volume that is treated as zero CE.</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Americas Segment</w:t>
      </w:r>
    </w:p>
    <w:p>
      <w:pPr>
        <w:spacing w:after="0" w:line="118"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Americas net sales increased by $20.8 million, or 20.7%, to $121.3 million for the three months ended June 30, 2023 from $100.5 million for the three months ended June 30, 2022. The increase is primarily driven by CE volume growth of 17.4%, impacted by an additional promotional period at a key retailer for Vita Coco Coconut Water products, as well as benefits from branded net pricing actions. Americas net sales increased by $32.9 million, or 17.8%, to $218.0 million for the six months ended June 30, 2023 from $185.1 million for the six months ended June 30, 2022. The increase is primarily driven by CE volume growth of 13.0%, benefiting from an additional promotional period at a key retailer for Vita Coco Coconut Water products, along with benefits from branded pricing actions.</w:t>
      </w:r>
    </w:p>
    <w:p>
      <w:pPr>
        <w:spacing w:after="0" w:line="178" w:lineRule="exact"/>
        <w:rPr>
          <w:sz w:val="20"/>
          <w:szCs w:val="20"/>
          <w:color w:val="auto"/>
        </w:rPr>
      </w:pPr>
    </w:p>
    <w:p>
      <w:pPr>
        <w:jc w:val="both"/>
        <w:ind w:right="180" w:firstLine="470"/>
        <w:spacing w:after="0" w:line="284" w:lineRule="auto"/>
        <w:rPr>
          <w:sz w:val="20"/>
          <w:szCs w:val="20"/>
          <w:color w:val="auto"/>
        </w:rPr>
      </w:pPr>
      <w:r>
        <w:rPr>
          <w:rFonts w:ascii="Arial" w:cs="Arial" w:eastAsia="Arial" w:hAnsi="Arial"/>
          <w:sz w:val="16"/>
          <w:szCs w:val="16"/>
          <w:color w:val="auto"/>
        </w:rPr>
        <w:t>Vita Coco Coconut Water net sales increased by $18.6 million, or 24.3%, to $95.0 million for the three months ended June 30, 2023, from $76.4 million for the three months ended June 30, 2022. The increase was primarily driven by CE volume growth of 21.1%, which benefited from an additional promotional period at a key retailer, alongside benefits from pricing actions. Vita Coco Coconut Water net sales increased by $28.9 million, or 21.3%, to $164.1 million for the six months ended June 30, 2023, from $135.3 million for the six months ended June 30, 2022. The increase was primarily driven by CE volume growth of 18.3%, which included an additional promotional period at a key retailer, with pricing actions also contributing to growth.</w:t>
      </w:r>
    </w:p>
    <w:p>
      <w:pPr>
        <w:spacing w:after="0" w:line="166" w:lineRule="exact"/>
        <w:rPr>
          <w:sz w:val="20"/>
          <w:szCs w:val="20"/>
          <w:color w:val="auto"/>
        </w:rPr>
      </w:pPr>
    </w:p>
    <w:p>
      <w:pPr>
        <w:ind w:right="80" w:firstLine="470"/>
        <w:spacing w:after="0" w:line="288" w:lineRule="auto"/>
        <w:rPr>
          <w:sz w:val="20"/>
          <w:szCs w:val="20"/>
          <w:color w:val="auto"/>
        </w:rPr>
      </w:pPr>
      <w:r>
        <w:rPr>
          <w:rFonts w:ascii="Arial" w:cs="Arial" w:eastAsia="Arial" w:hAnsi="Arial"/>
          <w:sz w:val="16"/>
          <w:szCs w:val="16"/>
          <w:color w:val="auto"/>
        </w:rPr>
        <w:t>Private Label net sales increased $3.5 million, or 17.1%, to $24.1 million for the three months ended June 30, 2023, from $20.5 million for the three months ended June 30, 2022, mostly driven by CE volume growth of 22.1% in addition to price decreases conceded due to the reduction of transportation costs. Private Label net sales increased $5.5 million, or 12.6%, to $49.1 million for the six months ended June 30, 2023, from $43.6 million for the six months ended June 30, 2022, mostly driven by CE volume growth of 8.0% coupled with benefits from pricing actions also contributing to growth.</w:t>
      </w:r>
    </w:p>
    <w:p>
      <w:pPr>
        <w:spacing w:after="0" w:line="162" w:lineRule="exact"/>
        <w:rPr>
          <w:sz w:val="20"/>
          <w:szCs w:val="20"/>
          <w:color w:val="auto"/>
        </w:rPr>
      </w:pPr>
    </w:p>
    <w:p>
      <w:pPr>
        <w:jc w:val="both"/>
        <w:ind w:right="200" w:firstLine="470"/>
        <w:spacing w:after="0" w:line="297" w:lineRule="auto"/>
        <w:rPr>
          <w:sz w:val="20"/>
          <w:szCs w:val="20"/>
          <w:color w:val="auto"/>
        </w:rPr>
      </w:pPr>
      <w:r>
        <w:rPr>
          <w:rFonts w:ascii="Arial" w:cs="Arial" w:eastAsia="Arial" w:hAnsi="Arial"/>
          <w:sz w:val="16"/>
          <w:szCs w:val="16"/>
          <w:color w:val="auto"/>
        </w:rPr>
        <w:t>Net sales from Other products decreased by $1.3 million, or 37.3%, to $2.2 million for the three months ended June 30, 2023 from $3.5 million for the three months ended June 30, 2022. Net sales from Other products decreased by $1.4 million, or 22.7%, to $4.8 million for the six months ended June 30, 2023 from $6.2 million for the six months ended June 30, 2022. The decrease in both periods is primarily due to volume decline.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International Segment</w:t>
      </w:r>
    </w:p>
    <w:p>
      <w:pPr>
        <w:spacing w:after="0" w:line="118"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International net sales increased by $3.6 million, or 24.1%, to $18.4 million for the three months ended June 30, 2023, from $14.8 million for the three months ended June 30, 2022. The increase is primarily driven by CE volume growth of 17.7% coupled with some benefits from pricing actions. International net sales increased by $4.7 million, or 17.7%, to $31.4 million for the six months ended June 30, 2023, from $26.6 million for the six months ended June 30, 2022. The increase is primarily driven by higher CE volume growth of 14.8% with some benefits from pricing actions.</w:t>
      </w:r>
    </w:p>
    <w:p>
      <w:pPr>
        <w:spacing w:after="0" w:line="176"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Vita Coco Coconut Water net sales increased by $1.6 million, or 14.3%, to $12.7 million for the three months ended June 30, 2023, from $11.1 million for the three months ended June 30, 2022. The increase was driven by CE volume growth of 8.4%, primarily in the European region. Vita Coco Coconut Water net sales increased by $2.8 million, or 14.4%, to $22.3 million for the six months ended June 30, 2023, from $19.5 million for the six months ended June 30, 2022. The increase was due to CE volume growth of 11.7%, primarily driven by the European region.</w:t>
      </w:r>
    </w:p>
    <w:p>
      <w:pPr>
        <w:spacing w:after="0" w:line="176"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Private Label net sales increased by $2.1 million, or 71.5%, to $5.1 million for the three months ended June 30, 2023 from $2.9 million for the three months ended June 30, 2022. The increase was driven primarily by CE volume growth in Europe. Private Label net sales increased by $2.0 million or 35.2%, to $7.7 million for the six months ended June 30, 2023, from $5.7 million for the six months ended June 30, 2022. The increase was driven primarily by CE volume growth in Europe.</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Net sales from Other products was relatively flat on a dollar basis for the three and six months ended June 30, 2023 compared to the prior year periods.</w:t>
      </w: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200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w w:val="94"/>
              </w:rPr>
              <w:t>Three Months Ended June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2"/>
              </w:rPr>
              <w:t>Six Months Ended June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7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Percentage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 of goods sold</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340"/>
              <w:spacing w:after="0"/>
              <w:rPr>
                <w:sz w:val="20"/>
                <w:szCs w:val="20"/>
                <w:color w:val="auto"/>
              </w:rPr>
            </w:pPr>
            <w:r>
              <w:rPr>
                <w:rFonts w:ascii="Arial" w:cs="Arial" w:eastAsia="Arial" w:hAnsi="Arial"/>
                <w:sz w:val="17"/>
                <w:szCs w:val="17"/>
                <w:color w:val="auto"/>
              </w:rPr>
              <w:t>Americas segment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35"/>
              <w:spacing w:after="0"/>
              <w:rPr>
                <w:sz w:val="20"/>
                <w:szCs w:val="20"/>
                <w:color w:val="auto"/>
              </w:rPr>
            </w:pPr>
            <w:r>
              <w:rPr>
                <w:rFonts w:ascii="Arial" w:cs="Arial" w:eastAsia="Arial" w:hAnsi="Arial"/>
                <w:sz w:val="17"/>
                <w:szCs w:val="17"/>
                <w:color w:val="auto"/>
              </w:rPr>
              <w:t>76,155</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73,784</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2,371</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3.2 %</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16"/>
              <w:spacing w:after="0"/>
              <w:rPr>
                <w:sz w:val="20"/>
                <w:szCs w:val="20"/>
                <w:color w:val="auto"/>
              </w:rPr>
            </w:pPr>
            <w:r>
              <w:rPr>
                <w:rFonts w:ascii="Arial" w:cs="Arial" w:eastAsia="Arial" w:hAnsi="Arial"/>
                <w:sz w:val="17"/>
                <w:szCs w:val="17"/>
                <w:color w:val="auto"/>
              </w:rPr>
              <w:t>143,777</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142,099</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1,678</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International segment</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12,396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20,872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21,302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5"/>
        </w:trPr>
        <w:tc>
          <w:tcPr>
            <w:tcW w:w="2760" w:type="dxa"/>
            <w:vAlign w:val="bottom"/>
          </w:tcPr>
          <w:p>
            <w:pPr>
              <w:ind w:left="640"/>
              <w:spacing w:after="0"/>
              <w:rPr>
                <w:sz w:val="20"/>
                <w:szCs w:val="20"/>
                <w:color w:val="auto"/>
              </w:rPr>
            </w:pPr>
            <w:r>
              <w:rPr>
                <w:rFonts w:ascii="Arial" w:cs="Arial" w:eastAsia="Arial" w:hAnsi="Arial"/>
                <w:sz w:val="17"/>
                <w:szCs w:val="17"/>
                <w:color w:val="auto"/>
              </w:rPr>
              <w:t>Total cost of goods sold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35"/>
              <w:spacing w:after="0"/>
              <w:rPr>
                <w:sz w:val="20"/>
                <w:szCs w:val="20"/>
                <w:color w:val="auto"/>
              </w:rPr>
            </w:pPr>
            <w:r>
              <w:rPr>
                <w:rFonts w:ascii="Arial" w:cs="Arial" w:eastAsia="Arial" w:hAnsi="Arial"/>
                <w:sz w:val="17"/>
                <w:szCs w:val="17"/>
                <w:color w:val="auto"/>
              </w:rPr>
              <w:t>88,551</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86,016</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2,535</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2.9 %</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16"/>
              <w:spacing w:after="0"/>
              <w:rPr>
                <w:sz w:val="20"/>
                <w:szCs w:val="20"/>
                <w:color w:val="auto"/>
              </w:rPr>
            </w:pPr>
            <w:r>
              <w:rPr>
                <w:rFonts w:ascii="Arial" w:cs="Arial" w:eastAsia="Arial" w:hAnsi="Arial"/>
                <w:sz w:val="17"/>
                <w:szCs w:val="17"/>
                <w:color w:val="auto"/>
              </w:rPr>
              <w:t>164,649</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163,401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1,248</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0.8 %</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profit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60" w:type="dxa"/>
            <w:vAlign w:val="bottom"/>
          </w:tcPr>
          <w:p>
            <w:pPr>
              <w:ind w:left="340"/>
              <w:spacing w:after="0"/>
              <w:rPr>
                <w:sz w:val="20"/>
                <w:szCs w:val="20"/>
                <w:color w:val="auto"/>
              </w:rPr>
            </w:pPr>
            <w:r>
              <w:rPr>
                <w:rFonts w:ascii="Arial" w:cs="Arial" w:eastAsia="Arial" w:hAnsi="Arial"/>
                <w:sz w:val="17"/>
                <w:szCs w:val="17"/>
                <w:color w:val="auto"/>
              </w:rPr>
              <w:t>Americas segment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35"/>
              <w:spacing w:after="0"/>
              <w:rPr>
                <w:sz w:val="20"/>
                <w:szCs w:val="20"/>
                <w:color w:val="auto"/>
              </w:rPr>
            </w:pPr>
            <w:r>
              <w:rPr>
                <w:rFonts w:ascii="Arial" w:cs="Arial" w:eastAsia="Arial" w:hAnsi="Arial"/>
                <w:sz w:val="17"/>
                <w:szCs w:val="17"/>
                <w:color w:val="auto"/>
              </w:rPr>
              <w:t>45,109</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26,710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18,399</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68.9 %</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16"/>
              <w:spacing w:after="0"/>
              <w:rPr>
                <w:sz w:val="20"/>
                <w:szCs w:val="20"/>
                <w:color w:val="auto"/>
              </w:rPr>
            </w:pPr>
            <w:r>
              <w:rPr>
                <w:rFonts w:ascii="Arial" w:cs="Arial" w:eastAsia="Arial" w:hAnsi="Arial"/>
                <w:sz w:val="17"/>
                <w:szCs w:val="17"/>
                <w:color w:val="auto"/>
              </w:rPr>
              <w:t>74,258</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43,006</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31,252</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72.7 %</w:t>
            </w:r>
          </w:p>
        </w:tc>
        <w:tc>
          <w:tcPr>
            <w:tcW w:w="0" w:type="dxa"/>
            <w:vAlign w:val="bottom"/>
          </w:tcPr>
          <w:p>
            <w:pPr>
              <w:spacing w:after="0"/>
              <w:rPr>
                <w:sz w:val="1"/>
                <w:szCs w:val="1"/>
                <w:color w:val="auto"/>
              </w:rPr>
            </w:pPr>
          </w:p>
        </w:tc>
      </w:tr>
      <w:tr>
        <w:trPr>
          <w:trHeight w:val="222"/>
        </w:trPr>
        <w:tc>
          <w:tcPr>
            <w:tcW w:w="2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International segment</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3,406</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132.1 %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10,497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5,151</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96.4 %</w:t>
            </w:r>
          </w:p>
        </w:tc>
        <w:tc>
          <w:tcPr>
            <w:tcW w:w="0" w:type="dxa"/>
            <w:vAlign w:val="bottom"/>
          </w:tcPr>
          <w:p>
            <w:pPr>
              <w:spacing w:after="0"/>
              <w:rPr>
                <w:sz w:val="1"/>
                <w:szCs w:val="1"/>
                <w:color w:val="auto"/>
              </w:rPr>
            </w:pPr>
          </w:p>
        </w:tc>
      </w:tr>
      <w:tr>
        <w:trPr>
          <w:trHeight w:val="228"/>
        </w:trPr>
        <w:tc>
          <w:tcPr>
            <w:tcW w:w="2760" w:type="dxa"/>
            <w:vAlign w:val="bottom"/>
          </w:tcPr>
          <w:p>
            <w:pPr>
              <w:ind w:left="640"/>
              <w:spacing w:after="0"/>
              <w:rPr>
                <w:sz w:val="20"/>
                <w:szCs w:val="20"/>
                <w:color w:val="auto"/>
              </w:rPr>
            </w:pPr>
            <w:r>
              <w:rPr>
                <w:rFonts w:ascii="Arial" w:cs="Arial" w:eastAsia="Arial" w:hAnsi="Arial"/>
                <w:sz w:val="17"/>
                <w:szCs w:val="17"/>
                <w:color w:val="auto"/>
              </w:rPr>
              <w:t>Total gross profit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35"/>
              <w:spacing w:after="0"/>
              <w:rPr>
                <w:sz w:val="20"/>
                <w:szCs w:val="20"/>
                <w:color w:val="auto"/>
              </w:rPr>
            </w:pPr>
            <w:r>
              <w:rPr>
                <w:rFonts w:ascii="Arial" w:cs="Arial" w:eastAsia="Arial" w:hAnsi="Arial"/>
                <w:sz w:val="17"/>
                <w:szCs w:val="17"/>
                <w:color w:val="auto"/>
              </w:rPr>
              <w:t>51,094</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29,289</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21,805</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74.4 %</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16"/>
              <w:spacing w:after="0"/>
              <w:rPr>
                <w:sz w:val="20"/>
                <w:szCs w:val="20"/>
                <w:color w:val="auto"/>
              </w:rPr>
            </w:pPr>
            <w:r>
              <w:rPr>
                <w:rFonts w:ascii="Arial" w:cs="Arial" w:eastAsia="Arial" w:hAnsi="Arial"/>
                <w:sz w:val="17"/>
                <w:szCs w:val="17"/>
                <w:color w:val="auto"/>
              </w:rPr>
              <w:t>84,755</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48,352</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36,403</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75.3 %</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margin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760" w:type="dxa"/>
            <w:vAlign w:val="bottom"/>
          </w:tcPr>
          <w:p>
            <w:pPr>
              <w:ind w:left="320"/>
              <w:spacing w:after="0"/>
              <w:rPr>
                <w:sz w:val="20"/>
                <w:szCs w:val="20"/>
                <w:color w:val="auto"/>
              </w:rPr>
            </w:pPr>
            <w:r>
              <w:rPr>
                <w:rFonts w:ascii="Arial" w:cs="Arial" w:eastAsia="Arial" w:hAnsi="Arial"/>
                <w:sz w:val="17"/>
                <w:szCs w:val="17"/>
                <w:color w:val="auto"/>
              </w:rPr>
              <w:t>Americas segment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37.2 %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26.6 %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10.6 %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34.1 %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23.2 %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10.9 %</w:t>
            </w:r>
          </w:p>
        </w:tc>
        <w:tc>
          <w:tcPr>
            <w:tcW w:w="0" w:type="dxa"/>
            <w:vAlign w:val="bottom"/>
          </w:tcPr>
          <w:p>
            <w:pPr>
              <w:spacing w:after="0"/>
              <w:rPr>
                <w:sz w:val="1"/>
                <w:szCs w:val="1"/>
                <w:color w:val="auto"/>
              </w:rPr>
            </w:pPr>
          </w:p>
        </w:tc>
      </w:tr>
      <w:tr>
        <w:trPr>
          <w:trHeight w:val="248"/>
        </w:trPr>
        <w:tc>
          <w:tcPr>
            <w:tcW w:w="2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International segment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32.6 %</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33.5 %</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13.4 %</w:t>
            </w:r>
          </w:p>
        </w:tc>
        <w:tc>
          <w:tcPr>
            <w:tcW w:w="0" w:type="dxa"/>
            <w:vAlign w:val="bottom"/>
          </w:tcPr>
          <w:p>
            <w:pPr>
              <w:spacing w:after="0"/>
              <w:rPr>
                <w:sz w:val="1"/>
                <w:szCs w:val="1"/>
                <w:color w:val="auto"/>
              </w:rPr>
            </w:pPr>
          </w:p>
        </w:tc>
      </w:tr>
      <w:tr>
        <w:trPr>
          <w:trHeight w:val="248"/>
        </w:trPr>
        <w:tc>
          <w:tcPr>
            <w:tcW w:w="2760" w:type="dxa"/>
            <w:vAlign w:val="bottom"/>
          </w:tcPr>
          <w:p>
            <w:pPr>
              <w:ind w:left="680"/>
              <w:spacing w:after="0"/>
              <w:rPr>
                <w:sz w:val="20"/>
                <w:szCs w:val="20"/>
                <w:color w:val="auto"/>
              </w:rPr>
            </w:pPr>
            <w:r>
              <w:rPr>
                <w:rFonts w:ascii="Arial" w:cs="Arial" w:eastAsia="Arial" w:hAnsi="Arial"/>
                <w:sz w:val="17"/>
                <w:szCs w:val="17"/>
                <w:color w:val="auto"/>
              </w:rPr>
              <w:t>Consolidated</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36.6 %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11.2 %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34.0 %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22.8 %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11.2 %</w:t>
            </w:r>
          </w:p>
        </w:tc>
        <w:tc>
          <w:tcPr>
            <w:tcW w:w="0" w:type="dxa"/>
            <w:vAlign w:val="bottom"/>
          </w:tcPr>
          <w:p>
            <w:pPr>
              <w:spacing w:after="0"/>
              <w:rPr>
                <w:sz w:val="1"/>
                <w:szCs w:val="1"/>
                <w:color w:val="auto"/>
              </w:rPr>
            </w:pPr>
          </w:p>
        </w:tc>
      </w:tr>
      <w:tr>
        <w:trPr>
          <w:trHeight w:val="262"/>
        </w:trPr>
        <w:tc>
          <w:tcPr>
            <w:tcW w:w="2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40" w:firstLine="470"/>
        <w:spacing w:after="0" w:line="251" w:lineRule="auto"/>
        <w:rPr>
          <w:sz w:val="20"/>
          <w:szCs w:val="20"/>
          <w:color w:val="auto"/>
        </w:rPr>
      </w:pPr>
      <w:r>
        <w:rPr>
          <w:rFonts w:ascii="Arial" w:cs="Arial" w:eastAsia="Arial" w:hAnsi="Arial"/>
          <w:sz w:val="17"/>
          <w:szCs w:val="17"/>
          <w:color w:val="auto"/>
        </w:rPr>
        <w:t>On a consolidated basis, cost of goods sold increased $2.5 million, or 2.9%, to $88.6 million for the three months ended June 30, 2023, from $86.0 million for the three months ended June 30, 2022. Cost of goods sold increased $1.2 million, or 0.8%, to $164.6 million for the six months ended June 30, 2023, from $163.4 million for the six months ended June 30, 2022. On a consolidated and segment basis, the increases in both periods were primarily driven by higher CE volume offset by lower transportation costs.</w:t>
      </w:r>
    </w:p>
    <w:p>
      <w:pPr>
        <w:spacing w:after="0" w:line="189"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On a consolidated basis, gross profit increased $21.8 million, or 74.4%, to $51.1 million for the three months ended June 30, 2023, from $29.3 million for the three months ended June 30, 2022. Gross profit increased $36.4 million, or 75.3%, to $84.8 million for the six months ended June 30, 2023, from $48.4 million for the six months ended June 30, 2022. This was a result of strong CE volume growth, benefits from pricing actions and decreased transportation costs. As a result, gross margin increased approximately 11 percentage points to 36.6% for the three months ended June 30, 2023, as compared to 25.4% for the three months ended June 30, 2022, and increased by approximately 11 percentage points to 34.0% for the six months ended June 30, 2023, as compared to 22.8% for the six months ended June 30, 2022.</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80" w:type="dxa"/>
            <w:vAlign w:val="bottom"/>
          </w:tcPr>
          <w:p>
            <w:pPr>
              <w:spacing w:after="0"/>
              <w:rPr>
                <w:sz w:val="15"/>
                <w:szCs w:val="15"/>
                <w:color w:val="auto"/>
              </w:rPr>
            </w:pPr>
          </w:p>
        </w:tc>
        <w:tc>
          <w:tcPr>
            <w:tcW w:w="190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gridSpan w:val="3"/>
          </w:tcPr>
          <w:p>
            <w:pPr>
              <w:jc w:val="right"/>
              <w:ind w:right="742"/>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5"/>
                <w:szCs w:val="15"/>
                <w:color w:val="auto"/>
              </w:rPr>
            </w:pPr>
          </w:p>
        </w:tc>
        <w:tc>
          <w:tcPr>
            <w:tcW w:w="184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w w:val="94"/>
              </w:rPr>
              <w:t>Six Months Ended June 30,</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gridSpan w:val="3"/>
          </w:tcPr>
          <w:p>
            <w:pPr>
              <w:jc w:val="right"/>
              <w:ind w:right="72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3"/>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08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Percentage</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22"/>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5,992</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24.7 %</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57,206</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49,058</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16.6 %</w:t>
            </w:r>
          </w:p>
        </w:tc>
        <w:tc>
          <w:tcPr>
            <w:tcW w:w="0" w:type="dxa"/>
            <w:vAlign w:val="bottom"/>
          </w:tcPr>
          <w:p>
            <w:pPr>
              <w:spacing w:after="0"/>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18" w:lineRule="exact"/>
        <w:rPr>
          <w:sz w:val="20"/>
          <w:szCs w:val="20"/>
          <w:color w:val="auto"/>
        </w:rPr>
      </w:pPr>
    </w:p>
    <w:p>
      <w:pPr>
        <w:ind w:right="80" w:firstLine="470"/>
        <w:spacing w:after="0" w:line="263" w:lineRule="auto"/>
        <w:rPr>
          <w:sz w:val="20"/>
          <w:szCs w:val="20"/>
          <w:color w:val="auto"/>
        </w:rPr>
      </w:pPr>
      <w:r>
        <w:rPr>
          <w:rFonts w:ascii="Arial" w:cs="Arial" w:eastAsia="Arial" w:hAnsi="Arial"/>
          <w:sz w:val="17"/>
          <w:szCs w:val="17"/>
          <w:color w:val="auto"/>
        </w:rPr>
        <w:t>During the three months ended June 30, 2023, SG&amp;A increased by $6.0 million, or 24.7%, versus the three months ended June 30, 2022. The increase was primarily driven by an increase of $3 million in personnel related expenses and a $3 million increase in marketing expenses, coupled with an increase of $1 million in professional fees due to costs related to the secondary stock offering completed in May 2023. During the six months ended June 30, 2023, SG&amp;A increased by $8.1 million, or 16.6%, versus the six months ended June 30, 2022. The increase was primarily driven by an increase of $4 million in personnel related expenses and an increase of $3 million in marketing expenses, along with an increase of $1 million in professional fees due to costs related to the offering.</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186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Three Months Ended June 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gridSpan w:val="3"/>
          </w:tcPr>
          <w:p>
            <w:pPr>
              <w:jc w:val="right"/>
              <w:ind w:right="819"/>
              <w:spacing w:after="0"/>
              <w:rPr>
                <w:sz w:val="20"/>
                <w:szCs w:val="20"/>
                <w:color w:val="auto"/>
              </w:rPr>
            </w:pPr>
            <w:r>
              <w:rPr>
                <w:rFonts w:ascii="Arial" w:cs="Arial" w:eastAsia="Arial" w:hAnsi="Arial"/>
                <w:sz w:val="14"/>
                <w:szCs w:val="14"/>
                <w:b w:val="1"/>
                <w:bCs w:val="1"/>
                <w:color w:val="auto"/>
                <w:w w:val="85"/>
              </w:rPr>
              <w:t>Change</w:t>
            </w:r>
          </w:p>
        </w:tc>
        <w:tc>
          <w:tcPr>
            <w:tcW w:w="174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w w:val="89"/>
              </w:rPr>
              <w:t>Six Months Ended June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3"/>
          </w:tcPr>
          <w:p>
            <w:pPr>
              <w:jc w:val="right"/>
              <w:ind w:right="7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
        </w:trPr>
        <w:tc>
          <w:tcPr>
            <w:tcW w:w="3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4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Percentage</w:t>
            </w: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9"/>
        </w:trPr>
        <w:tc>
          <w:tcPr>
            <w:tcW w:w="314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Unrealized gain/(loss) on derivative</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instruments</w:t>
            </w: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w:t>
            </w:r>
          </w:p>
        </w:tc>
        <w:tc>
          <w:tcPr>
            <w:tcW w:w="3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4,230</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130.5 % $</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2,201</w:t>
            </w:r>
          </w:p>
        </w:tc>
        <w:tc>
          <w:tcPr>
            <w:tcW w:w="3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59.7 %</w:t>
            </w:r>
          </w:p>
        </w:tc>
        <w:tc>
          <w:tcPr>
            <w:tcW w:w="0" w:type="dxa"/>
            <w:vAlign w:val="bottom"/>
          </w:tcPr>
          <w:p>
            <w:pPr>
              <w:spacing w:after="0"/>
              <w:rPr>
                <w:sz w:val="1"/>
                <w:szCs w:val="1"/>
                <w:color w:val="auto"/>
              </w:rPr>
            </w:pPr>
          </w:p>
        </w:tc>
      </w:tr>
      <w:tr>
        <w:trPr>
          <w:trHeight w:val="222"/>
        </w:trPr>
        <w:tc>
          <w:tcPr>
            <w:tcW w:w="3140" w:type="dxa"/>
            <w:vAlign w:val="bottom"/>
          </w:tcPr>
          <w:p>
            <w:pPr>
              <w:ind w:left="20"/>
              <w:spacing w:after="0"/>
              <w:rPr>
                <w:sz w:val="20"/>
                <w:szCs w:val="20"/>
                <w:color w:val="auto"/>
              </w:rPr>
            </w:pPr>
            <w:r>
              <w:rPr>
                <w:rFonts w:ascii="Arial" w:cs="Arial" w:eastAsia="Arial" w:hAnsi="Arial"/>
                <w:sz w:val="17"/>
                <w:szCs w:val="17"/>
                <w:color w:val="auto"/>
              </w:rPr>
              <w:t>Foreign currency gain/(loss)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213</w:t>
            </w: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495.3 % $</w:t>
            </w:r>
          </w:p>
        </w:tc>
        <w:tc>
          <w:tcPr>
            <w:tcW w:w="780" w:type="dxa"/>
            <w:vAlign w:val="bottom"/>
          </w:tcPr>
          <w:p>
            <w:pPr>
              <w:jc w:val="right"/>
              <w:spacing w:after="0"/>
              <w:rPr>
                <w:sz w:val="20"/>
                <w:szCs w:val="20"/>
                <w:color w:val="auto"/>
              </w:rPr>
            </w:pPr>
            <w:r>
              <w:rPr>
                <w:rFonts w:ascii="Arial" w:cs="Arial" w:eastAsia="Arial" w:hAnsi="Arial"/>
                <w:sz w:val="17"/>
                <w:szCs w:val="17"/>
                <w:color w:val="auto"/>
              </w:rPr>
              <w:t>781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925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642.4 %</w:t>
            </w:r>
          </w:p>
        </w:tc>
        <w:tc>
          <w:tcPr>
            <w:tcW w:w="0" w:type="dxa"/>
            <w:vAlign w:val="bottom"/>
          </w:tcPr>
          <w:p>
            <w:pPr>
              <w:spacing w:after="0"/>
              <w:rPr>
                <w:sz w:val="1"/>
                <w:szCs w:val="1"/>
                <w:color w:val="auto"/>
              </w:rPr>
            </w:pPr>
          </w:p>
        </w:tc>
      </w:tr>
      <w:tr>
        <w:trPr>
          <w:trHeight w:val="235"/>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8833.3 % $</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2710.0 %</w:t>
            </w:r>
          </w:p>
        </w:tc>
        <w:tc>
          <w:tcPr>
            <w:tcW w:w="0" w:type="dxa"/>
            <w:vAlign w:val="bottom"/>
          </w:tcPr>
          <w:p>
            <w:pPr>
              <w:spacing w:after="0"/>
              <w:rPr>
                <w:sz w:val="1"/>
                <w:szCs w:val="1"/>
                <w:color w:val="auto"/>
              </w:rPr>
            </w:pPr>
          </w:p>
        </w:tc>
      </w:tr>
      <w:tr>
        <w:trPr>
          <w:trHeight w:val="222"/>
        </w:trPr>
        <w:tc>
          <w:tcPr>
            <w:tcW w:w="31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73.2 %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(63.9 %)</w:t>
            </w:r>
          </w:p>
        </w:tc>
        <w:tc>
          <w:tcPr>
            <w:tcW w:w="0" w:type="dxa"/>
            <w:vAlign w:val="bottom"/>
          </w:tcPr>
          <w:p>
            <w:pPr>
              <w:spacing w:after="0"/>
              <w:rPr>
                <w:sz w:val="1"/>
                <w:szCs w:val="1"/>
                <w:color w:val="auto"/>
              </w:rPr>
            </w:pPr>
          </w:p>
        </w:tc>
      </w:tr>
      <w:tr>
        <w:trPr>
          <w:trHeight w:val="215"/>
        </w:trPr>
        <w:tc>
          <w:tcPr>
            <w:tcW w:w="3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4,749</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142.3 %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(2,014)</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Unrealized Gain/(Loss) on Derivative Instruments</w:t>
      </w:r>
    </w:p>
    <w:p>
      <w:pPr>
        <w:spacing w:after="0" w:line="118" w:lineRule="exact"/>
        <w:rPr>
          <w:sz w:val="20"/>
          <w:szCs w:val="20"/>
          <w:color w:val="auto"/>
        </w:rPr>
      </w:pPr>
    </w:p>
    <w:p>
      <w:pPr>
        <w:ind w:right="40" w:firstLine="470"/>
        <w:spacing w:after="0" w:line="263" w:lineRule="auto"/>
        <w:rPr>
          <w:sz w:val="20"/>
          <w:szCs w:val="20"/>
          <w:color w:val="auto"/>
        </w:rPr>
      </w:pPr>
      <w:r>
        <w:rPr>
          <w:rFonts w:ascii="Arial" w:cs="Arial" w:eastAsia="Arial" w:hAnsi="Arial"/>
          <w:sz w:val="17"/>
          <w:szCs w:val="17"/>
          <w:color w:val="auto"/>
        </w:rPr>
        <w:t>For the three months ended June 30, 2023 and 2022, we recorded gains of $1.0 million and losses of $3.2 million, respectively, for the mark-to-market changes in fair value on the outstanding derivative instruments for forward foreign currency exchange contracts. During the six months ended June 30, 2023 and 2022, we recorded gains of $2.2 million and $5.5 million, respectively, for the mark-to-market changes in fair value on the outstanding derivative instruments for forward foreign currency exchange contracts, with the largest gain for the six months ended June 30, 2023 related to the contracts hedging the Brazilian real. All forward foreign currency exchange contracts were entered into to hedge some of our exposures to the British pound, Canadian dollar, Brazilian real, Malaysian ringgit and Thai baht.</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Gain/(Loss)</w:t>
      </w:r>
    </w:p>
    <w:p>
      <w:pPr>
        <w:spacing w:after="0" w:line="118" w:lineRule="exact"/>
        <w:rPr>
          <w:sz w:val="20"/>
          <w:szCs w:val="20"/>
          <w:color w:val="auto"/>
        </w:rPr>
      </w:pPr>
    </w:p>
    <w:p>
      <w:pPr>
        <w:jc w:val="both"/>
        <w:ind w:right="160" w:firstLine="470"/>
        <w:spacing w:after="0" w:line="297" w:lineRule="auto"/>
        <w:rPr>
          <w:sz w:val="20"/>
          <w:szCs w:val="20"/>
          <w:color w:val="auto"/>
        </w:rPr>
      </w:pPr>
      <w:r>
        <w:rPr>
          <w:rFonts w:ascii="Arial" w:cs="Arial" w:eastAsia="Arial" w:hAnsi="Arial"/>
          <w:sz w:val="16"/>
          <w:szCs w:val="16"/>
          <w:color w:val="auto"/>
        </w:rPr>
        <w:t>For the three months ended June 30, 2023, the change in foreign currency gain/(loss) was immaterial. Foreign currency gain was $0.8 million for the six months ended June 30, 2023, as compared to $0.1 million loss for the six months ended June 30, 2022. The change in all periods was a result of movements in various foreign currency exchange rates related to transactions denominated in currencies other than the functional currency.</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118"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color w:val="auto"/>
        </w:rPr>
        <w:t>The increase in interest income for the three and six months ended June 30, 2023 compared to the same prior year period was primarily related to interest income on cash invested with financial institutions, reflecting improved cash balances and interest rates versus prior periods.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18" w:lineRule="exact"/>
        <w:rPr>
          <w:sz w:val="20"/>
          <w:szCs w:val="20"/>
          <w:color w:val="auto"/>
        </w:rPr>
      </w:pPr>
    </w:p>
    <w:p>
      <w:pPr>
        <w:ind w:right="140" w:firstLine="470"/>
        <w:spacing w:after="0" w:line="288" w:lineRule="auto"/>
        <w:rPr>
          <w:sz w:val="20"/>
          <w:szCs w:val="20"/>
          <w:color w:val="auto"/>
        </w:rPr>
      </w:pPr>
      <w:r>
        <w:rPr>
          <w:rFonts w:ascii="Arial" w:cs="Arial" w:eastAsia="Arial" w:hAnsi="Arial"/>
          <w:sz w:val="17"/>
          <w:szCs w:val="17"/>
          <w:color w:val="auto"/>
        </w:rPr>
        <w:t>Interest expense decreased for the three and six months ended June 30, 2023 compared to the same prior year period, which was driven by the decreased borrowings on the 2020 Credit Facility.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00" w:type="dxa"/>
            <w:vAlign w:val="bottom"/>
          </w:tcPr>
          <w:p>
            <w:pPr>
              <w:spacing w:after="0"/>
              <w:rPr>
                <w:sz w:val="15"/>
                <w:szCs w:val="15"/>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94"/>
              </w:rPr>
              <w:t>Three Months Ended June 30,</w:t>
            </w:r>
          </w:p>
        </w:tc>
        <w:tc>
          <w:tcPr>
            <w:tcW w:w="80" w:type="dxa"/>
            <w:vAlign w:val="bottom"/>
          </w:tcPr>
          <w:p>
            <w:pPr>
              <w:spacing w:after="0"/>
              <w:rPr>
                <w:sz w:val="15"/>
                <w:szCs w:val="15"/>
                <w:color w:val="auto"/>
              </w:rPr>
            </w:pPr>
          </w:p>
        </w:tc>
        <w:tc>
          <w:tcPr>
            <w:tcW w:w="2180" w:type="dxa"/>
            <w:vAlign w:val="bottom"/>
            <w:gridSpan w:val="3"/>
          </w:tcPr>
          <w:p>
            <w:pPr>
              <w:jc w:val="right"/>
              <w:ind w:right="870"/>
              <w:spacing w:after="0"/>
              <w:rPr>
                <w:sz w:val="20"/>
                <w:szCs w:val="20"/>
                <w:color w:val="auto"/>
              </w:rPr>
            </w:pPr>
            <w:r>
              <w:rPr>
                <w:rFonts w:ascii="Arial" w:cs="Arial" w:eastAsia="Arial" w:hAnsi="Arial"/>
                <w:sz w:val="14"/>
                <w:szCs w:val="14"/>
                <w:b w:val="1"/>
                <w:bCs w:val="1"/>
                <w:color w:val="auto"/>
              </w:rPr>
              <w:t>Change</w:t>
            </w:r>
          </w:p>
        </w:tc>
        <w:tc>
          <w:tcPr>
            <w:tcW w:w="192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15"/>
                <w:szCs w:val="15"/>
                <w:color w:val="auto"/>
              </w:rPr>
            </w:pPr>
          </w:p>
        </w:tc>
        <w:tc>
          <w:tcPr>
            <w:tcW w:w="2020" w:type="dxa"/>
            <w:vAlign w:val="bottom"/>
            <w:gridSpan w:val="3"/>
          </w:tcPr>
          <w:p>
            <w:pPr>
              <w:jc w:val="right"/>
              <w:ind w:right="7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90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Percentage</w:t>
            </w:r>
          </w:p>
        </w:tc>
        <w:tc>
          <w:tcPr>
            <w:tcW w:w="8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22"/>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7"/>
                <w:szCs w:val="17"/>
                <w:color w:val="auto"/>
              </w:rPr>
              <w:t>(4,269)</w:t>
            </w: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7"/>
                <w:szCs w:val="17"/>
                <w:color w:val="auto"/>
              </w:rPr>
              <w:t>(555)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(3,714)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669.2 % $</w:t>
            </w: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7"/>
                <w:szCs w:val="17"/>
                <w:color w:val="auto"/>
              </w:rPr>
              <w:t>(6,090)</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7"/>
                <w:szCs w:val="17"/>
                <w:color w:val="auto"/>
              </w:rPr>
              <w:t>$   (1,175)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(4,915)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418.3 %</w:t>
            </w:r>
          </w:p>
        </w:tc>
        <w:tc>
          <w:tcPr>
            <w:tcW w:w="0" w:type="dxa"/>
            <w:vAlign w:val="bottom"/>
          </w:tcPr>
          <w:p>
            <w:pPr>
              <w:spacing w:after="0"/>
              <w:rPr>
                <w:sz w:val="1"/>
                <w:szCs w:val="1"/>
                <w:color w:val="auto"/>
              </w:rPr>
            </w:pPr>
          </w:p>
        </w:tc>
      </w:tr>
      <w:tr>
        <w:trPr>
          <w:trHeight w:val="222"/>
        </w:trPr>
        <w:tc>
          <w:tcPr>
            <w:tcW w:w="2900" w:type="dxa"/>
            <w:vAlign w:val="bottom"/>
          </w:tcPr>
          <w:p>
            <w:pPr>
              <w:ind w:left="20"/>
              <w:spacing w:after="0"/>
              <w:rPr>
                <w:sz w:val="20"/>
                <w:szCs w:val="20"/>
                <w:color w:val="auto"/>
              </w:rPr>
            </w:pPr>
            <w:r>
              <w:rPr>
                <w:rFonts w:ascii="Arial" w:cs="Arial" w:eastAsia="Arial" w:hAnsi="Arial"/>
                <w:sz w:val="17"/>
                <w:szCs w:val="17"/>
                <w:color w:val="auto"/>
              </w:rPr>
              <w:t>Tax rate</w:t>
            </w:r>
          </w:p>
        </w:tc>
        <w:tc>
          <w:tcPr>
            <w:tcW w:w="980" w:type="dxa"/>
            <w:vAlign w:val="bottom"/>
          </w:tcPr>
          <w:p>
            <w:pPr>
              <w:jc w:val="right"/>
              <w:spacing w:after="0"/>
              <w:rPr>
                <w:sz w:val="20"/>
                <w:szCs w:val="20"/>
                <w:color w:val="auto"/>
              </w:rPr>
            </w:pPr>
            <w:r>
              <w:rPr>
                <w:rFonts w:ascii="Arial" w:cs="Arial" w:eastAsia="Arial" w:hAnsi="Arial"/>
                <w:sz w:val="17"/>
                <w:szCs w:val="17"/>
                <w:color w:val="auto"/>
              </w:rPr>
              <w:t>19.2 %</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32.7 %</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19.8 %</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25.9 %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80" w:firstLine="470"/>
        <w:spacing w:after="0" w:line="297" w:lineRule="auto"/>
        <w:rPr>
          <w:sz w:val="20"/>
          <w:szCs w:val="20"/>
          <w:color w:val="auto"/>
        </w:rPr>
      </w:pPr>
      <w:r>
        <w:rPr>
          <w:rFonts w:ascii="Arial" w:cs="Arial" w:eastAsia="Arial" w:hAnsi="Arial"/>
          <w:sz w:val="16"/>
          <w:szCs w:val="16"/>
          <w:color w:val="auto"/>
        </w:rPr>
        <w:t>Our quarterly income tax provision is based on an estimated annual effective tax rate applied to our consolidated year-to-date pre-tax income or loss. The effective income tax rate is based upon the estimated income for the year, the composition of that income in different countries, and adjustments, if any, in the applicable quarterly periods for the potential tax consequences, benefits, resolutions of tax audits or other tax contingencies.</w:t>
      </w:r>
    </w:p>
    <w:p>
      <w:pPr>
        <w:spacing w:after="0" w:line="153" w:lineRule="exact"/>
        <w:rPr>
          <w:sz w:val="20"/>
          <w:szCs w:val="20"/>
          <w:color w:val="auto"/>
        </w:rPr>
      </w:pPr>
    </w:p>
    <w:p>
      <w:pPr>
        <w:ind w:right="80" w:firstLine="470"/>
        <w:spacing w:after="0" w:line="263" w:lineRule="auto"/>
        <w:rPr>
          <w:sz w:val="20"/>
          <w:szCs w:val="20"/>
          <w:color w:val="auto"/>
        </w:rPr>
      </w:pPr>
      <w:r>
        <w:rPr>
          <w:rFonts w:ascii="Arial" w:cs="Arial" w:eastAsia="Arial" w:hAnsi="Arial"/>
          <w:sz w:val="17"/>
          <w:szCs w:val="17"/>
          <w:color w:val="auto"/>
        </w:rPr>
        <w:t>For the six months ended June 30, 2023 and June 30, 2022, our effective tax rate was 19.8% and 25.9%, respectively. The effective tax rate for the period ending June 30, 2023 is lower than the U.S. statutory rate of 21% primarily as a result of the windfall benefit of exercising stock options. The effective tax rate for the period ending June 30, 2022 is higher than the U.S. statutory rate of 21% primarily as a result of state income taxes for the U.S. company and other nondeductible expenses for tax purposes, and is partially offset by lower statutory tax rates in countries outside the U.S. where the Company operates. The change in effective tax rates between the periods is primarily driven by the jurisdictional mix of the Company’s pre-tax profits and the relative impact of other non-deductible expenses in relation to the pre-tax profits.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w:t>
      </w:r>
    </w:p>
    <w:p>
      <w:pPr>
        <w:spacing w:after="0" w:line="118"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w:t>
      </w:r>
    </w:p>
    <w:p>
      <w:pPr>
        <w:spacing w:after="0" w:line="176"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These non-GAAP measures are a key metric used by management and our Board of Director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w:t>
      </w:r>
    </w:p>
    <w:p>
      <w:pPr>
        <w:spacing w:after="0" w:line="176" w:lineRule="exact"/>
        <w:rPr>
          <w:sz w:val="20"/>
          <w:szCs w:val="20"/>
          <w:color w:val="auto"/>
        </w:rPr>
      </w:pPr>
    </w:p>
    <w:p>
      <w:pPr>
        <w:ind w:right="160" w:firstLine="470"/>
        <w:spacing w:after="0" w:line="358" w:lineRule="auto"/>
        <w:rPr>
          <w:sz w:val="20"/>
          <w:szCs w:val="20"/>
          <w:color w:val="auto"/>
        </w:rPr>
      </w:pPr>
      <w:r>
        <w:rPr>
          <w:rFonts w:ascii="Arial" w:cs="Arial" w:eastAsia="Arial" w:hAnsi="Arial"/>
          <w:sz w:val="15"/>
          <w:szCs w:val="15"/>
          <w:color w:val="auto"/>
        </w:rPr>
        <w:t>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reconciliation from net income to EBITDA and Adjusted EBITDA is set forth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91"/>
              </w:rPr>
              <w:t>Three Months Ended June 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3"/>
        </w:trPr>
        <w:tc>
          <w:tcPr>
            <w:tcW w:w="6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76"/>
        </w:trPr>
        <w:tc>
          <w:tcPr>
            <w:tcW w:w="6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r>
      <w:tr>
        <w:trPr>
          <w:trHeight w:val="183"/>
        </w:trPr>
        <w:tc>
          <w:tcPr>
            <w:tcW w:w="6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3,366</w:t>
            </w:r>
          </w:p>
        </w:tc>
      </w:tr>
      <w:tr>
        <w:trPr>
          <w:trHeight w:val="229"/>
        </w:trPr>
        <w:tc>
          <w:tcPr>
            <w:tcW w:w="69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945</w:t>
            </w: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69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35"/>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1,175</w:t>
            </w:r>
          </w:p>
        </w:tc>
      </w:tr>
      <w:tr>
        <w:trPr>
          <w:trHeight w:val="215"/>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EBITDA</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22,178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5,559</w:t>
            </w:r>
          </w:p>
        </w:tc>
      </w:tr>
      <w:tr>
        <w:trPr>
          <w:trHeight w:val="215"/>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(a)</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4,200</w:t>
            </w:r>
          </w:p>
        </w:tc>
      </w:tr>
      <w:tr>
        <w:trPr>
          <w:trHeight w:val="229"/>
        </w:trPr>
        <w:tc>
          <w:tcPr>
            <w:tcW w:w="6920" w:type="dxa"/>
            <w:vAlign w:val="bottom"/>
          </w:tcPr>
          <w:p>
            <w:pPr>
              <w:ind w:left="20"/>
              <w:spacing w:after="0"/>
              <w:rPr>
                <w:sz w:val="20"/>
                <w:szCs w:val="20"/>
                <w:color w:val="auto"/>
              </w:rPr>
            </w:pPr>
            <w:r>
              <w:rPr>
                <w:rFonts w:ascii="Arial" w:cs="Arial" w:eastAsia="Arial" w:hAnsi="Arial"/>
                <w:sz w:val="17"/>
                <w:szCs w:val="17"/>
                <w:color w:val="auto"/>
              </w:rPr>
              <w:t>Unrealized (gain)/loss on derivative instruments (b)</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(5,464)</w:t>
            </w: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(gain)/loss (b)</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r>
      <w:tr>
        <w:trPr>
          <w:trHeight w:val="222"/>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Secondary Offering Costs (c)</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23,978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33,009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21"/>
          <w:szCs w:val="21"/>
          <w:color w:val="auto"/>
        </w:rPr>
        <w:t>____________</w:t>
      </w:r>
    </w:p>
    <w:p>
      <w:pPr>
        <w:spacing w:after="0" w:line="41" w:lineRule="exact"/>
        <w:rPr>
          <w:sz w:val="20"/>
          <w:szCs w:val="20"/>
          <w:color w:val="auto"/>
        </w:rPr>
      </w:pPr>
    </w:p>
    <w:p>
      <w:pPr>
        <w:ind w:left="320" w:right="160" w:hanging="315"/>
        <w:spacing w:after="0" w:line="264"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Non-cash charges related to stock-based compensation, which vary from period to period depending on volume and vesting timing of awards. We adjusted for these charges to facilitate comparison from period to period.</w:t>
      </w:r>
    </w:p>
    <w:p>
      <w:pPr>
        <w:ind w:left="320" w:hanging="315"/>
        <w:spacing w:after="0"/>
        <w:tabs>
          <w:tab w:leader="none" w:pos="3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Unrealized gains or losses on derivative instruments and foreign currency gains or losses are not considered in our evaluation of our ongoing performance.</w:t>
      </w:r>
    </w:p>
    <w:p>
      <w:pPr>
        <w:spacing w:after="0" w:line="36" w:lineRule="exact"/>
        <w:rPr>
          <w:rFonts w:ascii="Arial" w:cs="Arial" w:eastAsia="Arial" w:hAnsi="Arial"/>
          <w:sz w:val="15"/>
          <w:szCs w:val="15"/>
          <w:color w:val="auto"/>
        </w:rPr>
      </w:pPr>
    </w:p>
    <w:p>
      <w:pPr>
        <w:ind w:left="320" w:right="60" w:hanging="315"/>
        <w:spacing w:after="0" w:line="305" w:lineRule="auto"/>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other non-recurring expenses related to costs associated with the secondary offering in which Verlinvest Beverages SA sold shares of the Company in an underwritten public offering, which closed on May 26, 2023. The Company did not receive any proceeds from the sale of the shares.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4" w:lineRule="exact"/>
        <w:rPr>
          <w:sz w:val="20"/>
          <w:szCs w:val="20"/>
          <w:color w:val="auto"/>
        </w:rPr>
      </w:pPr>
    </w:p>
    <w:p>
      <w:pPr>
        <w:ind w:right="60" w:firstLine="470"/>
        <w:spacing w:after="0" w:line="297" w:lineRule="auto"/>
        <w:rPr>
          <w:sz w:val="20"/>
          <w:szCs w:val="20"/>
          <w:color w:val="auto"/>
        </w:rPr>
      </w:pPr>
      <w:r>
        <w:rPr>
          <w:rFonts w:ascii="Arial" w:cs="Arial" w:eastAsia="Arial" w:hAnsi="Arial"/>
          <w:sz w:val="16"/>
          <w:szCs w:val="16"/>
          <w:color w:val="auto"/>
        </w:rPr>
        <w:t>Since our inception, we have financed our operations primarily through cash generated from our business operations and proceeds on borrowings through our credit facilities and term loans. We had $48.0 million and $19.6 million of cash and cash equivalents as of June 30, 2023 and December 31, 2022, respectively. From time to time, we supplement our liquidity needs with incremental borrowing capacity under the 2020 Credit Facility.</w:t>
      </w:r>
    </w:p>
    <w:p>
      <w:pPr>
        <w:spacing w:after="0" w:line="153"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Considering recent market conditions and our business assumptions, we have reevaluated our operating cash flows and cash requirements and believe that current cash, cash equivalents, future cash flows from operating activities and cash available under our 2020 Credit Facility will be sufficient to meet our anticipated cash needs, including working capital needs, capital expenditures and contractual obligations for at least 12 months from the issuance date of the condensed consolidated financial statements included herein and the foreseeable future.</w:t>
      </w:r>
    </w:p>
    <w:p>
      <w:pPr>
        <w:spacing w:after="0" w:line="176" w:lineRule="exact"/>
        <w:rPr>
          <w:sz w:val="20"/>
          <w:szCs w:val="20"/>
          <w:color w:val="auto"/>
        </w:rPr>
      </w:pPr>
    </w:p>
    <w:p>
      <w:pPr>
        <w:ind w:firstLine="470"/>
        <w:spacing w:after="0" w:line="260" w:lineRule="auto"/>
        <w:rPr>
          <w:sz w:val="20"/>
          <w:szCs w:val="20"/>
          <w:color w:val="auto"/>
        </w:rPr>
      </w:pPr>
      <w:r>
        <w:rPr>
          <w:rFonts w:ascii="Arial" w:cs="Arial" w:eastAsia="Arial" w:hAnsi="Arial"/>
          <w:sz w:val="17"/>
          <w:szCs w:val="17"/>
          <w:color w:val="auto"/>
        </w:rPr>
        <w:t>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asset-lite operating model has historically provided us with a low cost nimble, and scalable supply chain, which allows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our sources and uses of cash:</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40" w:type="dxa"/>
            <w:vAlign w:val="bottom"/>
          </w:tcPr>
          <w:p>
            <w:pPr>
              <w:spacing w:after="0"/>
              <w:rPr>
                <w:sz w:val="15"/>
                <w:szCs w:val="15"/>
                <w:color w:val="auto"/>
              </w:rPr>
            </w:pPr>
          </w:p>
        </w:tc>
        <w:tc>
          <w:tcPr>
            <w:tcW w:w="3020" w:type="dxa"/>
            <w:vAlign w:val="bottom"/>
            <w:gridSpan w:val="5"/>
          </w:tcPr>
          <w:p>
            <w:pPr>
              <w:jc w:val="right"/>
              <w:ind w:right="61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spacing w:after="0"/>
              <w:rPr>
                <w:sz w:val="15"/>
                <w:szCs w:val="15"/>
                <w:color w:val="auto"/>
              </w:rPr>
            </w:pPr>
          </w:p>
        </w:tc>
      </w:tr>
      <w:tr>
        <w:trPr>
          <w:trHeight w:val="23"/>
        </w:trPr>
        <w:tc>
          <w:tcPr>
            <w:tcW w:w="49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6"/>
        </w:trPr>
        <w:tc>
          <w:tcPr>
            <w:tcW w:w="49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260" w:type="dxa"/>
            <w:vAlign w:val="bottom"/>
          </w:tcPr>
          <w:p>
            <w:pPr>
              <w:jc w:val="right"/>
              <w:ind w:right="416"/>
              <w:spacing w:after="0"/>
              <w:rPr>
                <w:sz w:val="20"/>
                <w:szCs w:val="20"/>
                <w:color w:val="auto"/>
              </w:rPr>
            </w:pPr>
            <w:r>
              <w:rPr>
                <w:rFonts w:ascii="Arial" w:cs="Arial" w:eastAsia="Arial" w:hAnsi="Arial"/>
                <w:sz w:val="14"/>
                <w:szCs w:val="14"/>
                <w:b w:val="1"/>
                <w:bCs w:val="1"/>
                <w:color w:val="auto"/>
                <w:w w:val="97"/>
              </w:rPr>
              <w:t>Percentage</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 thousands)</w:t>
            </w:r>
          </w:p>
        </w:tc>
        <w:tc>
          <w:tcPr>
            <w:tcW w:w="8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2"/>
        </w:trPr>
        <w:tc>
          <w:tcPr>
            <w:tcW w:w="4940" w:type="dxa"/>
            <w:vAlign w:val="bottom"/>
          </w:tcPr>
          <w:p>
            <w:pPr>
              <w:ind w:left="20"/>
              <w:spacing w:after="0"/>
              <w:rPr>
                <w:sz w:val="20"/>
                <w:szCs w:val="20"/>
                <w:color w:val="auto"/>
              </w:rPr>
            </w:pPr>
            <w:r>
              <w:rPr>
                <w:rFonts w:ascii="Arial" w:cs="Arial" w:eastAsia="Arial" w:hAnsi="Arial"/>
                <w:sz w:val="17"/>
                <w:szCs w:val="17"/>
                <w:color w:val="auto"/>
              </w:rPr>
              <w:t>Cash flows provided by (used in):</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5"/>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26,071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(33,372)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59,443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178.1 %</w:t>
            </w:r>
          </w:p>
        </w:tc>
      </w:tr>
      <w:tr>
        <w:trPr>
          <w:trHeight w:val="222"/>
        </w:trPr>
        <w:tc>
          <w:tcPr>
            <w:tcW w:w="4940" w:type="dxa"/>
            <w:vAlign w:val="bottom"/>
          </w:tcPr>
          <w:p>
            <w:pPr>
              <w:ind w:left="20"/>
              <w:spacing w:after="0"/>
              <w:rPr>
                <w:sz w:val="20"/>
                <w:szCs w:val="20"/>
                <w:color w:val="auto"/>
              </w:rPr>
            </w:pPr>
            <w:r>
              <w:rPr>
                <w:rFonts w:ascii="Arial" w:cs="Arial" w:eastAsia="Arial" w:hAnsi="Arial"/>
                <w:sz w:val="17"/>
                <w:szCs w:val="17"/>
                <w:color w:val="auto"/>
              </w:rPr>
              <w:t>Investing activities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43.8 %</w:t>
            </w:r>
          </w:p>
        </w:tc>
      </w:tr>
      <w:tr>
        <w:trPr>
          <w:trHeight w:val="222"/>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(87.8 %)</w:t>
            </w:r>
          </w:p>
        </w:tc>
      </w:tr>
      <w:tr>
        <w:trPr>
          <w:trHeight w:val="235"/>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Effects of exchange rate changes on cash and cash equivalents</w:t>
            </w: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(234.4 %)</w:t>
            </w:r>
          </w:p>
        </w:tc>
      </w:tr>
      <w:tr>
        <w:trPr>
          <w:trHeight w:val="235"/>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(decrease)/increase in cash and cash equivalents</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28,665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40,944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333.4 %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8" w:lineRule="exact"/>
        <w:rPr>
          <w:sz w:val="20"/>
          <w:szCs w:val="20"/>
          <w:color w:val="auto"/>
        </w:rPr>
      </w:pPr>
    </w:p>
    <w:p>
      <w:pPr>
        <w:jc w:val="both"/>
        <w:ind w:right="20" w:firstLine="470"/>
        <w:spacing w:after="0" w:line="288" w:lineRule="auto"/>
        <w:rPr>
          <w:sz w:val="20"/>
          <w:szCs w:val="20"/>
          <w:color w:val="auto"/>
        </w:rPr>
      </w:pPr>
      <w:r>
        <w:rPr>
          <w:rFonts w:ascii="Arial" w:cs="Arial" w:eastAsia="Arial" w:hAnsi="Arial"/>
          <w:sz w:val="17"/>
          <w:szCs w:val="17"/>
          <w:color w:val="auto"/>
        </w:rPr>
        <w:t>Our main source of operating cash is payments received from our customers. Our primary use of cash in operating activities are for cost of goods sold and SG&amp;A expenses.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During the six months ended June 30, 2023, $59.4 million more net cash was generated by operating activities compared to the six months ended June 30,</w:t>
      </w:r>
    </w:p>
    <w:p>
      <w:pPr>
        <w:spacing w:after="0" w:line="49" w:lineRule="exact"/>
        <w:rPr>
          <w:sz w:val="20"/>
          <w:szCs w:val="20"/>
          <w:color w:val="auto"/>
        </w:rPr>
      </w:pPr>
    </w:p>
    <w:p>
      <w:pPr>
        <w:ind w:right="1040"/>
        <w:spacing w:after="0" w:line="273" w:lineRule="auto"/>
        <w:rPr>
          <w:sz w:val="20"/>
          <w:szCs w:val="20"/>
          <w:color w:val="auto"/>
        </w:rPr>
      </w:pPr>
      <w:r>
        <w:rPr>
          <w:rFonts w:ascii="Arial" w:cs="Arial" w:eastAsia="Arial" w:hAnsi="Arial"/>
          <w:sz w:val="17"/>
          <w:szCs w:val="17"/>
          <w:color w:val="auto"/>
        </w:rPr>
        <w:t>2022. The higher cash generation was driven by the increase in net income after adjusting for non-cash items, primarily reflecting higher sales and improvements in transportation costs, and working capital timing.</w:t>
      </w:r>
    </w:p>
    <w:p>
      <w:pPr>
        <w:spacing w:after="0" w:line="27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8" w:lineRule="exact"/>
        <w:rPr>
          <w:sz w:val="20"/>
          <w:szCs w:val="20"/>
          <w:color w:val="auto"/>
        </w:rPr>
      </w:pPr>
    </w:p>
    <w:p>
      <w:pPr>
        <w:ind w:right="280" w:firstLine="470"/>
        <w:spacing w:after="0" w:line="288" w:lineRule="auto"/>
        <w:rPr>
          <w:sz w:val="20"/>
          <w:szCs w:val="20"/>
          <w:color w:val="auto"/>
        </w:rPr>
      </w:pPr>
      <w:r>
        <w:rPr>
          <w:rFonts w:ascii="Arial" w:cs="Arial" w:eastAsia="Arial" w:hAnsi="Arial"/>
          <w:sz w:val="17"/>
          <w:szCs w:val="17"/>
          <w:color w:val="auto"/>
        </w:rPr>
        <w:t>During the six months ended June 30, 2023 as compared to six months ended June 30, 2022, cash used in investing activities decreased driven by cash paid for property and equipment.</w:t>
      </w:r>
    </w:p>
    <w:p>
      <w:pPr>
        <w:spacing w:after="0" w:line="26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8"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color w:val="auto"/>
        </w:rPr>
        <w:t>During the six months ended June 30, 2023 compared to the six months ended June 30, 2022, net cash provided by financing activities was $20 million lower primarily driven by lower borrowings on the 2020 Credit Facility during 2023 compared to 2022.</w:t>
      </w:r>
    </w:p>
    <w:p>
      <w:pPr>
        <w:spacing w:after="0" w:line="25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Debt</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had an immaterial amount of debt outstanding as of June 30, 2023 and December 31, 2022, which was related to vehicle loans.</w:t>
      </w:r>
    </w:p>
    <w:p>
      <w:pPr>
        <w:spacing w:after="0" w:line="32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2020 Credit Facility</w:t>
      </w:r>
    </w:p>
    <w:p>
      <w:pPr>
        <w:spacing w:after="0" w:line="118" w:lineRule="exact"/>
        <w:rPr>
          <w:sz w:val="20"/>
          <w:szCs w:val="20"/>
          <w:color w:val="auto"/>
        </w:rPr>
      </w:pPr>
    </w:p>
    <w:p>
      <w:pPr>
        <w:ind w:right="60" w:firstLine="533"/>
        <w:spacing w:after="0" w:line="261" w:lineRule="auto"/>
        <w:rPr>
          <w:sz w:val="20"/>
          <w:szCs w:val="20"/>
          <w:color w:val="auto"/>
        </w:rPr>
      </w:pPr>
      <w:r>
        <w:rPr>
          <w:rFonts w:ascii="Arial" w:cs="Arial" w:eastAsia="Arial" w:hAnsi="Arial"/>
          <w:sz w:val="17"/>
          <w:szCs w:val="17"/>
          <w:color w:val="auto"/>
        </w:rPr>
        <w:t>The 2020 Credit Facility currently provides for committed borrowings of $60.0 million. We may repay outstanding balances under the 2020 Credit Facility at any time without premium or penalty. In December 2022, the Company amended the 2020 Credit Facility to transition the interest rate from reference to LIBOR to SOFR. Borrowings on the 2020 Credit Facility bear interest at rates based on either: 1) a fluctuating rate per annum determined to be the sum of Daily Simple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is currently subject to an unused commitment fee ranging from 0.10% and 0.20% on the unused amount of the line of credit, with the rate being based on the Company’s leverage ratio. The maturity date on the 2020 Credit Facility is May 12, 2026.</w:t>
      </w:r>
    </w:p>
    <w:p>
      <w:pPr>
        <w:spacing w:after="0" w:line="77" w:lineRule="exact"/>
        <w:rPr>
          <w:sz w:val="20"/>
          <w:szCs w:val="20"/>
          <w:color w:val="auto"/>
        </w:rPr>
      </w:pPr>
    </w:p>
    <w:p>
      <w:pPr>
        <w:ind w:right="100" w:firstLine="533"/>
        <w:spacing w:after="0" w:line="288" w:lineRule="auto"/>
        <w:rPr>
          <w:sz w:val="20"/>
          <w:szCs w:val="20"/>
          <w:color w:val="auto"/>
        </w:rPr>
      </w:pPr>
      <w:r>
        <w:rPr>
          <w:rFonts w:ascii="Arial" w:cs="Arial" w:eastAsia="Arial" w:hAnsi="Arial"/>
          <w:sz w:val="17"/>
          <w:szCs w:val="17"/>
          <w:color w:val="auto"/>
        </w:rPr>
        <w:t>The borrowings made before the December 2022 amendment bore interest at rates based on either: 1) LIBOR; or 2) a specified base rate (determined by reference to the greatest of the prime rate published by Wells Fargo, the federal funds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color w:val="auto"/>
        </w:rPr>
        <w:t>effective rate plus 1.5% and one-month LIBOR plus 1.5%), as selected periodically by the Company. The LIBOR-based loans bore interest at LIBOR plus the Spread. The unused commitment fee prior to amendment was the same.</w:t>
      </w:r>
    </w:p>
    <w:p>
      <w:pPr>
        <w:spacing w:after="0" w:line="54" w:lineRule="exact"/>
        <w:rPr>
          <w:sz w:val="20"/>
          <w:szCs w:val="20"/>
          <w:color w:val="auto"/>
        </w:rPr>
      </w:pPr>
    </w:p>
    <w:p>
      <w:pPr>
        <w:ind w:right="240" w:firstLine="533"/>
        <w:spacing w:after="0" w:line="288" w:lineRule="auto"/>
        <w:rPr>
          <w:sz w:val="20"/>
          <w:szCs w:val="20"/>
          <w:color w:val="auto"/>
        </w:rPr>
      </w:pPr>
      <w:r>
        <w:rPr>
          <w:rFonts w:ascii="Arial" w:cs="Arial" w:eastAsia="Arial" w:hAnsi="Arial"/>
          <w:sz w:val="17"/>
          <w:szCs w:val="17"/>
          <w:color w:val="auto"/>
        </w:rPr>
        <w:t>The outstanding balance on the 2020 Credit Facility was zero as of June 30, 2023 and December 31, 2022, respectively. As of June 30, 2023, we were compliant with all financial covenants.</w:t>
      </w:r>
    </w:p>
    <w:p>
      <w:pPr>
        <w:spacing w:after="0" w:line="26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Vehicle Loans</w:t>
      </w:r>
    </w:p>
    <w:p>
      <w:pPr>
        <w:spacing w:after="0" w:line="118" w:lineRule="exact"/>
        <w:rPr>
          <w:sz w:val="20"/>
          <w:szCs w:val="20"/>
          <w:color w:val="auto"/>
        </w:rPr>
      </w:pPr>
    </w:p>
    <w:p>
      <w:pPr>
        <w:ind w:right="40" w:firstLine="470"/>
        <w:spacing w:after="0" w:line="288" w:lineRule="auto"/>
        <w:rPr>
          <w:sz w:val="20"/>
          <w:szCs w:val="20"/>
          <w:color w:val="auto"/>
        </w:rPr>
      </w:pPr>
      <w:r>
        <w:rPr>
          <w:rFonts w:ascii="Arial" w:cs="Arial" w:eastAsia="Arial" w:hAnsi="Arial"/>
          <w:sz w:val="17"/>
          <w:szCs w:val="17"/>
          <w:color w:val="auto"/>
        </w:rPr>
        <w:t>We periodically enter into vehicle loans. Interest rates on these vehicle loans range from 4.56% to 5.68%. The outstanding balance on the vehicle loans as of June 30, 2023 was less than $0.1 million.</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 xml:space="preserve">For additional information, see Note 6, </w:t>
      </w:r>
      <w:r>
        <w:rPr>
          <w:rFonts w:ascii="Arial" w:cs="Arial" w:eastAsia="Arial" w:hAnsi="Arial"/>
          <w:sz w:val="16"/>
          <w:szCs w:val="16"/>
          <w:i w:val="1"/>
          <w:iCs w:val="1"/>
          <w:color w:val="auto"/>
        </w:rPr>
        <w:t>Debt</w:t>
      </w:r>
      <w:r>
        <w:rPr>
          <w:rFonts w:ascii="Arial" w:cs="Arial" w:eastAsia="Arial" w:hAnsi="Arial"/>
          <w:sz w:val="16"/>
          <w:szCs w:val="16"/>
          <w:color w:val="auto"/>
        </w:rPr>
        <w:t>, in our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 have been no material changes to our contractual obligations from those described in the Form 10-K.</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24" w:lineRule="exact"/>
        <w:rPr>
          <w:sz w:val="20"/>
          <w:szCs w:val="20"/>
          <w:color w:val="auto"/>
        </w:rPr>
      </w:pPr>
    </w:p>
    <w:p>
      <w:pPr>
        <w:ind w:right="180" w:firstLine="470"/>
        <w:spacing w:after="0" w:line="263" w:lineRule="auto"/>
        <w:rPr>
          <w:sz w:val="20"/>
          <w:szCs w:val="20"/>
          <w:color w:val="auto"/>
        </w:rPr>
      </w:pPr>
      <w:r>
        <w:rPr>
          <w:rFonts w:ascii="Arial" w:cs="Arial" w:eastAsia="Arial" w:hAnsi="Arial"/>
          <w:sz w:val="17"/>
          <w:szCs w:val="17"/>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8"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Our critical accounting policies are described under the heading “Management’s Discussion and Analysis of Financial Condition and Results of Operations—Critical Accounting Policies and Significant Judgments and Estimates” in the Form 10-K and the notes to the unaudited condensed consolidated financial statements appearing in this Quarterly Report on Form 10-Q. During the six months ended June 30, 2023, there were no material changes to our critical accounting policies from those discussed in the Form 10-K.</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4" w:lineRule="exact"/>
        <w:rPr>
          <w:sz w:val="20"/>
          <w:szCs w:val="20"/>
          <w:color w:val="auto"/>
        </w:rPr>
      </w:pPr>
    </w:p>
    <w:p>
      <w:pPr>
        <w:ind w:right="240" w:firstLine="470"/>
        <w:spacing w:after="0" w:line="272" w:lineRule="auto"/>
        <w:rPr>
          <w:sz w:val="20"/>
          <w:szCs w:val="20"/>
          <w:color w:val="auto"/>
        </w:rPr>
      </w:pPr>
      <w:r>
        <w:rPr>
          <w:rFonts w:ascii="Arial" w:cs="Arial" w:eastAsia="Arial" w:hAnsi="Arial"/>
          <w:sz w:val="17"/>
          <w:szCs w:val="17"/>
          <w:color w:val="auto"/>
        </w:rPr>
        <w:t xml:space="preserve">A description of recently adopted and issued accounting pronouncements that may potentially impact our financial position and results of operations is disclosed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to our condensed consolidated financial statements appearing elsewhere in this Quarterly Report on Form 10-Q.</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w:t>
      </w:r>
    </w:p>
    <w:p>
      <w:pPr>
        <w:spacing w:after="0" w:line="210" w:lineRule="exact"/>
        <w:rPr>
          <w:sz w:val="20"/>
          <w:szCs w:val="20"/>
          <w:color w:val="auto"/>
        </w:rPr>
      </w:pPr>
    </w:p>
    <w:p>
      <w:pPr>
        <w:ind w:firstLine="549"/>
        <w:spacing w:after="0" w:line="255" w:lineRule="auto"/>
        <w:rPr>
          <w:sz w:val="20"/>
          <w:szCs w:val="20"/>
          <w:color w:val="auto"/>
        </w:rPr>
      </w:pPr>
      <w:r>
        <w:rPr>
          <w:rFonts w:ascii="Arial" w:cs="Arial" w:eastAsia="Arial" w:hAnsi="Arial"/>
          <w:sz w:val="15"/>
          <w:szCs w:val="15"/>
          <w:color w:val="auto"/>
        </w:rPr>
        <w:t>As of June 30, 2023 and December 31, 2022 , the outstanding amounts related to our 2020 Credit Facility incur interest fees at variable interest rates and are affected by changes in the general level of market interest rates. However, there was zero outstanding balance on the 2020 Credit Facility as of June 30, 2023</w:t>
      </w:r>
    </w:p>
    <w:p>
      <w:pPr>
        <w:spacing w:after="0"/>
        <w:rPr>
          <w:sz w:val="20"/>
          <w:szCs w:val="20"/>
          <w:color w:val="auto"/>
        </w:rPr>
      </w:pPr>
      <w:r>
        <w:rPr>
          <w:rFonts w:ascii="Arial" w:cs="Arial" w:eastAsia="Arial" w:hAnsi="Arial"/>
          <w:sz w:val="17"/>
          <w:szCs w:val="17"/>
          <w:color w:val="auto"/>
        </w:rPr>
        <w:t>and December 31, 2022.</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18" w:lineRule="exact"/>
        <w:rPr>
          <w:sz w:val="20"/>
          <w:szCs w:val="20"/>
          <w:color w:val="auto"/>
        </w:rPr>
      </w:pPr>
    </w:p>
    <w:p>
      <w:pPr>
        <w:ind w:right="260" w:firstLine="470"/>
        <w:spacing w:after="0" w:line="272" w:lineRule="auto"/>
        <w:rPr>
          <w:sz w:val="20"/>
          <w:szCs w:val="20"/>
          <w:color w:val="auto"/>
        </w:rPr>
      </w:pPr>
      <w:r>
        <w:rPr>
          <w:rFonts w:ascii="Arial" w:cs="Arial" w:eastAsia="Arial" w:hAnsi="Arial"/>
          <w:sz w:val="17"/>
          <w:szCs w:val="17"/>
          <w:color w:val="auto"/>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caused by foreign exchange rate 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condensed consolidated statements of operations appearing elsewhere in this Quarterly Report on Form 10-Q.</w:t>
      </w:r>
    </w:p>
    <w:p>
      <w:pPr>
        <w:spacing w:after="0" w:line="179" w:lineRule="exact"/>
        <w:rPr>
          <w:sz w:val="20"/>
          <w:szCs w:val="20"/>
          <w:color w:val="auto"/>
        </w:rPr>
      </w:pPr>
    </w:p>
    <w:p>
      <w:pPr>
        <w:ind w:right="240" w:firstLine="470"/>
        <w:spacing w:after="0" w:line="297" w:lineRule="auto"/>
        <w:rPr>
          <w:sz w:val="20"/>
          <w:szCs w:val="20"/>
          <w:color w:val="auto"/>
        </w:rPr>
      </w:pPr>
      <w:r>
        <w:rPr>
          <w:rFonts w:ascii="Arial" w:cs="Arial" w:eastAsia="Arial" w:hAnsi="Arial"/>
          <w:sz w:val="16"/>
          <w:szCs w:val="16"/>
          <w:color w:val="auto"/>
        </w:rPr>
        <w:t>The total notional values of our forward exchange contracts were $113.0 million and $97.4 million as of June 30, 2023 and December 31, 2022, respectively. The derivatives on the forward exchange contracts resulted in an unrealized gain of $2.2 million for the six months ended June 30, 2023, and we estimate that a 10% strengthening or weakening of the U.S. dollar would have resulted in an approximately $5.6 million gain or loss.</w:t>
      </w:r>
    </w:p>
    <w:p>
      <w:pPr>
        <w:spacing w:after="0" w:line="153" w:lineRule="exact"/>
        <w:rPr>
          <w:sz w:val="20"/>
          <w:szCs w:val="20"/>
          <w:color w:val="auto"/>
        </w:rPr>
      </w:pPr>
    </w:p>
    <w:p>
      <w:pPr>
        <w:ind w:right="140" w:firstLine="470"/>
        <w:spacing w:after="0" w:line="324" w:lineRule="auto"/>
        <w:rPr>
          <w:sz w:val="20"/>
          <w:szCs w:val="20"/>
          <w:color w:val="auto"/>
        </w:rPr>
      </w:pPr>
      <w:r>
        <w:rPr>
          <w:rFonts w:ascii="Arial" w:cs="Arial" w:eastAsia="Arial" w:hAnsi="Arial"/>
          <w:sz w:val="15"/>
          <w:szCs w:val="15"/>
          <w:color w:val="auto"/>
        </w:rPr>
        <w:t>A portion of our cash and cash equivalents are denominated in foreign currencies. As of June 30, 2023, a 1% change in the value of the U.S. dollar compared to foreign currencies would have caused our cash and cash equivalents to decrease or increase by $0.1 million. As of December 31, 2022, a 1% change in the value of the U.S. dollar compared to foreign currencies would have caused our cash and cash equivalents to decrease or increase by $0.1 million.</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Risk</w:t>
      </w:r>
    </w:p>
    <w:p>
      <w:pPr>
        <w:spacing w:after="0" w:line="118" w:lineRule="exact"/>
        <w:rPr>
          <w:sz w:val="20"/>
          <w:szCs w:val="20"/>
          <w:color w:val="auto"/>
        </w:rPr>
      </w:pPr>
    </w:p>
    <w:p>
      <w:pPr>
        <w:ind w:right="100" w:firstLine="470"/>
        <w:spacing w:after="0" w:line="263" w:lineRule="auto"/>
        <w:rPr>
          <w:sz w:val="20"/>
          <w:szCs w:val="20"/>
          <w:color w:val="auto"/>
        </w:rPr>
      </w:pPr>
      <w:r>
        <w:rPr>
          <w:rFonts w:ascii="Arial" w:cs="Arial" w:eastAsia="Arial" w:hAnsi="Arial"/>
          <w:sz w:val="17"/>
          <w:szCs w:val="17"/>
          <w:color w:val="auto"/>
        </w:rPr>
        <w:t>Inflation generally affects us by increasing our cost of transportation, labor and manufacturing costs. We have seen significant inflation on transportation costs compared to 2020 levels caused by COVID-19 related global supply chain disruptions and more general inflation effects, which put pressure on our costs and margins related to economic and geopolitical instability. More specifically, we source a large amount of our finished goods from international countries, which exposes us to international supply chain inflation, particularly ocean freight. In the six months ended June 30, 2023, we have experienced a reduction in transportation rates from their recent peaks, but general inflationary pressures continue to increase the other elements of our cost of goods and operating expenses.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118" w:lineRule="exact"/>
        <w:rPr>
          <w:sz w:val="20"/>
          <w:szCs w:val="20"/>
          <w:color w:val="auto"/>
        </w:rPr>
      </w:pPr>
    </w:p>
    <w:p>
      <w:pPr>
        <w:ind w:right="40" w:firstLine="470"/>
        <w:spacing w:after="0" w:line="288" w:lineRule="auto"/>
        <w:rPr>
          <w:sz w:val="20"/>
          <w:szCs w:val="20"/>
          <w:color w:val="auto"/>
        </w:rPr>
      </w:pPr>
      <w:r>
        <w:rPr>
          <w:rFonts w:ascii="Arial" w:cs="Arial" w:eastAsia="Arial" w:hAnsi="Arial"/>
          <w:sz w:val="16"/>
          <w:szCs w:val="16"/>
          <w:color w:val="auto"/>
        </w:rPr>
        <w:t>We are exposed to concentration of credit risk from our major customers. In the six months ended June 30, 2023, sales to two customers represented approximately 53%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significant additional charges.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124" w:lineRule="exact"/>
        <w:rPr>
          <w:sz w:val="20"/>
          <w:szCs w:val="20"/>
          <w:color w:val="auto"/>
        </w:rPr>
      </w:pPr>
    </w:p>
    <w:p>
      <w:pPr>
        <w:ind w:right="400" w:firstLine="470"/>
        <w:spacing w:after="0" w:line="267" w:lineRule="auto"/>
        <w:rPr>
          <w:sz w:val="20"/>
          <w:szCs w:val="20"/>
          <w:color w:val="auto"/>
        </w:rPr>
      </w:pPr>
      <w:r>
        <w:rPr>
          <w:rFonts w:ascii="Arial" w:cs="Arial" w:eastAsia="Arial" w:hAnsi="Arial"/>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4"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June 30, 2023, our disclosure controls and procedures were effective at the reasonable assurance level.</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4" w:lineRule="exact"/>
        <w:rPr>
          <w:sz w:val="20"/>
          <w:szCs w:val="20"/>
          <w:color w:val="auto"/>
        </w:rPr>
      </w:pPr>
    </w:p>
    <w:p>
      <w:pPr>
        <w:ind w:right="220" w:firstLine="470"/>
        <w:spacing w:after="0" w:line="321"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II—OTHER INFORMATION</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24" w:lineRule="exact"/>
        <w:rPr>
          <w:sz w:val="20"/>
          <w:szCs w:val="20"/>
          <w:color w:val="auto"/>
        </w:rPr>
      </w:pPr>
    </w:p>
    <w:p>
      <w:pPr>
        <w:ind w:right="380" w:firstLine="470"/>
        <w:spacing w:after="0" w:line="288" w:lineRule="auto"/>
        <w:rPr>
          <w:sz w:val="20"/>
          <w:szCs w:val="20"/>
          <w:color w:val="auto"/>
        </w:rPr>
      </w:pPr>
      <w:r>
        <w:rPr>
          <w:rFonts w:ascii="Arial" w:cs="Arial" w:eastAsia="Arial" w:hAnsi="Arial"/>
          <w:sz w:val="17"/>
          <w:szCs w:val="17"/>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4" w:lineRule="exact"/>
        <w:rPr>
          <w:sz w:val="20"/>
          <w:szCs w:val="20"/>
          <w:color w:val="auto"/>
        </w:rPr>
      </w:pPr>
    </w:p>
    <w:p>
      <w:pPr>
        <w:jc w:val="both"/>
        <w:ind w:right="120" w:firstLine="470"/>
        <w:spacing w:after="0" w:line="272" w:lineRule="auto"/>
        <w:rPr>
          <w:sz w:val="20"/>
          <w:szCs w:val="20"/>
          <w:color w:val="auto"/>
        </w:rPr>
      </w:pPr>
      <w:r>
        <w:rPr>
          <w:rFonts w:ascii="Arial" w:cs="Arial" w:eastAsia="Arial" w:hAnsi="Arial"/>
          <w:sz w:val="17"/>
          <w:szCs w:val="17"/>
          <w:color w:val="auto"/>
        </w:rPr>
        <w:t>Please refer to Part I, Item 1A. Risk Factors in our Annual Report on Form 10-K for the fiscal year ended December 31, 2022 for a description of certain significant risks and uncertainties to which our business, financial condition and results of operations are subject. There have been no material changes to these risk factors as of June 30, 2023.</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Rule 10b5-1 Trading Plans</w:t>
      </w:r>
    </w:p>
    <w:p>
      <w:pPr>
        <w:spacing w:after="0" w:line="340" w:lineRule="exact"/>
        <w:rPr>
          <w:sz w:val="20"/>
          <w:szCs w:val="20"/>
          <w:color w:val="auto"/>
        </w:rPr>
      </w:pPr>
    </w:p>
    <w:p>
      <w:pPr>
        <w:ind w:right="260" w:firstLine="470"/>
        <w:spacing w:after="0" w:line="278" w:lineRule="auto"/>
        <w:rPr>
          <w:sz w:val="20"/>
          <w:szCs w:val="20"/>
          <w:color w:val="auto"/>
        </w:rPr>
      </w:pPr>
      <w:r>
        <w:rPr>
          <w:rFonts w:ascii="Arial" w:cs="Arial" w:eastAsia="Arial" w:hAnsi="Arial"/>
          <w:sz w:val="16"/>
          <w:szCs w:val="16"/>
          <w:color w:val="auto"/>
        </w:rPr>
        <w:t>In accordance with the disclosure requirements set forth in Item 408(a) of Regulation S-K, the following table discloses any officer (as defined in Rule 16a-1(f) under the Exchange Act), director, or entity controlled by such officer or director who adopted a contract, instruction, or written plan for the sale of securities of the Company intended to satisfy the affirmative defense of Rule 10b5-1(c) during the quarterly period ended June 30, 2023:</w:t>
      </w:r>
    </w:p>
    <w:tbl>
      <w:tblPr>
        <w:tblLayout w:type="fixed"/>
        <w:tblInd w:w="0" w:type="dxa"/>
        <w:tblCellMar>
          <w:top w:w="0" w:type="dxa"/>
          <w:left w:w="0" w:type="dxa"/>
          <w:bottom w:w="0" w:type="dxa"/>
          <w:right w:w="0" w:type="dxa"/>
        </w:tblCellMar>
      </w:tblPr>
      <w:tr>
        <w:trPr>
          <w:trHeight w:val="170"/>
        </w:trPr>
        <w:tc>
          <w:tcPr>
            <w:tcW w:w="2020" w:type="dxa"/>
            <w:vAlign w:val="bottom"/>
            <w:vMerge w:val="restart"/>
            <w:shd w:val="clear" w:color="auto" w:fill="CCEEFF"/>
          </w:tcPr>
          <w:p>
            <w:pPr>
              <w:ind w:left="860"/>
              <w:spacing w:after="0"/>
              <w:rPr>
                <w:sz w:val="20"/>
                <w:szCs w:val="20"/>
                <w:color w:val="auto"/>
              </w:rPr>
            </w:pPr>
            <w:r>
              <w:rPr>
                <w:rFonts w:ascii="Arial" w:cs="Arial" w:eastAsia="Arial" w:hAnsi="Arial"/>
                <w:sz w:val="17"/>
                <w:szCs w:val="17"/>
                <w:b w:val="1"/>
                <w:bCs w:val="1"/>
                <w:color w:val="auto"/>
              </w:rPr>
              <w:t>Name</w:t>
            </w:r>
          </w:p>
        </w:tc>
        <w:tc>
          <w:tcPr>
            <w:tcW w:w="2060" w:type="dxa"/>
            <w:vAlign w:val="bottom"/>
            <w:vMerge w:val="restart"/>
            <w:shd w:val="clear" w:color="auto" w:fill="CCEEFF"/>
          </w:tcPr>
          <w:p>
            <w:pPr>
              <w:ind w:left="860"/>
              <w:spacing w:after="0"/>
              <w:rPr>
                <w:sz w:val="20"/>
                <w:szCs w:val="20"/>
                <w:color w:val="auto"/>
              </w:rPr>
            </w:pPr>
            <w:r>
              <w:rPr>
                <w:rFonts w:ascii="Arial" w:cs="Arial" w:eastAsia="Arial" w:hAnsi="Arial"/>
                <w:sz w:val="17"/>
                <w:szCs w:val="17"/>
                <w:b w:val="1"/>
                <w:bCs w:val="1"/>
                <w:color w:val="auto"/>
              </w:rPr>
              <w:t>Title</w:t>
            </w: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93"/>
              </w:rPr>
              <w:t>Action Taken</w:t>
            </w:r>
          </w:p>
        </w:tc>
        <w:tc>
          <w:tcPr>
            <w:tcW w:w="1580" w:type="dxa"/>
            <w:vAlign w:val="bottom"/>
            <w:vMerge w:val="restart"/>
            <w:shd w:val="clear" w:color="auto" w:fill="CCEEFF"/>
          </w:tcPr>
          <w:p>
            <w:pPr>
              <w:jc w:val="center"/>
              <w:ind w:left="153"/>
              <w:spacing w:after="0"/>
              <w:rPr>
                <w:sz w:val="20"/>
                <w:szCs w:val="20"/>
                <w:color w:val="auto"/>
              </w:rPr>
            </w:pPr>
            <w:r>
              <w:rPr>
                <w:rFonts w:ascii="Arial" w:cs="Arial" w:eastAsia="Arial" w:hAnsi="Arial"/>
                <w:sz w:val="17"/>
                <w:szCs w:val="17"/>
                <w:b w:val="1"/>
                <w:bCs w:val="1"/>
                <w:color w:val="auto"/>
                <w:w w:val="91"/>
              </w:rPr>
              <w:t>Date of Action</w:t>
            </w:r>
          </w:p>
        </w:tc>
        <w:tc>
          <w:tcPr>
            <w:tcW w:w="1720" w:type="dxa"/>
            <w:vAlign w:val="bottom"/>
            <w:shd w:val="clear" w:color="auto" w:fill="CCEEFF"/>
          </w:tcPr>
          <w:p>
            <w:pPr>
              <w:jc w:val="center"/>
              <w:spacing w:after="0" w:line="170" w:lineRule="exact"/>
              <w:rPr>
                <w:sz w:val="20"/>
                <w:szCs w:val="20"/>
                <w:color w:val="auto"/>
              </w:rPr>
            </w:pPr>
            <w:r>
              <w:rPr>
                <w:rFonts w:ascii="Arial" w:cs="Arial" w:eastAsia="Arial" w:hAnsi="Arial"/>
                <w:sz w:val="17"/>
                <w:szCs w:val="17"/>
                <w:b w:val="1"/>
                <w:bCs w:val="1"/>
                <w:color w:val="auto"/>
                <w:w w:val="95"/>
              </w:rPr>
              <w:t>Duration of Trading</w:t>
            </w:r>
          </w:p>
        </w:tc>
        <w:tc>
          <w:tcPr>
            <w:tcW w:w="2560" w:type="dxa"/>
            <w:vAlign w:val="bottom"/>
            <w:shd w:val="clear" w:color="auto" w:fill="CCEEFF"/>
          </w:tcPr>
          <w:p>
            <w:pPr>
              <w:jc w:val="center"/>
              <w:spacing w:after="0" w:line="170" w:lineRule="exact"/>
              <w:rPr>
                <w:sz w:val="20"/>
                <w:szCs w:val="20"/>
                <w:color w:val="auto"/>
              </w:rPr>
            </w:pPr>
            <w:r>
              <w:rPr>
                <w:rFonts w:ascii="Arial" w:cs="Arial" w:eastAsia="Arial" w:hAnsi="Arial"/>
                <w:sz w:val="17"/>
                <w:szCs w:val="17"/>
                <w:b w:val="1"/>
                <w:bCs w:val="1"/>
                <w:color w:val="auto"/>
                <w:w w:val="91"/>
              </w:rPr>
              <w:t>Aggregate Number of Securities</w:t>
            </w:r>
          </w:p>
        </w:tc>
        <w:tc>
          <w:tcPr>
            <w:tcW w:w="0" w:type="dxa"/>
            <w:vAlign w:val="bottom"/>
          </w:tcPr>
          <w:p>
            <w:pPr>
              <w:spacing w:after="0"/>
              <w:rPr>
                <w:sz w:val="1"/>
                <w:szCs w:val="1"/>
                <w:color w:val="auto"/>
              </w:rPr>
            </w:pPr>
          </w:p>
        </w:tc>
      </w:tr>
      <w:tr>
        <w:trPr>
          <w:trHeight w:val="222"/>
        </w:trPr>
        <w:tc>
          <w:tcPr>
            <w:tcW w:w="2020" w:type="dxa"/>
            <w:vAlign w:val="bottom"/>
            <w:vMerge w:val="continue"/>
            <w:shd w:val="clear" w:color="auto" w:fill="CCEEFF"/>
          </w:tcPr>
          <w:p>
            <w:pPr>
              <w:spacing w:after="0"/>
              <w:rPr>
                <w:sz w:val="19"/>
                <w:szCs w:val="19"/>
                <w:color w:val="auto"/>
              </w:rPr>
            </w:pPr>
          </w:p>
        </w:tc>
        <w:tc>
          <w:tcPr>
            <w:tcW w:w="206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4"/>
              </w:rPr>
              <w:t>Arrangement</w:t>
            </w:r>
          </w:p>
        </w:tc>
        <w:tc>
          <w:tcPr>
            <w:tcW w:w="25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to be Sold</w:t>
            </w:r>
          </w:p>
        </w:tc>
        <w:tc>
          <w:tcPr>
            <w:tcW w:w="0" w:type="dxa"/>
            <w:vAlign w:val="bottom"/>
          </w:tcPr>
          <w:p>
            <w:pPr>
              <w:spacing w:after="0"/>
              <w:rPr>
                <w:sz w:val="1"/>
                <w:szCs w:val="1"/>
                <w:color w:val="auto"/>
              </w:rPr>
            </w:pPr>
          </w:p>
        </w:tc>
      </w:tr>
      <w:tr>
        <w:trPr>
          <w:trHeight w:val="184"/>
        </w:trPr>
        <w:tc>
          <w:tcPr>
            <w:tcW w:w="2020" w:type="dxa"/>
            <w:vAlign w:val="bottom"/>
          </w:tcPr>
          <w:p>
            <w:pPr>
              <w:ind w:left="20"/>
              <w:spacing w:after="0" w:line="184" w:lineRule="exact"/>
              <w:rPr>
                <w:sz w:val="20"/>
                <w:szCs w:val="20"/>
                <w:color w:val="auto"/>
              </w:rPr>
            </w:pPr>
            <w:r>
              <w:rPr>
                <w:rFonts w:ascii="Arial" w:cs="Arial" w:eastAsia="Arial" w:hAnsi="Arial"/>
                <w:sz w:val="17"/>
                <w:szCs w:val="17"/>
                <w:color w:val="auto"/>
              </w:rPr>
              <w:t>The Michael Kirban</w:t>
            </w:r>
          </w:p>
        </w:tc>
        <w:tc>
          <w:tcPr>
            <w:tcW w:w="2060" w:type="dxa"/>
            <w:vAlign w:val="bottom"/>
          </w:tcPr>
          <w:p>
            <w:pPr>
              <w:ind w:left="120"/>
              <w:spacing w:after="0" w:line="184" w:lineRule="exact"/>
              <w:rPr>
                <w:sz w:val="20"/>
                <w:szCs w:val="20"/>
                <w:color w:val="auto"/>
              </w:rPr>
            </w:pPr>
            <w:r>
              <w:rPr>
                <w:rFonts w:ascii="Arial" w:cs="Arial" w:eastAsia="Arial" w:hAnsi="Arial"/>
                <w:sz w:val="17"/>
                <w:szCs w:val="17"/>
                <w:i w:val="1"/>
                <w:iCs w:val="1"/>
                <w:color w:val="auto"/>
              </w:rPr>
              <w:t>A trust controlled by</w:t>
            </w:r>
          </w:p>
        </w:tc>
        <w:tc>
          <w:tcPr>
            <w:tcW w:w="1300" w:type="dxa"/>
            <w:vAlign w:val="bottom"/>
          </w:tcPr>
          <w:p>
            <w:pPr>
              <w:jc w:val="center"/>
              <w:spacing w:after="0" w:line="184" w:lineRule="exact"/>
              <w:rPr>
                <w:sz w:val="20"/>
                <w:szCs w:val="20"/>
                <w:color w:val="auto"/>
              </w:rPr>
            </w:pPr>
            <w:r>
              <w:rPr>
                <w:rFonts w:ascii="Arial" w:cs="Arial" w:eastAsia="Arial" w:hAnsi="Arial"/>
                <w:sz w:val="17"/>
                <w:szCs w:val="17"/>
                <w:color w:val="auto"/>
                <w:w w:val="98"/>
              </w:rPr>
              <w:t>Adoption</w:t>
            </w:r>
          </w:p>
        </w:tc>
        <w:tc>
          <w:tcPr>
            <w:tcW w:w="1580" w:type="dxa"/>
            <w:vAlign w:val="bottom"/>
          </w:tcPr>
          <w:p>
            <w:pPr>
              <w:jc w:val="center"/>
              <w:ind w:left="153"/>
              <w:spacing w:after="0" w:line="184" w:lineRule="exact"/>
              <w:rPr>
                <w:sz w:val="20"/>
                <w:szCs w:val="20"/>
                <w:color w:val="auto"/>
              </w:rPr>
            </w:pPr>
            <w:r>
              <w:rPr>
                <w:rFonts w:ascii="Arial" w:cs="Arial" w:eastAsia="Arial" w:hAnsi="Arial"/>
                <w:sz w:val="17"/>
                <w:szCs w:val="17"/>
                <w:color w:val="auto"/>
                <w:w w:val="90"/>
              </w:rPr>
              <w:t>June 15, 2023</w:t>
            </w:r>
          </w:p>
        </w:tc>
        <w:tc>
          <w:tcPr>
            <w:tcW w:w="1720" w:type="dxa"/>
            <w:vAlign w:val="bottom"/>
          </w:tcPr>
          <w:p>
            <w:pPr>
              <w:jc w:val="center"/>
              <w:spacing w:after="0" w:line="184" w:lineRule="exact"/>
              <w:rPr>
                <w:sz w:val="20"/>
                <w:szCs w:val="20"/>
                <w:color w:val="auto"/>
              </w:rPr>
            </w:pPr>
            <w:r>
              <w:rPr>
                <w:rFonts w:ascii="Arial" w:cs="Arial" w:eastAsia="Arial" w:hAnsi="Arial"/>
                <w:sz w:val="17"/>
                <w:szCs w:val="17"/>
                <w:color w:val="auto"/>
                <w:w w:val="90"/>
              </w:rPr>
              <w:t>September 14, 2023</w:t>
            </w:r>
          </w:p>
        </w:tc>
        <w:tc>
          <w:tcPr>
            <w:tcW w:w="2560" w:type="dxa"/>
            <w:vAlign w:val="bottom"/>
          </w:tcPr>
          <w:p>
            <w:pPr>
              <w:jc w:val="center"/>
              <w:spacing w:after="0" w:line="184" w:lineRule="exact"/>
              <w:rPr>
                <w:sz w:val="20"/>
                <w:szCs w:val="20"/>
                <w:color w:val="auto"/>
              </w:rPr>
            </w:pPr>
            <w:r>
              <w:rPr>
                <w:rFonts w:ascii="Arial" w:cs="Arial" w:eastAsia="Arial" w:hAnsi="Arial"/>
                <w:sz w:val="17"/>
                <w:szCs w:val="17"/>
                <w:color w:val="auto"/>
                <w:w w:val="93"/>
              </w:rPr>
              <w:t>Up to 240,000 shares of common</w:t>
            </w:r>
          </w:p>
        </w:tc>
        <w:tc>
          <w:tcPr>
            <w:tcW w:w="0" w:type="dxa"/>
            <w:vAlign w:val="bottom"/>
          </w:tcPr>
          <w:p>
            <w:pPr>
              <w:spacing w:after="0"/>
              <w:rPr>
                <w:sz w:val="1"/>
                <w:szCs w:val="1"/>
                <w:color w:val="auto"/>
              </w:rPr>
            </w:pPr>
          </w:p>
        </w:tc>
      </w:tr>
      <w:tr>
        <w:trPr>
          <w:trHeight w:val="182"/>
        </w:trPr>
        <w:tc>
          <w:tcPr>
            <w:tcW w:w="2020" w:type="dxa"/>
            <w:vAlign w:val="bottom"/>
          </w:tcPr>
          <w:p>
            <w:pPr>
              <w:ind w:left="20"/>
              <w:spacing w:after="0" w:line="182" w:lineRule="exact"/>
              <w:rPr>
                <w:sz w:val="20"/>
                <w:szCs w:val="20"/>
                <w:color w:val="auto"/>
              </w:rPr>
            </w:pPr>
            <w:r>
              <w:rPr>
                <w:rFonts w:ascii="Arial" w:cs="Arial" w:eastAsia="Arial" w:hAnsi="Arial"/>
                <w:sz w:val="17"/>
                <w:szCs w:val="17"/>
                <w:color w:val="auto"/>
              </w:rPr>
              <w:t>Revocable Trust</w:t>
            </w:r>
          </w:p>
        </w:tc>
        <w:tc>
          <w:tcPr>
            <w:tcW w:w="2060" w:type="dxa"/>
            <w:vAlign w:val="bottom"/>
          </w:tcPr>
          <w:p>
            <w:pPr>
              <w:ind w:left="120"/>
              <w:spacing w:after="0" w:line="182" w:lineRule="exact"/>
              <w:rPr>
                <w:sz w:val="20"/>
                <w:szCs w:val="20"/>
                <w:color w:val="auto"/>
              </w:rPr>
            </w:pPr>
            <w:r>
              <w:rPr>
                <w:rFonts w:ascii="Arial" w:cs="Arial" w:eastAsia="Arial" w:hAnsi="Arial"/>
                <w:sz w:val="17"/>
                <w:szCs w:val="17"/>
                <w:i w:val="1"/>
                <w:iCs w:val="1"/>
                <w:color w:val="auto"/>
              </w:rPr>
              <w:t>Michael Kirban (Co-</w:t>
            </w:r>
          </w:p>
        </w:tc>
        <w:tc>
          <w:tcPr>
            <w:tcW w:w="1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20" w:type="dxa"/>
            <w:vAlign w:val="bottom"/>
          </w:tcPr>
          <w:p>
            <w:pPr>
              <w:jc w:val="center"/>
              <w:spacing w:after="0" w:line="182" w:lineRule="exact"/>
              <w:rPr>
                <w:sz w:val="20"/>
                <w:szCs w:val="20"/>
                <w:color w:val="auto"/>
              </w:rPr>
            </w:pPr>
            <w:r>
              <w:rPr>
                <w:rFonts w:ascii="Arial" w:cs="Arial" w:eastAsia="Arial" w:hAnsi="Arial"/>
                <w:sz w:val="17"/>
                <w:szCs w:val="17"/>
                <w:color w:val="auto"/>
                <w:w w:val="90"/>
              </w:rPr>
              <w:t>to September 13,</w:t>
            </w:r>
          </w:p>
        </w:tc>
        <w:tc>
          <w:tcPr>
            <w:tcW w:w="2560" w:type="dxa"/>
            <w:vAlign w:val="bottom"/>
          </w:tcPr>
          <w:p>
            <w:pPr>
              <w:jc w:val="center"/>
              <w:spacing w:after="0" w:line="182" w:lineRule="exact"/>
              <w:rPr>
                <w:sz w:val="20"/>
                <w:szCs w:val="20"/>
                <w:color w:val="auto"/>
              </w:rPr>
            </w:pPr>
            <w:r>
              <w:rPr>
                <w:rFonts w:ascii="Arial" w:cs="Arial" w:eastAsia="Arial" w:hAnsi="Arial"/>
                <w:sz w:val="17"/>
                <w:szCs w:val="17"/>
                <w:color w:val="auto"/>
                <w:w w:val="95"/>
              </w:rPr>
              <w:t>stock</w:t>
            </w: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2060" w:type="dxa"/>
            <w:vAlign w:val="bottom"/>
          </w:tcPr>
          <w:p>
            <w:pPr>
              <w:ind w:left="120"/>
              <w:spacing w:after="0" w:line="172" w:lineRule="exact"/>
              <w:rPr>
                <w:sz w:val="20"/>
                <w:szCs w:val="20"/>
                <w:color w:val="auto"/>
              </w:rPr>
            </w:pPr>
            <w:r>
              <w:rPr>
                <w:rFonts w:ascii="Arial" w:cs="Arial" w:eastAsia="Arial" w:hAnsi="Arial"/>
                <w:sz w:val="17"/>
                <w:szCs w:val="17"/>
                <w:i w:val="1"/>
                <w:iCs w:val="1"/>
                <w:color w:val="auto"/>
              </w:rPr>
              <w:t>Founder, Executive</w:t>
            </w: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20" w:type="dxa"/>
            <w:vAlign w:val="bottom"/>
          </w:tcPr>
          <w:p>
            <w:pPr>
              <w:jc w:val="center"/>
              <w:spacing w:after="0" w:line="172" w:lineRule="exact"/>
              <w:rPr>
                <w:sz w:val="20"/>
                <w:szCs w:val="20"/>
                <w:color w:val="auto"/>
              </w:rPr>
            </w:pPr>
            <w:r>
              <w:rPr>
                <w:rFonts w:ascii="Arial" w:cs="Arial" w:eastAsia="Arial" w:hAnsi="Arial"/>
                <w:sz w:val="17"/>
                <w:szCs w:val="17"/>
                <w:color w:val="auto"/>
                <w:w w:val="95"/>
              </w:rPr>
              <w:t>2024</w:t>
            </w: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2060" w:type="dxa"/>
            <w:vAlign w:val="bottom"/>
          </w:tcPr>
          <w:p>
            <w:pPr>
              <w:ind w:left="120"/>
              <w:spacing w:after="0" w:line="169" w:lineRule="exact"/>
              <w:rPr>
                <w:sz w:val="20"/>
                <w:szCs w:val="20"/>
                <w:color w:val="auto"/>
              </w:rPr>
            </w:pPr>
            <w:r>
              <w:rPr>
                <w:rFonts w:ascii="Arial" w:cs="Arial" w:eastAsia="Arial" w:hAnsi="Arial"/>
                <w:sz w:val="17"/>
                <w:szCs w:val="17"/>
                <w:i w:val="1"/>
                <w:iCs w:val="1"/>
                <w:color w:val="auto"/>
              </w:rPr>
              <w:t>Chairman and Chairman</w:t>
            </w: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20" w:type="dxa"/>
            <w:vAlign w:val="bottom"/>
          </w:tcPr>
          <w:p>
            <w:pPr>
              <w:spacing w:after="0"/>
              <w:rPr>
                <w:sz w:val="19"/>
                <w:szCs w:val="19"/>
                <w:color w:val="auto"/>
              </w:rPr>
            </w:pPr>
          </w:p>
        </w:tc>
        <w:tc>
          <w:tcPr>
            <w:tcW w:w="2060" w:type="dxa"/>
            <w:vAlign w:val="bottom"/>
          </w:tcPr>
          <w:p>
            <w:pPr>
              <w:ind w:left="120"/>
              <w:spacing w:after="0"/>
              <w:rPr>
                <w:sz w:val="20"/>
                <w:szCs w:val="20"/>
                <w:color w:val="auto"/>
              </w:rPr>
            </w:pPr>
            <w:r>
              <w:rPr>
                <w:rFonts w:ascii="Arial" w:cs="Arial" w:eastAsia="Arial" w:hAnsi="Arial"/>
                <w:sz w:val="17"/>
                <w:szCs w:val="17"/>
                <w:i w:val="1"/>
                <w:iCs w:val="1"/>
                <w:color w:val="auto"/>
              </w:rPr>
              <w:t>of the Board)</w:t>
            </w:r>
          </w:p>
        </w:tc>
        <w:tc>
          <w:tcPr>
            <w:tcW w:w="1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Ira Liran</w:t>
            </w:r>
          </w:p>
        </w:tc>
        <w:tc>
          <w:tcPr>
            <w:tcW w:w="2060" w:type="dxa"/>
            <w:vAlign w:val="bottom"/>
            <w:shd w:val="clear" w:color="auto" w:fill="CCEEFF"/>
          </w:tcPr>
          <w:p>
            <w:pPr>
              <w:ind w:left="120"/>
              <w:spacing w:after="0"/>
              <w:rPr>
                <w:sz w:val="20"/>
                <w:szCs w:val="20"/>
                <w:color w:val="auto"/>
              </w:rPr>
            </w:pPr>
            <w:r>
              <w:rPr>
                <w:rFonts w:ascii="Arial" w:cs="Arial" w:eastAsia="Arial" w:hAnsi="Arial"/>
                <w:sz w:val="17"/>
                <w:szCs w:val="17"/>
                <w:i w:val="1"/>
                <w:iCs w:val="1"/>
                <w:color w:val="auto"/>
              </w:rPr>
              <w:t>Director</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Adoption</w:t>
            </w:r>
          </w:p>
        </w:tc>
        <w:tc>
          <w:tcPr>
            <w:tcW w:w="1580" w:type="dxa"/>
            <w:vAlign w:val="bottom"/>
            <w:shd w:val="clear" w:color="auto" w:fill="CCEEFF"/>
          </w:tcPr>
          <w:p>
            <w:pPr>
              <w:jc w:val="center"/>
              <w:ind w:left="153"/>
              <w:spacing w:after="0"/>
              <w:rPr>
                <w:sz w:val="20"/>
                <w:szCs w:val="20"/>
                <w:color w:val="auto"/>
              </w:rPr>
            </w:pPr>
            <w:r>
              <w:rPr>
                <w:rFonts w:ascii="Arial" w:cs="Arial" w:eastAsia="Arial" w:hAnsi="Arial"/>
                <w:sz w:val="17"/>
                <w:szCs w:val="17"/>
                <w:color w:val="auto"/>
                <w:w w:val="90"/>
              </w:rPr>
              <w:t>June 15, 2023</w:t>
            </w: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September 14, 2023</w:t>
            </w:r>
          </w:p>
        </w:tc>
        <w:tc>
          <w:tcPr>
            <w:tcW w:w="2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Up to 76,000 shares of common</w:t>
            </w:r>
          </w:p>
        </w:tc>
        <w:tc>
          <w:tcPr>
            <w:tcW w:w="0" w:type="dxa"/>
            <w:vAlign w:val="bottom"/>
          </w:tcPr>
          <w:p>
            <w:pPr>
              <w:spacing w:after="0"/>
              <w:rPr>
                <w:sz w:val="1"/>
                <w:szCs w:val="1"/>
                <w:color w:val="auto"/>
              </w:rPr>
            </w:pPr>
          </w:p>
        </w:tc>
      </w:tr>
      <w:tr>
        <w:trPr>
          <w:trHeight w:val="196"/>
        </w:trPr>
        <w:tc>
          <w:tcPr>
            <w:tcW w:w="20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to September 13,</w:t>
            </w:r>
          </w:p>
        </w:tc>
        <w:tc>
          <w:tcPr>
            <w:tcW w:w="2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stock</w:t>
            </w:r>
          </w:p>
        </w:tc>
        <w:tc>
          <w:tcPr>
            <w:tcW w:w="0" w:type="dxa"/>
            <w:vAlign w:val="bottom"/>
          </w:tcPr>
          <w:p>
            <w:pPr>
              <w:spacing w:after="0"/>
              <w:rPr>
                <w:sz w:val="1"/>
                <w:szCs w:val="1"/>
                <w:color w:val="auto"/>
              </w:rPr>
            </w:pPr>
          </w:p>
        </w:tc>
      </w:tr>
      <w:tr>
        <w:trPr>
          <w:trHeight w:val="228"/>
        </w:trPr>
        <w:tc>
          <w:tcPr>
            <w:tcW w:w="20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2024</w:t>
            </w:r>
          </w:p>
        </w:tc>
        <w:tc>
          <w:tcPr>
            <w:tcW w:w="2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20" w:type="dxa"/>
            <w:vAlign w:val="bottom"/>
          </w:tcPr>
          <w:p>
            <w:pPr>
              <w:ind w:left="20"/>
              <w:spacing w:after="0" w:line="171" w:lineRule="exact"/>
              <w:rPr>
                <w:sz w:val="20"/>
                <w:szCs w:val="20"/>
                <w:color w:val="auto"/>
              </w:rPr>
            </w:pPr>
            <w:r>
              <w:rPr>
                <w:rFonts w:ascii="Arial" w:cs="Arial" w:eastAsia="Arial" w:hAnsi="Arial"/>
                <w:sz w:val="17"/>
                <w:szCs w:val="17"/>
                <w:color w:val="auto"/>
              </w:rPr>
              <w:t>The Ira Liran 2012 Family</w:t>
            </w:r>
          </w:p>
        </w:tc>
        <w:tc>
          <w:tcPr>
            <w:tcW w:w="2060" w:type="dxa"/>
            <w:vAlign w:val="bottom"/>
          </w:tcPr>
          <w:p>
            <w:pPr>
              <w:ind w:left="120"/>
              <w:spacing w:after="0" w:line="171" w:lineRule="exact"/>
              <w:rPr>
                <w:sz w:val="20"/>
                <w:szCs w:val="20"/>
                <w:color w:val="auto"/>
              </w:rPr>
            </w:pPr>
            <w:r>
              <w:rPr>
                <w:rFonts w:ascii="Arial" w:cs="Arial" w:eastAsia="Arial" w:hAnsi="Arial"/>
                <w:sz w:val="17"/>
                <w:szCs w:val="17"/>
                <w:i w:val="1"/>
                <w:iCs w:val="1"/>
                <w:color w:val="auto"/>
              </w:rPr>
              <w:t>A trust controlled by</w:t>
            </w:r>
          </w:p>
        </w:tc>
        <w:tc>
          <w:tcPr>
            <w:tcW w:w="1300" w:type="dxa"/>
            <w:vAlign w:val="bottom"/>
          </w:tcPr>
          <w:p>
            <w:pPr>
              <w:jc w:val="center"/>
              <w:spacing w:after="0" w:line="171" w:lineRule="exact"/>
              <w:rPr>
                <w:sz w:val="20"/>
                <w:szCs w:val="20"/>
                <w:color w:val="auto"/>
              </w:rPr>
            </w:pPr>
            <w:r>
              <w:rPr>
                <w:rFonts w:ascii="Arial" w:cs="Arial" w:eastAsia="Arial" w:hAnsi="Arial"/>
                <w:sz w:val="17"/>
                <w:szCs w:val="17"/>
                <w:color w:val="auto"/>
                <w:w w:val="98"/>
              </w:rPr>
              <w:t>Adoption</w:t>
            </w:r>
          </w:p>
        </w:tc>
        <w:tc>
          <w:tcPr>
            <w:tcW w:w="1580" w:type="dxa"/>
            <w:vAlign w:val="bottom"/>
          </w:tcPr>
          <w:p>
            <w:pPr>
              <w:jc w:val="center"/>
              <w:ind w:left="153"/>
              <w:spacing w:after="0" w:line="171" w:lineRule="exact"/>
              <w:rPr>
                <w:sz w:val="20"/>
                <w:szCs w:val="20"/>
                <w:color w:val="auto"/>
              </w:rPr>
            </w:pPr>
            <w:r>
              <w:rPr>
                <w:rFonts w:ascii="Arial" w:cs="Arial" w:eastAsia="Arial" w:hAnsi="Arial"/>
                <w:sz w:val="17"/>
                <w:szCs w:val="17"/>
                <w:color w:val="auto"/>
                <w:w w:val="90"/>
              </w:rPr>
              <w:t>June 15, 2023</w:t>
            </w:r>
          </w:p>
        </w:tc>
        <w:tc>
          <w:tcPr>
            <w:tcW w:w="1720" w:type="dxa"/>
            <w:vAlign w:val="bottom"/>
          </w:tcPr>
          <w:p>
            <w:pPr>
              <w:jc w:val="center"/>
              <w:spacing w:after="0" w:line="171" w:lineRule="exact"/>
              <w:rPr>
                <w:sz w:val="20"/>
                <w:szCs w:val="20"/>
                <w:color w:val="auto"/>
              </w:rPr>
            </w:pPr>
            <w:r>
              <w:rPr>
                <w:rFonts w:ascii="Arial" w:cs="Arial" w:eastAsia="Arial" w:hAnsi="Arial"/>
                <w:sz w:val="17"/>
                <w:szCs w:val="17"/>
                <w:color w:val="auto"/>
                <w:w w:val="90"/>
              </w:rPr>
              <w:t>September 14, 2023</w:t>
            </w:r>
          </w:p>
        </w:tc>
        <w:tc>
          <w:tcPr>
            <w:tcW w:w="2560" w:type="dxa"/>
            <w:vAlign w:val="bottom"/>
          </w:tcPr>
          <w:p>
            <w:pPr>
              <w:jc w:val="center"/>
              <w:spacing w:after="0" w:line="171" w:lineRule="exact"/>
              <w:rPr>
                <w:sz w:val="20"/>
                <w:szCs w:val="20"/>
                <w:color w:val="auto"/>
              </w:rPr>
            </w:pPr>
            <w:r>
              <w:rPr>
                <w:rFonts w:ascii="Arial" w:cs="Arial" w:eastAsia="Arial" w:hAnsi="Arial"/>
                <w:sz w:val="17"/>
                <w:szCs w:val="17"/>
                <w:color w:val="auto"/>
                <w:w w:val="93"/>
              </w:rPr>
              <w:t>Up to 268,000 shares of common</w:t>
            </w:r>
          </w:p>
        </w:tc>
        <w:tc>
          <w:tcPr>
            <w:tcW w:w="0" w:type="dxa"/>
            <w:vAlign w:val="bottom"/>
          </w:tcPr>
          <w:p>
            <w:pPr>
              <w:spacing w:after="0"/>
              <w:rPr>
                <w:sz w:val="1"/>
                <w:szCs w:val="1"/>
                <w:color w:val="auto"/>
              </w:rPr>
            </w:pPr>
          </w:p>
        </w:tc>
      </w:tr>
      <w:tr>
        <w:trPr>
          <w:trHeight w:val="222"/>
        </w:trPr>
        <w:tc>
          <w:tcPr>
            <w:tcW w:w="2020" w:type="dxa"/>
            <w:vAlign w:val="bottom"/>
          </w:tcPr>
          <w:p>
            <w:pPr>
              <w:ind w:left="20"/>
              <w:spacing w:after="0"/>
              <w:rPr>
                <w:sz w:val="20"/>
                <w:szCs w:val="20"/>
                <w:color w:val="auto"/>
              </w:rPr>
            </w:pPr>
            <w:r>
              <w:rPr>
                <w:rFonts w:ascii="Arial" w:cs="Arial" w:eastAsia="Arial" w:hAnsi="Arial"/>
                <w:sz w:val="17"/>
                <w:szCs w:val="17"/>
                <w:color w:val="auto"/>
              </w:rPr>
              <w:t>Trust</w:t>
            </w:r>
          </w:p>
        </w:tc>
        <w:tc>
          <w:tcPr>
            <w:tcW w:w="2060" w:type="dxa"/>
            <w:vAlign w:val="bottom"/>
          </w:tcPr>
          <w:p>
            <w:pPr>
              <w:ind w:left="120"/>
              <w:spacing w:after="0"/>
              <w:rPr>
                <w:sz w:val="20"/>
                <w:szCs w:val="20"/>
                <w:color w:val="auto"/>
              </w:rPr>
            </w:pPr>
            <w:r>
              <w:rPr>
                <w:rFonts w:ascii="Arial" w:cs="Arial" w:eastAsia="Arial" w:hAnsi="Arial"/>
                <w:sz w:val="17"/>
                <w:szCs w:val="17"/>
                <w:i w:val="1"/>
                <w:iCs w:val="1"/>
                <w:color w:val="auto"/>
              </w:rPr>
              <w:t>Mr.Liran</w:t>
            </w:r>
          </w:p>
        </w:tc>
        <w:tc>
          <w:tcPr>
            <w:tcW w:w="1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0"/>
              </w:rPr>
              <w:t>to September 13,</w:t>
            </w:r>
          </w:p>
        </w:tc>
        <w:tc>
          <w:tcPr>
            <w:tcW w:w="2560" w:type="dxa"/>
            <w:vAlign w:val="bottom"/>
          </w:tcPr>
          <w:p>
            <w:pPr>
              <w:jc w:val="center"/>
              <w:spacing w:after="0"/>
              <w:rPr>
                <w:sz w:val="20"/>
                <w:szCs w:val="20"/>
                <w:color w:val="auto"/>
              </w:rPr>
            </w:pPr>
            <w:r>
              <w:rPr>
                <w:rFonts w:ascii="Arial" w:cs="Arial" w:eastAsia="Arial" w:hAnsi="Arial"/>
                <w:sz w:val="17"/>
                <w:szCs w:val="17"/>
                <w:color w:val="auto"/>
                <w:w w:val="95"/>
              </w:rPr>
              <w:t>stock</w:t>
            </w:r>
          </w:p>
        </w:tc>
        <w:tc>
          <w:tcPr>
            <w:tcW w:w="0" w:type="dxa"/>
            <w:vAlign w:val="bottom"/>
          </w:tcPr>
          <w:p>
            <w:pPr>
              <w:spacing w:after="0"/>
              <w:rPr>
                <w:sz w:val="1"/>
                <w:szCs w:val="1"/>
                <w:color w:val="auto"/>
              </w:rPr>
            </w:pPr>
          </w:p>
        </w:tc>
      </w:tr>
      <w:tr>
        <w:trPr>
          <w:trHeight w:val="221"/>
        </w:trPr>
        <w:tc>
          <w:tcPr>
            <w:tcW w:w="2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5"/>
              </w:rPr>
              <w:t>2024</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Martin Roper</w:t>
            </w:r>
          </w:p>
        </w:tc>
        <w:tc>
          <w:tcPr>
            <w:tcW w:w="2060" w:type="dxa"/>
            <w:vAlign w:val="bottom"/>
            <w:shd w:val="clear" w:color="auto" w:fill="CCEEFF"/>
          </w:tcPr>
          <w:p>
            <w:pPr>
              <w:ind w:left="120"/>
              <w:spacing w:after="0"/>
              <w:rPr>
                <w:sz w:val="20"/>
                <w:szCs w:val="20"/>
                <w:color w:val="auto"/>
              </w:rPr>
            </w:pPr>
            <w:r>
              <w:rPr>
                <w:rFonts w:ascii="Arial" w:cs="Arial" w:eastAsia="Arial" w:hAnsi="Arial"/>
                <w:sz w:val="17"/>
                <w:szCs w:val="17"/>
                <w:i w:val="1"/>
                <w:iCs w:val="1"/>
                <w:color w:val="auto"/>
              </w:rPr>
              <w:t>Chief Executive Officer</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Adoption</w:t>
            </w:r>
          </w:p>
        </w:tc>
        <w:tc>
          <w:tcPr>
            <w:tcW w:w="1580" w:type="dxa"/>
            <w:vAlign w:val="bottom"/>
            <w:shd w:val="clear" w:color="auto" w:fill="CCEEFF"/>
          </w:tcPr>
          <w:p>
            <w:pPr>
              <w:jc w:val="center"/>
              <w:ind w:left="153"/>
              <w:spacing w:after="0"/>
              <w:rPr>
                <w:sz w:val="20"/>
                <w:szCs w:val="20"/>
                <w:color w:val="auto"/>
              </w:rPr>
            </w:pPr>
            <w:r>
              <w:rPr>
                <w:rFonts w:ascii="Arial" w:cs="Arial" w:eastAsia="Arial" w:hAnsi="Arial"/>
                <w:sz w:val="17"/>
                <w:szCs w:val="17"/>
                <w:color w:val="auto"/>
                <w:w w:val="90"/>
              </w:rPr>
              <w:t>June 12, 2023</w:t>
            </w: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September 15, 2023</w:t>
            </w:r>
          </w:p>
        </w:tc>
        <w:tc>
          <w:tcPr>
            <w:tcW w:w="2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Up to 144,694 shares of common</w:t>
            </w:r>
          </w:p>
        </w:tc>
        <w:tc>
          <w:tcPr>
            <w:tcW w:w="0" w:type="dxa"/>
            <w:vAlign w:val="bottom"/>
          </w:tcPr>
          <w:p>
            <w:pPr>
              <w:spacing w:after="0"/>
              <w:rPr>
                <w:sz w:val="1"/>
                <w:szCs w:val="1"/>
                <w:color w:val="auto"/>
              </w:rPr>
            </w:pPr>
          </w:p>
        </w:tc>
      </w:tr>
      <w:tr>
        <w:trPr>
          <w:trHeight w:val="183"/>
        </w:trPr>
        <w:tc>
          <w:tcPr>
            <w:tcW w:w="20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72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w w:val="90"/>
              </w:rPr>
              <w:t>to September 13,</w:t>
            </w:r>
          </w:p>
        </w:tc>
        <w:tc>
          <w:tcPr>
            <w:tcW w:w="256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w w:val="95"/>
              </w:rPr>
              <w:t>stock</w:t>
            </w:r>
          </w:p>
        </w:tc>
        <w:tc>
          <w:tcPr>
            <w:tcW w:w="0" w:type="dxa"/>
            <w:vAlign w:val="bottom"/>
          </w:tcPr>
          <w:p>
            <w:pPr>
              <w:spacing w:after="0"/>
              <w:rPr>
                <w:sz w:val="1"/>
                <w:szCs w:val="1"/>
                <w:color w:val="auto"/>
              </w:rPr>
            </w:pPr>
          </w:p>
        </w:tc>
      </w:tr>
      <w:tr>
        <w:trPr>
          <w:trHeight w:val="228"/>
        </w:trPr>
        <w:tc>
          <w:tcPr>
            <w:tcW w:w="20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2024</w:t>
            </w:r>
          </w:p>
        </w:tc>
        <w:tc>
          <w:tcPr>
            <w:tcW w:w="2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01"/>
        </w:trPr>
        <w:tc>
          <w:tcPr>
            <w:tcW w:w="2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jc w:val="right"/>
              <w:ind w:right="1153"/>
              <w:spacing w:after="0"/>
              <w:rPr>
                <w:sz w:val="20"/>
                <w:szCs w:val="20"/>
                <w:color w:val="auto"/>
              </w:rPr>
            </w:pPr>
            <w:r>
              <w:rPr>
                <w:rFonts w:ascii="Arial" w:cs="Arial" w:eastAsia="Arial" w:hAnsi="Arial"/>
                <w:sz w:val="17"/>
                <w:szCs w:val="17"/>
                <w:color w:val="auto"/>
              </w:rPr>
              <w:t>37</w:t>
            </w:r>
          </w:p>
        </w:tc>
        <w:tc>
          <w:tcPr>
            <w:tcW w:w="1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2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b w:val="1"/>
                <w:bCs w:val="1"/>
                <w:color w:val="0000FF"/>
                <w:w w:val="90"/>
              </w:rPr>
              <w:t>Table of Contents</w:t>
            </w:r>
          </w:p>
        </w:tc>
        <w:tc>
          <w:tcPr>
            <w:tcW w:w="1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791"/>
        </w:trPr>
        <w:tc>
          <w:tcPr>
            <w:tcW w:w="48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The Christopher G. Roper</w:t>
            </w:r>
          </w:p>
        </w:tc>
        <w:tc>
          <w:tcPr>
            <w:tcW w:w="2100" w:type="dxa"/>
            <w:vAlign w:val="bottom"/>
          </w:tcPr>
          <w:p>
            <w:pPr>
              <w:ind w:left="100"/>
              <w:spacing w:after="0"/>
              <w:rPr>
                <w:sz w:val="20"/>
                <w:szCs w:val="20"/>
                <w:color w:val="auto"/>
              </w:rPr>
            </w:pPr>
            <w:r>
              <w:rPr>
                <w:rFonts w:ascii="Arial" w:cs="Arial" w:eastAsia="Arial" w:hAnsi="Arial"/>
                <w:sz w:val="17"/>
                <w:szCs w:val="17"/>
                <w:i w:val="1"/>
                <w:iCs w:val="1"/>
                <w:color w:val="auto"/>
              </w:rPr>
              <w:t>A trust for which</w:t>
            </w:r>
          </w:p>
        </w:tc>
        <w:tc>
          <w:tcPr>
            <w:tcW w:w="1300" w:type="dxa"/>
            <w:vAlign w:val="bottom"/>
          </w:tcPr>
          <w:p>
            <w:pPr>
              <w:ind w:left="280"/>
              <w:spacing w:after="0"/>
              <w:rPr>
                <w:sz w:val="20"/>
                <w:szCs w:val="20"/>
                <w:color w:val="auto"/>
              </w:rPr>
            </w:pPr>
            <w:r>
              <w:rPr>
                <w:rFonts w:ascii="Arial" w:cs="Arial" w:eastAsia="Arial" w:hAnsi="Arial"/>
                <w:sz w:val="17"/>
                <w:szCs w:val="17"/>
                <w:color w:val="auto"/>
              </w:rPr>
              <w:t>Adoption</w:t>
            </w:r>
          </w:p>
        </w:tc>
        <w:tc>
          <w:tcPr>
            <w:tcW w:w="1540" w:type="dxa"/>
            <w:vAlign w:val="bottom"/>
          </w:tcPr>
          <w:p>
            <w:pPr>
              <w:ind w:left="340"/>
              <w:spacing w:after="0"/>
              <w:rPr>
                <w:sz w:val="20"/>
                <w:szCs w:val="20"/>
                <w:color w:val="auto"/>
              </w:rPr>
            </w:pPr>
            <w:r>
              <w:rPr>
                <w:rFonts w:ascii="Arial" w:cs="Arial" w:eastAsia="Arial" w:hAnsi="Arial"/>
                <w:sz w:val="17"/>
                <w:szCs w:val="17"/>
                <w:color w:val="auto"/>
              </w:rPr>
              <w:t>June, 12, 2023</w:t>
            </w:r>
          </w:p>
        </w:tc>
        <w:tc>
          <w:tcPr>
            <w:tcW w:w="1640" w:type="dxa"/>
            <w:vAlign w:val="bottom"/>
          </w:tcPr>
          <w:p>
            <w:pPr>
              <w:jc w:val="center"/>
              <w:ind w:left="33"/>
              <w:spacing w:after="0"/>
              <w:rPr>
                <w:sz w:val="20"/>
                <w:szCs w:val="20"/>
                <w:color w:val="auto"/>
              </w:rPr>
            </w:pPr>
            <w:r>
              <w:rPr>
                <w:rFonts w:ascii="Arial" w:cs="Arial" w:eastAsia="Arial" w:hAnsi="Arial"/>
                <w:sz w:val="17"/>
                <w:szCs w:val="17"/>
                <w:color w:val="auto"/>
                <w:w w:val="90"/>
              </w:rPr>
              <w:t>September 15, 2023</w:t>
            </w:r>
          </w:p>
        </w:tc>
        <w:tc>
          <w:tcPr>
            <w:tcW w:w="2240" w:type="dxa"/>
            <w:vAlign w:val="bottom"/>
          </w:tcPr>
          <w:p>
            <w:pPr>
              <w:jc w:val="right"/>
              <w:spacing w:after="0"/>
              <w:rPr>
                <w:sz w:val="20"/>
                <w:szCs w:val="20"/>
                <w:color w:val="auto"/>
              </w:rPr>
            </w:pPr>
            <w:r>
              <w:rPr>
                <w:rFonts w:ascii="Arial" w:cs="Arial" w:eastAsia="Arial" w:hAnsi="Arial"/>
                <w:sz w:val="17"/>
                <w:szCs w:val="17"/>
                <w:color w:val="auto"/>
                <w:w w:val="95"/>
              </w:rPr>
              <w:t>Up to 143,394 shares of comm</w:t>
            </w:r>
          </w:p>
        </w:tc>
      </w:tr>
      <w:tr>
        <w:trPr>
          <w:trHeight w:val="195"/>
        </w:trPr>
        <w:tc>
          <w:tcPr>
            <w:tcW w:w="480" w:type="dxa"/>
            <w:vAlign w:val="bottom"/>
          </w:tcPr>
          <w:p>
            <w:pPr>
              <w:spacing w:after="0"/>
              <w:rPr>
                <w:sz w:val="16"/>
                <w:szCs w:val="16"/>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Exempt Family Trust</w:t>
            </w:r>
          </w:p>
        </w:tc>
        <w:tc>
          <w:tcPr>
            <w:tcW w:w="2100" w:type="dxa"/>
            <w:vAlign w:val="bottom"/>
          </w:tcPr>
          <w:p>
            <w:pPr>
              <w:ind w:left="100"/>
              <w:spacing w:after="0"/>
              <w:rPr>
                <w:sz w:val="20"/>
                <w:szCs w:val="20"/>
                <w:color w:val="auto"/>
              </w:rPr>
            </w:pPr>
            <w:r>
              <w:rPr>
                <w:rFonts w:ascii="Arial" w:cs="Arial" w:eastAsia="Arial" w:hAnsi="Arial"/>
                <w:sz w:val="17"/>
                <w:szCs w:val="17"/>
                <w:i w:val="1"/>
                <w:iCs w:val="1"/>
                <w:color w:val="auto"/>
              </w:rPr>
              <w:t>Mr.Roper's spouse is the</w:t>
            </w: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40" w:type="dxa"/>
            <w:vAlign w:val="bottom"/>
          </w:tcPr>
          <w:p>
            <w:pPr>
              <w:jc w:val="center"/>
              <w:ind w:left="13"/>
              <w:spacing w:after="0"/>
              <w:rPr>
                <w:sz w:val="20"/>
                <w:szCs w:val="20"/>
                <w:color w:val="auto"/>
              </w:rPr>
            </w:pPr>
            <w:r>
              <w:rPr>
                <w:rFonts w:ascii="Arial" w:cs="Arial" w:eastAsia="Arial" w:hAnsi="Arial"/>
                <w:sz w:val="17"/>
                <w:szCs w:val="17"/>
                <w:color w:val="auto"/>
                <w:w w:val="90"/>
              </w:rPr>
              <w:t>to September 13,</w:t>
            </w:r>
          </w:p>
        </w:tc>
        <w:tc>
          <w:tcPr>
            <w:tcW w:w="2240" w:type="dxa"/>
            <w:vAlign w:val="bottom"/>
          </w:tcPr>
          <w:p>
            <w:pPr>
              <w:jc w:val="center"/>
              <w:ind w:left="313"/>
              <w:spacing w:after="0"/>
              <w:rPr>
                <w:sz w:val="20"/>
                <w:szCs w:val="20"/>
                <w:color w:val="auto"/>
              </w:rPr>
            </w:pPr>
            <w:r>
              <w:rPr>
                <w:rFonts w:ascii="Arial" w:cs="Arial" w:eastAsia="Arial" w:hAnsi="Arial"/>
                <w:sz w:val="17"/>
                <w:szCs w:val="17"/>
                <w:color w:val="auto"/>
                <w:w w:val="90"/>
              </w:rPr>
              <w:t>stock</w:t>
            </w:r>
          </w:p>
        </w:tc>
      </w:tr>
      <w:tr>
        <w:trPr>
          <w:trHeight w:val="248"/>
        </w:trPr>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100" w:type="dxa"/>
            <w:vAlign w:val="bottom"/>
          </w:tcPr>
          <w:p>
            <w:pPr>
              <w:ind w:left="100"/>
              <w:spacing w:after="0"/>
              <w:rPr>
                <w:sz w:val="20"/>
                <w:szCs w:val="20"/>
                <w:color w:val="auto"/>
              </w:rPr>
            </w:pPr>
            <w:r>
              <w:rPr>
                <w:rFonts w:ascii="Arial" w:cs="Arial" w:eastAsia="Arial" w:hAnsi="Arial"/>
                <w:sz w:val="17"/>
                <w:szCs w:val="17"/>
                <w:i w:val="1"/>
                <w:iCs w:val="1"/>
                <w:color w:val="auto"/>
              </w:rPr>
              <w:t>trustee</w:t>
            </w:r>
          </w:p>
        </w:tc>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40" w:type="dxa"/>
            <w:vAlign w:val="bottom"/>
          </w:tcPr>
          <w:p>
            <w:pPr>
              <w:jc w:val="center"/>
              <w:ind w:left="13"/>
              <w:spacing w:after="0"/>
              <w:rPr>
                <w:sz w:val="20"/>
                <w:szCs w:val="20"/>
                <w:color w:val="auto"/>
              </w:rPr>
            </w:pPr>
            <w:r>
              <w:rPr>
                <w:rFonts w:ascii="Arial" w:cs="Arial" w:eastAsia="Arial" w:hAnsi="Arial"/>
                <w:sz w:val="17"/>
                <w:szCs w:val="17"/>
                <w:color w:val="auto"/>
                <w:w w:val="89"/>
              </w:rPr>
              <w:t>2024</w:t>
            </w:r>
          </w:p>
        </w:tc>
        <w:tc>
          <w:tcPr>
            <w:tcW w:w="2240" w:type="dxa"/>
            <w:vAlign w:val="bottom"/>
          </w:tcPr>
          <w:p>
            <w:pPr>
              <w:spacing w:after="0"/>
              <w:rPr>
                <w:sz w:val="21"/>
                <w:szCs w:val="21"/>
                <w:color w:val="auto"/>
              </w:rPr>
            </w:pPr>
          </w:p>
        </w:tc>
      </w:tr>
      <w:tr>
        <w:trPr>
          <w:trHeight w:val="26"/>
        </w:trPr>
        <w:tc>
          <w:tcPr>
            <w:tcW w:w="480" w:type="dxa"/>
            <w:vAlign w:val="bottom"/>
          </w:tcPr>
          <w:p>
            <w:pPr>
              <w:spacing w:after="0"/>
              <w:rPr>
                <w:sz w:val="2"/>
                <w:szCs w:val="2"/>
                <w:color w:val="auto"/>
              </w:rPr>
            </w:pPr>
          </w:p>
        </w:tc>
        <w:tc>
          <w:tcPr>
            <w:tcW w:w="2040" w:type="dxa"/>
            <w:vAlign w:val="bottom"/>
            <w:gridSpan w:val="2"/>
          </w:tcPr>
          <w:p>
            <w:pPr>
              <w:spacing w:after="0"/>
              <w:rPr>
                <w:sz w:val="2"/>
                <w:szCs w:val="2"/>
                <w:color w:val="auto"/>
              </w:rPr>
            </w:pPr>
          </w:p>
        </w:tc>
        <w:tc>
          <w:tcPr>
            <w:tcW w:w="2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71"/>
        </w:trPr>
        <w:tc>
          <w:tcPr>
            <w:tcW w:w="480" w:type="dxa"/>
            <w:vAlign w:val="bottom"/>
          </w:tcPr>
          <w:p>
            <w:pPr>
              <w:spacing w:after="0"/>
              <w:rPr>
                <w:sz w:val="14"/>
                <w:szCs w:val="14"/>
                <w:color w:val="auto"/>
              </w:rPr>
            </w:pPr>
          </w:p>
        </w:tc>
        <w:tc>
          <w:tcPr>
            <w:tcW w:w="204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7"/>
                <w:szCs w:val="17"/>
                <w:color w:val="auto"/>
                <w:w w:val="95"/>
              </w:rPr>
              <w:t>The Peter S. Roper Exempt</w:t>
            </w:r>
          </w:p>
        </w:tc>
        <w:tc>
          <w:tcPr>
            <w:tcW w:w="2100" w:type="dxa"/>
            <w:vAlign w:val="bottom"/>
            <w:shd w:val="clear" w:color="auto" w:fill="CCEEFF"/>
          </w:tcPr>
          <w:p>
            <w:pPr>
              <w:ind w:left="100"/>
              <w:spacing w:after="0" w:line="171" w:lineRule="exact"/>
              <w:rPr>
                <w:sz w:val="20"/>
                <w:szCs w:val="20"/>
                <w:color w:val="auto"/>
              </w:rPr>
            </w:pPr>
            <w:r>
              <w:rPr>
                <w:rFonts w:ascii="Arial" w:cs="Arial" w:eastAsia="Arial" w:hAnsi="Arial"/>
                <w:sz w:val="17"/>
                <w:szCs w:val="17"/>
                <w:i w:val="1"/>
                <w:iCs w:val="1"/>
                <w:color w:val="auto"/>
              </w:rPr>
              <w:t>A trust for which Mr.</w:t>
            </w:r>
          </w:p>
        </w:tc>
        <w:tc>
          <w:tcPr>
            <w:tcW w:w="1300" w:type="dxa"/>
            <w:vAlign w:val="bottom"/>
            <w:shd w:val="clear" w:color="auto" w:fill="CCEEFF"/>
          </w:tcPr>
          <w:p>
            <w:pPr>
              <w:ind w:left="280"/>
              <w:spacing w:after="0" w:line="171" w:lineRule="exact"/>
              <w:rPr>
                <w:sz w:val="20"/>
                <w:szCs w:val="20"/>
                <w:color w:val="auto"/>
              </w:rPr>
            </w:pPr>
            <w:r>
              <w:rPr>
                <w:rFonts w:ascii="Arial" w:cs="Arial" w:eastAsia="Arial" w:hAnsi="Arial"/>
                <w:sz w:val="17"/>
                <w:szCs w:val="17"/>
                <w:color w:val="auto"/>
              </w:rPr>
              <w:t>Adoption</w:t>
            </w:r>
          </w:p>
        </w:tc>
        <w:tc>
          <w:tcPr>
            <w:tcW w:w="1540" w:type="dxa"/>
            <w:vAlign w:val="bottom"/>
            <w:shd w:val="clear" w:color="auto" w:fill="CCEEFF"/>
          </w:tcPr>
          <w:p>
            <w:pPr>
              <w:ind w:left="340"/>
              <w:spacing w:after="0" w:line="171" w:lineRule="exact"/>
              <w:rPr>
                <w:sz w:val="20"/>
                <w:szCs w:val="20"/>
                <w:color w:val="auto"/>
              </w:rPr>
            </w:pPr>
            <w:r>
              <w:rPr>
                <w:rFonts w:ascii="Arial" w:cs="Arial" w:eastAsia="Arial" w:hAnsi="Arial"/>
                <w:sz w:val="17"/>
                <w:szCs w:val="17"/>
                <w:color w:val="auto"/>
              </w:rPr>
              <w:t>June, 12, 2023</w:t>
            </w:r>
          </w:p>
        </w:tc>
        <w:tc>
          <w:tcPr>
            <w:tcW w:w="1640" w:type="dxa"/>
            <w:vAlign w:val="bottom"/>
            <w:shd w:val="clear" w:color="auto" w:fill="CCEEFF"/>
          </w:tcPr>
          <w:p>
            <w:pPr>
              <w:jc w:val="center"/>
              <w:ind w:left="33"/>
              <w:spacing w:after="0" w:line="171" w:lineRule="exact"/>
              <w:rPr>
                <w:sz w:val="20"/>
                <w:szCs w:val="20"/>
                <w:color w:val="auto"/>
              </w:rPr>
            </w:pPr>
            <w:r>
              <w:rPr>
                <w:rFonts w:ascii="Arial" w:cs="Arial" w:eastAsia="Arial" w:hAnsi="Arial"/>
                <w:sz w:val="17"/>
                <w:szCs w:val="17"/>
                <w:color w:val="auto"/>
                <w:w w:val="90"/>
              </w:rPr>
              <w:t>September 15, 2023</w:t>
            </w:r>
          </w:p>
        </w:tc>
        <w:tc>
          <w:tcPr>
            <w:tcW w:w="224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w w:val="95"/>
              </w:rPr>
              <w:t>Up to 143,394 shares of comm</w:t>
            </w:r>
          </w:p>
        </w:tc>
      </w:tr>
      <w:tr>
        <w:trPr>
          <w:trHeight w:val="195"/>
        </w:trPr>
        <w:tc>
          <w:tcPr>
            <w:tcW w:w="480" w:type="dxa"/>
            <w:vAlign w:val="bottom"/>
          </w:tcPr>
          <w:p>
            <w:pPr>
              <w:spacing w:after="0"/>
              <w:rPr>
                <w:sz w:val="16"/>
                <w:szCs w:val="16"/>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Family Trust</w:t>
            </w:r>
          </w:p>
        </w:tc>
        <w:tc>
          <w:tcPr>
            <w:tcW w:w="2100" w:type="dxa"/>
            <w:vAlign w:val="bottom"/>
            <w:shd w:val="clear" w:color="auto" w:fill="CCEEFF"/>
          </w:tcPr>
          <w:p>
            <w:pPr>
              <w:ind w:left="100"/>
              <w:spacing w:after="0"/>
              <w:rPr>
                <w:sz w:val="20"/>
                <w:szCs w:val="20"/>
                <w:color w:val="auto"/>
              </w:rPr>
            </w:pPr>
            <w:r>
              <w:rPr>
                <w:rFonts w:ascii="Arial" w:cs="Arial" w:eastAsia="Arial" w:hAnsi="Arial"/>
                <w:sz w:val="17"/>
                <w:szCs w:val="17"/>
                <w:i w:val="1"/>
                <w:iCs w:val="1"/>
                <w:color w:val="auto"/>
              </w:rPr>
              <w:t>Roper’s spouse is the</w:t>
            </w:r>
          </w:p>
        </w:tc>
        <w:tc>
          <w:tcPr>
            <w:tcW w:w="1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w w:val="90"/>
              </w:rPr>
              <w:t>to September 13,</w:t>
            </w:r>
          </w:p>
        </w:tc>
        <w:tc>
          <w:tcPr>
            <w:tcW w:w="2240" w:type="dxa"/>
            <w:vAlign w:val="bottom"/>
            <w:shd w:val="clear" w:color="auto" w:fill="CCEEFF"/>
          </w:tcPr>
          <w:p>
            <w:pPr>
              <w:jc w:val="center"/>
              <w:ind w:left="313"/>
              <w:spacing w:after="0"/>
              <w:rPr>
                <w:sz w:val="20"/>
                <w:szCs w:val="20"/>
                <w:color w:val="auto"/>
              </w:rPr>
            </w:pPr>
            <w:r>
              <w:rPr>
                <w:rFonts w:ascii="Arial" w:cs="Arial" w:eastAsia="Arial" w:hAnsi="Arial"/>
                <w:sz w:val="17"/>
                <w:szCs w:val="17"/>
                <w:color w:val="auto"/>
                <w:w w:val="90"/>
              </w:rPr>
              <w:t>stock</w:t>
            </w:r>
          </w:p>
        </w:tc>
      </w:tr>
      <w:tr>
        <w:trPr>
          <w:trHeight w:val="254"/>
        </w:trPr>
        <w:tc>
          <w:tcPr>
            <w:tcW w:w="480" w:type="dxa"/>
            <w:vAlign w:val="bottom"/>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i w:val="1"/>
                <w:iCs w:val="1"/>
                <w:color w:val="auto"/>
              </w:rPr>
              <w:t>trustee</w:t>
            </w:r>
          </w:p>
        </w:tc>
        <w:tc>
          <w:tcPr>
            <w:tcW w:w="1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7"/>
                <w:szCs w:val="17"/>
                <w:color w:val="auto"/>
                <w:w w:val="89"/>
              </w:rPr>
              <w:t>2024</w:t>
            </w:r>
          </w:p>
        </w:tc>
        <w:tc>
          <w:tcPr>
            <w:tcW w:w="2240" w:type="dxa"/>
            <w:vAlign w:val="bottom"/>
            <w:tcBorders>
              <w:bottom w:val="single" w:sz="8" w:color="CCEEFF"/>
            </w:tcBorders>
            <w:shd w:val="clear" w:color="auto" w:fill="CCEEFF"/>
          </w:tcPr>
          <w:p>
            <w:pPr>
              <w:spacing w:after="0"/>
              <w:rPr>
                <w:sz w:val="22"/>
                <w:szCs w:val="22"/>
                <w:color w:val="auto"/>
              </w:rPr>
            </w:pPr>
          </w:p>
        </w:tc>
      </w:tr>
      <w:tr>
        <w:trPr>
          <w:trHeight w:val="171"/>
        </w:trPr>
        <w:tc>
          <w:tcPr>
            <w:tcW w:w="480" w:type="dxa"/>
            <w:vAlign w:val="bottom"/>
          </w:tcPr>
          <w:p>
            <w:pPr>
              <w:spacing w:after="0"/>
              <w:rPr>
                <w:sz w:val="14"/>
                <w:szCs w:val="14"/>
                <w:color w:val="auto"/>
              </w:rPr>
            </w:pPr>
          </w:p>
        </w:tc>
        <w:tc>
          <w:tcPr>
            <w:tcW w:w="2040" w:type="dxa"/>
            <w:vAlign w:val="bottom"/>
            <w:gridSpan w:val="2"/>
          </w:tcPr>
          <w:p>
            <w:pPr>
              <w:ind w:left="20"/>
              <w:spacing w:after="0" w:line="171" w:lineRule="exact"/>
              <w:rPr>
                <w:sz w:val="20"/>
                <w:szCs w:val="20"/>
                <w:color w:val="auto"/>
              </w:rPr>
            </w:pPr>
            <w:r>
              <w:rPr>
                <w:rFonts w:ascii="Arial" w:cs="Arial" w:eastAsia="Arial" w:hAnsi="Arial"/>
                <w:sz w:val="17"/>
                <w:szCs w:val="17"/>
                <w:color w:val="auto"/>
              </w:rPr>
              <w:t>The Thomas L. Roper</w:t>
            </w:r>
          </w:p>
        </w:tc>
        <w:tc>
          <w:tcPr>
            <w:tcW w:w="2100" w:type="dxa"/>
            <w:vAlign w:val="bottom"/>
          </w:tcPr>
          <w:p>
            <w:pPr>
              <w:ind w:left="100"/>
              <w:spacing w:after="0" w:line="171" w:lineRule="exact"/>
              <w:rPr>
                <w:sz w:val="20"/>
                <w:szCs w:val="20"/>
                <w:color w:val="auto"/>
              </w:rPr>
            </w:pPr>
            <w:r>
              <w:rPr>
                <w:rFonts w:ascii="Arial" w:cs="Arial" w:eastAsia="Arial" w:hAnsi="Arial"/>
                <w:sz w:val="17"/>
                <w:szCs w:val="17"/>
                <w:i w:val="1"/>
                <w:iCs w:val="1"/>
                <w:color w:val="auto"/>
              </w:rPr>
              <w:t>A trust for which Mr.</w:t>
            </w:r>
          </w:p>
        </w:tc>
        <w:tc>
          <w:tcPr>
            <w:tcW w:w="1300" w:type="dxa"/>
            <w:vAlign w:val="bottom"/>
          </w:tcPr>
          <w:p>
            <w:pPr>
              <w:ind w:left="280"/>
              <w:spacing w:after="0" w:line="171" w:lineRule="exact"/>
              <w:rPr>
                <w:sz w:val="20"/>
                <w:szCs w:val="20"/>
                <w:color w:val="auto"/>
              </w:rPr>
            </w:pPr>
            <w:r>
              <w:rPr>
                <w:rFonts w:ascii="Arial" w:cs="Arial" w:eastAsia="Arial" w:hAnsi="Arial"/>
                <w:sz w:val="17"/>
                <w:szCs w:val="17"/>
                <w:color w:val="auto"/>
              </w:rPr>
              <w:t>Adoption</w:t>
            </w:r>
          </w:p>
        </w:tc>
        <w:tc>
          <w:tcPr>
            <w:tcW w:w="1540" w:type="dxa"/>
            <w:vAlign w:val="bottom"/>
          </w:tcPr>
          <w:p>
            <w:pPr>
              <w:ind w:left="340"/>
              <w:spacing w:after="0" w:line="171" w:lineRule="exact"/>
              <w:rPr>
                <w:sz w:val="20"/>
                <w:szCs w:val="20"/>
                <w:color w:val="auto"/>
              </w:rPr>
            </w:pPr>
            <w:r>
              <w:rPr>
                <w:rFonts w:ascii="Arial" w:cs="Arial" w:eastAsia="Arial" w:hAnsi="Arial"/>
                <w:sz w:val="17"/>
                <w:szCs w:val="17"/>
                <w:color w:val="auto"/>
              </w:rPr>
              <w:t>June, 12, 2023</w:t>
            </w:r>
          </w:p>
        </w:tc>
        <w:tc>
          <w:tcPr>
            <w:tcW w:w="1640" w:type="dxa"/>
            <w:vAlign w:val="bottom"/>
          </w:tcPr>
          <w:p>
            <w:pPr>
              <w:jc w:val="center"/>
              <w:ind w:left="33"/>
              <w:spacing w:after="0" w:line="171" w:lineRule="exact"/>
              <w:rPr>
                <w:sz w:val="20"/>
                <w:szCs w:val="20"/>
                <w:color w:val="auto"/>
              </w:rPr>
            </w:pPr>
            <w:r>
              <w:rPr>
                <w:rFonts w:ascii="Arial" w:cs="Arial" w:eastAsia="Arial" w:hAnsi="Arial"/>
                <w:sz w:val="17"/>
                <w:szCs w:val="17"/>
                <w:color w:val="auto"/>
                <w:w w:val="90"/>
              </w:rPr>
              <w:t>September 15, 2023</w:t>
            </w:r>
          </w:p>
        </w:tc>
        <w:tc>
          <w:tcPr>
            <w:tcW w:w="2240" w:type="dxa"/>
            <w:vAlign w:val="bottom"/>
          </w:tcPr>
          <w:p>
            <w:pPr>
              <w:jc w:val="right"/>
              <w:spacing w:after="0" w:line="171" w:lineRule="exact"/>
              <w:rPr>
                <w:sz w:val="20"/>
                <w:szCs w:val="20"/>
                <w:color w:val="auto"/>
              </w:rPr>
            </w:pPr>
            <w:r>
              <w:rPr>
                <w:rFonts w:ascii="Arial" w:cs="Arial" w:eastAsia="Arial" w:hAnsi="Arial"/>
                <w:sz w:val="17"/>
                <w:szCs w:val="17"/>
                <w:color w:val="auto"/>
                <w:w w:val="95"/>
              </w:rPr>
              <w:t>Up to 143,394 shares of comm</w:t>
            </w:r>
          </w:p>
        </w:tc>
      </w:tr>
      <w:tr>
        <w:trPr>
          <w:trHeight w:val="182"/>
        </w:trPr>
        <w:tc>
          <w:tcPr>
            <w:tcW w:w="480" w:type="dxa"/>
            <w:vAlign w:val="bottom"/>
          </w:tcPr>
          <w:p>
            <w:pPr>
              <w:spacing w:after="0"/>
              <w:rPr>
                <w:sz w:val="15"/>
                <w:szCs w:val="15"/>
                <w:color w:val="auto"/>
              </w:rPr>
            </w:pPr>
          </w:p>
        </w:tc>
        <w:tc>
          <w:tcPr>
            <w:tcW w:w="2040" w:type="dxa"/>
            <w:vAlign w:val="bottom"/>
            <w:gridSpan w:val="2"/>
          </w:tcPr>
          <w:p>
            <w:pPr>
              <w:ind w:left="20"/>
              <w:spacing w:after="0" w:line="182" w:lineRule="exact"/>
              <w:rPr>
                <w:sz w:val="20"/>
                <w:szCs w:val="20"/>
                <w:color w:val="auto"/>
              </w:rPr>
            </w:pPr>
            <w:r>
              <w:rPr>
                <w:rFonts w:ascii="Arial" w:cs="Arial" w:eastAsia="Arial" w:hAnsi="Arial"/>
                <w:sz w:val="17"/>
                <w:szCs w:val="17"/>
                <w:color w:val="auto"/>
              </w:rPr>
              <w:t>Exempt Family Trust</w:t>
            </w:r>
          </w:p>
        </w:tc>
        <w:tc>
          <w:tcPr>
            <w:tcW w:w="2100" w:type="dxa"/>
            <w:vAlign w:val="bottom"/>
          </w:tcPr>
          <w:p>
            <w:pPr>
              <w:ind w:left="100"/>
              <w:spacing w:after="0" w:line="182" w:lineRule="exact"/>
              <w:rPr>
                <w:sz w:val="20"/>
                <w:szCs w:val="20"/>
                <w:color w:val="auto"/>
              </w:rPr>
            </w:pPr>
            <w:r>
              <w:rPr>
                <w:rFonts w:ascii="Arial" w:cs="Arial" w:eastAsia="Arial" w:hAnsi="Arial"/>
                <w:sz w:val="17"/>
                <w:szCs w:val="17"/>
                <w:i w:val="1"/>
                <w:iCs w:val="1"/>
                <w:color w:val="auto"/>
              </w:rPr>
              <w:t>Roper’s spouse is the</w:t>
            </w:r>
          </w:p>
        </w:tc>
        <w:tc>
          <w:tcPr>
            <w:tcW w:w="1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40" w:type="dxa"/>
            <w:vAlign w:val="bottom"/>
          </w:tcPr>
          <w:p>
            <w:pPr>
              <w:jc w:val="center"/>
              <w:ind w:left="13"/>
              <w:spacing w:after="0" w:line="182" w:lineRule="exact"/>
              <w:rPr>
                <w:sz w:val="20"/>
                <w:szCs w:val="20"/>
                <w:color w:val="auto"/>
              </w:rPr>
            </w:pPr>
            <w:r>
              <w:rPr>
                <w:rFonts w:ascii="Arial" w:cs="Arial" w:eastAsia="Arial" w:hAnsi="Arial"/>
                <w:sz w:val="17"/>
                <w:szCs w:val="17"/>
                <w:color w:val="auto"/>
                <w:w w:val="90"/>
              </w:rPr>
              <w:t>to September 13,</w:t>
            </w:r>
          </w:p>
        </w:tc>
        <w:tc>
          <w:tcPr>
            <w:tcW w:w="2240" w:type="dxa"/>
            <w:vAlign w:val="bottom"/>
          </w:tcPr>
          <w:p>
            <w:pPr>
              <w:jc w:val="center"/>
              <w:ind w:left="313"/>
              <w:spacing w:after="0" w:line="182" w:lineRule="exact"/>
              <w:rPr>
                <w:sz w:val="20"/>
                <w:szCs w:val="20"/>
                <w:color w:val="auto"/>
              </w:rPr>
            </w:pPr>
            <w:r>
              <w:rPr>
                <w:rFonts w:ascii="Arial" w:cs="Arial" w:eastAsia="Arial" w:hAnsi="Arial"/>
                <w:sz w:val="17"/>
                <w:szCs w:val="17"/>
                <w:color w:val="auto"/>
                <w:w w:val="90"/>
              </w:rPr>
              <w:t>stock</w:t>
            </w:r>
          </w:p>
        </w:tc>
      </w:tr>
      <w:tr>
        <w:trPr>
          <w:trHeight w:val="248"/>
        </w:trPr>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100" w:type="dxa"/>
            <w:vAlign w:val="bottom"/>
          </w:tcPr>
          <w:p>
            <w:pPr>
              <w:ind w:left="100"/>
              <w:spacing w:after="0"/>
              <w:rPr>
                <w:sz w:val="20"/>
                <w:szCs w:val="20"/>
                <w:color w:val="auto"/>
              </w:rPr>
            </w:pPr>
            <w:r>
              <w:rPr>
                <w:rFonts w:ascii="Arial" w:cs="Arial" w:eastAsia="Arial" w:hAnsi="Arial"/>
                <w:sz w:val="17"/>
                <w:szCs w:val="17"/>
                <w:i w:val="1"/>
                <w:iCs w:val="1"/>
                <w:color w:val="auto"/>
              </w:rPr>
              <w:t>trustee</w:t>
            </w:r>
          </w:p>
        </w:tc>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40" w:type="dxa"/>
            <w:vAlign w:val="bottom"/>
          </w:tcPr>
          <w:p>
            <w:pPr>
              <w:jc w:val="center"/>
              <w:ind w:left="13"/>
              <w:spacing w:after="0"/>
              <w:rPr>
                <w:sz w:val="20"/>
                <w:szCs w:val="20"/>
                <w:color w:val="auto"/>
              </w:rPr>
            </w:pPr>
            <w:r>
              <w:rPr>
                <w:rFonts w:ascii="Arial" w:cs="Arial" w:eastAsia="Arial" w:hAnsi="Arial"/>
                <w:sz w:val="17"/>
                <w:szCs w:val="17"/>
                <w:color w:val="auto"/>
                <w:w w:val="89"/>
              </w:rPr>
              <w:t>2024</w:t>
            </w:r>
          </w:p>
        </w:tc>
        <w:tc>
          <w:tcPr>
            <w:tcW w:w="2240" w:type="dxa"/>
            <w:vAlign w:val="bottom"/>
          </w:tcPr>
          <w:p>
            <w:pPr>
              <w:spacing w:after="0"/>
              <w:rPr>
                <w:sz w:val="21"/>
                <w:szCs w:val="21"/>
                <w:color w:val="auto"/>
              </w:rPr>
            </w:pPr>
          </w:p>
        </w:tc>
      </w:tr>
      <w:tr>
        <w:trPr>
          <w:trHeight w:val="26"/>
        </w:trPr>
        <w:tc>
          <w:tcPr>
            <w:tcW w:w="480" w:type="dxa"/>
            <w:vAlign w:val="bottom"/>
          </w:tcPr>
          <w:p>
            <w:pPr>
              <w:spacing w:after="0"/>
              <w:rPr>
                <w:sz w:val="2"/>
                <w:szCs w:val="2"/>
                <w:color w:val="auto"/>
              </w:rPr>
            </w:pPr>
          </w:p>
        </w:tc>
        <w:tc>
          <w:tcPr>
            <w:tcW w:w="2040" w:type="dxa"/>
            <w:vAlign w:val="bottom"/>
            <w:gridSpan w:val="2"/>
          </w:tcPr>
          <w:p>
            <w:pPr>
              <w:spacing w:after="0"/>
              <w:rPr>
                <w:sz w:val="2"/>
                <w:szCs w:val="2"/>
                <w:color w:val="auto"/>
              </w:rPr>
            </w:pPr>
          </w:p>
        </w:tc>
        <w:tc>
          <w:tcPr>
            <w:tcW w:w="2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480" w:type="dxa"/>
            <w:vAlign w:val="bottom"/>
          </w:tcPr>
          <w:p>
            <w:pPr>
              <w:spacing w:after="0"/>
              <w:rPr>
                <w:sz w:val="15"/>
                <w:szCs w:val="15"/>
                <w:color w:val="auto"/>
              </w:rPr>
            </w:pPr>
          </w:p>
        </w:tc>
        <w:tc>
          <w:tcPr>
            <w:tcW w:w="204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7"/>
                <w:szCs w:val="17"/>
                <w:color w:val="auto"/>
              </w:rPr>
              <w:t>Jonathan Burth</w:t>
            </w:r>
          </w:p>
        </w:tc>
        <w:tc>
          <w:tcPr>
            <w:tcW w:w="2100" w:type="dxa"/>
            <w:vAlign w:val="bottom"/>
            <w:shd w:val="clear" w:color="auto" w:fill="CCEEFF"/>
          </w:tcPr>
          <w:p>
            <w:pPr>
              <w:ind w:left="100"/>
              <w:spacing w:after="0" w:line="184" w:lineRule="exact"/>
              <w:rPr>
                <w:sz w:val="20"/>
                <w:szCs w:val="20"/>
                <w:color w:val="auto"/>
              </w:rPr>
            </w:pPr>
            <w:r>
              <w:rPr>
                <w:rFonts w:ascii="Arial" w:cs="Arial" w:eastAsia="Arial" w:hAnsi="Arial"/>
                <w:sz w:val="17"/>
                <w:szCs w:val="17"/>
                <w:i w:val="1"/>
                <w:iCs w:val="1"/>
                <w:color w:val="auto"/>
              </w:rPr>
              <w:t>Chief Operating Officer</w:t>
            </w:r>
          </w:p>
        </w:tc>
        <w:tc>
          <w:tcPr>
            <w:tcW w:w="1300" w:type="dxa"/>
            <w:vAlign w:val="bottom"/>
            <w:shd w:val="clear" w:color="auto" w:fill="CCEEFF"/>
          </w:tcPr>
          <w:p>
            <w:pPr>
              <w:ind w:left="280"/>
              <w:spacing w:after="0" w:line="184" w:lineRule="exact"/>
              <w:rPr>
                <w:sz w:val="20"/>
                <w:szCs w:val="20"/>
                <w:color w:val="auto"/>
              </w:rPr>
            </w:pPr>
            <w:r>
              <w:rPr>
                <w:rFonts w:ascii="Arial" w:cs="Arial" w:eastAsia="Arial" w:hAnsi="Arial"/>
                <w:sz w:val="17"/>
                <w:szCs w:val="17"/>
                <w:color w:val="auto"/>
              </w:rPr>
              <w:t>Adoption</w:t>
            </w:r>
          </w:p>
        </w:tc>
        <w:tc>
          <w:tcPr>
            <w:tcW w:w="1540" w:type="dxa"/>
            <w:vAlign w:val="bottom"/>
            <w:shd w:val="clear" w:color="auto" w:fill="CCEEFF"/>
          </w:tcPr>
          <w:p>
            <w:pPr>
              <w:ind w:left="360"/>
              <w:spacing w:after="0" w:line="184" w:lineRule="exact"/>
              <w:rPr>
                <w:sz w:val="20"/>
                <w:szCs w:val="20"/>
                <w:color w:val="auto"/>
              </w:rPr>
            </w:pPr>
            <w:r>
              <w:rPr>
                <w:rFonts w:ascii="Arial" w:cs="Arial" w:eastAsia="Arial" w:hAnsi="Arial"/>
                <w:sz w:val="17"/>
                <w:szCs w:val="17"/>
                <w:color w:val="auto"/>
              </w:rPr>
              <w:t>June 15, 2023</w:t>
            </w:r>
          </w:p>
        </w:tc>
        <w:tc>
          <w:tcPr>
            <w:tcW w:w="1640" w:type="dxa"/>
            <w:vAlign w:val="bottom"/>
            <w:shd w:val="clear" w:color="auto" w:fill="CCEEFF"/>
          </w:tcPr>
          <w:p>
            <w:pPr>
              <w:jc w:val="center"/>
              <w:ind w:left="33"/>
              <w:spacing w:after="0" w:line="184" w:lineRule="exact"/>
              <w:rPr>
                <w:sz w:val="20"/>
                <w:szCs w:val="20"/>
                <w:color w:val="auto"/>
              </w:rPr>
            </w:pPr>
            <w:r>
              <w:rPr>
                <w:rFonts w:ascii="Arial" w:cs="Arial" w:eastAsia="Arial" w:hAnsi="Arial"/>
                <w:sz w:val="17"/>
                <w:szCs w:val="17"/>
                <w:color w:val="auto"/>
                <w:w w:val="90"/>
              </w:rPr>
              <w:t>September 14, 2023</w:t>
            </w:r>
          </w:p>
        </w:tc>
        <w:tc>
          <w:tcPr>
            <w:tcW w:w="224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w w:val="99"/>
              </w:rPr>
              <w:t>Up to 60,000 shares of comm</w:t>
            </w:r>
          </w:p>
        </w:tc>
      </w:tr>
      <w:tr>
        <w:trPr>
          <w:trHeight w:val="170"/>
        </w:trPr>
        <w:tc>
          <w:tcPr>
            <w:tcW w:w="480" w:type="dxa"/>
            <w:vAlign w:val="bottom"/>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388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7"/>
                <w:szCs w:val="17"/>
                <w:color w:val="auto"/>
                <w:w w:val="98"/>
              </w:rPr>
              <w:t>to February 9, 2024   stock and up to 160,000 share</w:t>
            </w:r>
          </w:p>
        </w:tc>
      </w:tr>
      <w:tr>
        <w:trPr>
          <w:trHeight w:val="170"/>
        </w:trPr>
        <w:tc>
          <w:tcPr>
            <w:tcW w:w="480" w:type="dxa"/>
            <w:vAlign w:val="bottom"/>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4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w w:val="92"/>
              </w:rPr>
              <w:t>common stock issuable to Mr. B</w:t>
            </w:r>
          </w:p>
        </w:tc>
      </w:tr>
      <w:tr>
        <w:trPr>
          <w:trHeight w:val="183"/>
        </w:trPr>
        <w:tc>
          <w:tcPr>
            <w:tcW w:w="48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7"/>
              </w:rPr>
              <w:t>upon exercise of fully vested s</w:t>
            </w:r>
          </w:p>
        </w:tc>
      </w:tr>
      <w:tr>
        <w:trPr>
          <w:trHeight w:val="221"/>
        </w:trPr>
        <w:tc>
          <w:tcPr>
            <w:tcW w:w="48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40" w:type="dxa"/>
            <w:vAlign w:val="bottom"/>
            <w:shd w:val="clear" w:color="auto" w:fill="CCEEFF"/>
          </w:tcPr>
          <w:p>
            <w:pPr>
              <w:jc w:val="center"/>
              <w:ind w:left="313"/>
              <w:spacing w:after="0"/>
              <w:rPr>
                <w:sz w:val="20"/>
                <w:szCs w:val="20"/>
                <w:color w:val="auto"/>
              </w:rPr>
            </w:pPr>
            <w:r>
              <w:rPr>
                <w:rFonts w:ascii="Arial" w:cs="Arial" w:eastAsia="Arial" w:hAnsi="Arial"/>
                <w:sz w:val="17"/>
                <w:szCs w:val="17"/>
                <w:color w:val="auto"/>
                <w:w w:val="94"/>
              </w:rPr>
              <w:t>options</w:t>
            </w:r>
          </w:p>
        </w:tc>
      </w:tr>
      <w:tr>
        <w:trPr>
          <w:trHeight w:val="236"/>
        </w:trPr>
        <w:tc>
          <w:tcPr>
            <w:tcW w:w="48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r>
      <w:tr>
        <w:trPr>
          <w:trHeight w:val="171"/>
        </w:trPr>
        <w:tc>
          <w:tcPr>
            <w:tcW w:w="480" w:type="dxa"/>
            <w:vAlign w:val="bottom"/>
          </w:tcPr>
          <w:p>
            <w:pPr>
              <w:spacing w:after="0"/>
              <w:rPr>
                <w:sz w:val="14"/>
                <w:szCs w:val="14"/>
                <w:color w:val="auto"/>
              </w:rPr>
            </w:pPr>
          </w:p>
        </w:tc>
        <w:tc>
          <w:tcPr>
            <w:tcW w:w="2040" w:type="dxa"/>
            <w:vAlign w:val="bottom"/>
            <w:gridSpan w:val="2"/>
          </w:tcPr>
          <w:p>
            <w:pPr>
              <w:ind w:left="20"/>
              <w:spacing w:after="0" w:line="171" w:lineRule="exact"/>
              <w:rPr>
                <w:sz w:val="20"/>
                <w:szCs w:val="20"/>
                <w:color w:val="auto"/>
              </w:rPr>
            </w:pPr>
            <w:r>
              <w:rPr>
                <w:rFonts w:ascii="Arial" w:cs="Arial" w:eastAsia="Arial" w:hAnsi="Arial"/>
                <w:sz w:val="17"/>
                <w:szCs w:val="17"/>
                <w:color w:val="auto"/>
              </w:rPr>
              <w:t>Jane Prior</w:t>
            </w:r>
          </w:p>
        </w:tc>
        <w:tc>
          <w:tcPr>
            <w:tcW w:w="2100" w:type="dxa"/>
            <w:vAlign w:val="bottom"/>
          </w:tcPr>
          <w:p>
            <w:pPr>
              <w:ind w:left="100"/>
              <w:spacing w:after="0" w:line="171" w:lineRule="exact"/>
              <w:rPr>
                <w:sz w:val="20"/>
                <w:szCs w:val="20"/>
                <w:color w:val="auto"/>
              </w:rPr>
            </w:pPr>
            <w:r>
              <w:rPr>
                <w:rFonts w:ascii="Arial" w:cs="Arial" w:eastAsia="Arial" w:hAnsi="Arial"/>
                <w:sz w:val="17"/>
                <w:szCs w:val="17"/>
                <w:i w:val="1"/>
                <w:iCs w:val="1"/>
                <w:color w:val="auto"/>
              </w:rPr>
              <w:t>Chief Marketing Officer</w:t>
            </w:r>
          </w:p>
        </w:tc>
        <w:tc>
          <w:tcPr>
            <w:tcW w:w="1300" w:type="dxa"/>
            <w:vAlign w:val="bottom"/>
          </w:tcPr>
          <w:p>
            <w:pPr>
              <w:ind w:left="280"/>
              <w:spacing w:after="0" w:line="171" w:lineRule="exact"/>
              <w:rPr>
                <w:sz w:val="20"/>
                <w:szCs w:val="20"/>
                <w:color w:val="auto"/>
              </w:rPr>
            </w:pPr>
            <w:r>
              <w:rPr>
                <w:rFonts w:ascii="Arial" w:cs="Arial" w:eastAsia="Arial" w:hAnsi="Arial"/>
                <w:sz w:val="17"/>
                <w:szCs w:val="17"/>
                <w:color w:val="auto"/>
              </w:rPr>
              <w:t>Adoption</w:t>
            </w:r>
          </w:p>
        </w:tc>
        <w:tc>
          <w:tcPr>
            <w:tcW w:w="1540" w:type="dxa"/>
            <w:vAlign w:val="bottom"/>
          </w:tcPr>
          <w:p>
            <w:pPr>
              <w:ind w:left="360"/>
              <w:spacing w:after="0" w:line="171" w:lineRule="exact"/>
              <w:rPr>
                <w:sz w:val="20"/>
                <w:szCs w:val="20"/>
                <w:color w:val="auto"/>
              </w:rPr>
            </w:pPr>
            <w:r>
              <w:rPr>
                <w:rFonts w:ascii="Arial" w:cs="Arial" w:eastAsia="Arial" w:hAnsi="Arial"/>
                <w:sz w:val="17"/>
                <w:szCs w:val="17"/>
                <w:color w:val="auto"/>
              </w:rPr>
              <w:t>June 15, 2023</w:t>
            </w:r>
          </w:p>
        </w:tc>
        <w:tc>
          <w:tcPr>
            <w:tcW w:w="1640" w:type="dxa"/>
            <w:vAlign w:val="bottom"/>
          </w:tcPr>
          <w:p>
            <w:pPr>
              <w:jc w:val="center"/>
              <w:ind w:left="33"/>
              <w:spacing w:after="0" w:line="171" w:lineRule="exact"/>
              <w:rPr>
                <w:sz w:val="20"/>
                <w:szCs w:val="20"/>
                <w:color w:val="auto"/>
              </w:rPr>
            </w:pPr>
            <w:r>
              <w:rPr>
                <w:rFonts w:ascii="Arial" w:cs="Arial" w:eastAsia="Arial" w:hAnsi="Arial"/>
                <w:sz w:val="17"/>
                <w:szCs w:val="17"/>
                <w:color w:val="auto"/>
                <w:w w:val="90"/>
              </w:rPr>
              <w:t>September 14, 2023</w:t>
            </w:r>
          </w:p>
        </w:tc>
        <w:tc>
          <w:tcPr>
            <w:tcW w:w="2240" w:type="dxa"/>
            <w:vAlign w:val="bottom"/>
          </w:tcPr>
          <w:p>
            <w:pPr>
              <w:jc w:val="right"/>
              <w:spacing w:after="0" w:line="171" w:lineRule="exact"/>
              <w:rPr>
                <w:sz w:val="20"/>
                <w:szCs w:val="20"/>
                <w:color w:val="auto"/>
              </w:rPr>
            </w:pPr>
            <w:r>
              <w:rPr>
                <w:rFonts w:ascii="Arial" w:cs="Arial" w:eastAsia="Arial" w:hAnsi="Arial"/>
                <w:sz w:val="17"/>
                <w:szCs w:val="17"/>
                <w:color w:val="auto"/>
                <w:w w:val="95"/>
              </w:rPr>
              <w:t>Up to 140,000 shares of comm</w:t>
            </w:r>
          </w:p>
        </w:tc>
      </w:tr>
      <w:tr>
        <w:trPr>
          <w:trHeight w:val="228"/>
        </w:trPr>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jc w:val="center"/>
              <w:ind w:left="33"/>
              <w:spacing w:after="0"/>
              <w:rPr>
                <w:sz w:val="20"/>
                <w:szCs w:val="20"/>
                <w:color w:val="auto"/>
              </w:rPr>
            </w:pPr>
            <w:r>
              <w:rPr>
                <w:rFonts w:ascii="Arial" w:cs="Arial" w:eastAsia="Arial" w:hAnsi="Arial"/>
                <w:sz w:val="17"/>
                <w:szCs w:val="17"/>
                <w:color w:val="auto"/>
                <w:w w:val="93"/>
              </w:rPr>
              <w:t>to March 29, 2024</w:t>
            </w:r>
          </w:p>
        </w:tc>
        <w:tc>
          <w:tcPr>
            <w:tcW w:w="2240" w:type="dxa"/>
            <w:vAlign w:val="bottom"/>
          </w:tcPr>
          <w:p>
            <w:pPr>
              <w:jc w:val="center"/>
              <w:ind w:left="313"/>
              <w:spacing w:after="0"/>
              <w:rPr>
                <w:sz w:val="20"/>
                <w:szCs w:val="20"/>
                <w:color w:val="auto"/>
              </w:rPr>
            </w:pPr>
            <w:r>
              <w:rPr>
                <w:rFonts w:ascii="Arial" w:cs="Arial" w:eastAsia="Arial" w:hAnsi="Arial"/>
                <w:sz w:val="17"/>
                <w:szCs w:val="17"/>
                <w:color w:val="auto"/>
                <w:w w:val="90"/>
              </w:rPr>
              <w:t>stock</w:t>
            </w:r>
          </w:p>
        </w:tc>
      </w:tr>
      <w:tr>
        <w:trPr>
          <w:trHeight w:val="177"/>
        </w:trPr>
        <w:tc>
          <w:tcPr>
            <w:tcW w:w="480" w:type="dxa"/>
            <w:vAlign w:val="bottom"/>
          </w:tcPr>
          <w:p>
            <w:pPr>
              <w:spacing w:after="0"/>
              <w:rPr>
                <w:sz w:val="15"/>
                <w:szCs w:val="15"/>
                <w:color w:val="auto"/>
              </w:rPr>
            </w:pPr>
          </w:p>
        </w:tc>
        <w:tc>
          <w:tcPr>
            <w:tcW w:w="204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7"/>
                <w:szCs w:val="17"/>
                <w:color w:val="auto"/>
              </w:rPr>
              <w:t>Charles van Es</w:t>
            </w:r>
          </w:p>
        </w:tc>
        <w:tc>
          <w:tcPr>
            <w:tcW w:w="2100" w:type="dxa"/>
            <w:vAlign w:val="bottom"/>
            <w:shd w:val="clear" w:color="auto" w:fill="CCEEFF"/>
          </w:tcPr>
          <w:p>
            <w:pPr>
              <w:ind w:left="100"/>
              <w:spacing w:after="0" w:line="177" w:lineRule="exact"/>
              <w:rPr>
                <w:sz w:val="20"/>
                <w:szCs w:val="20"/>
                <w:color w:val="auto"/>
              </w:rPr>
            </w:pPr>
            <w:r>
              <w:rPr>
                <w:rFonts w:ascii="Arial" w:cs="Arial" w:eastAsia="Arial" w:hAnsi="Arial"/>
                <w:sz w:val="17"/>
                <w:szCs w:val="17"/>
                <w:i w:val="1"/>
                <w:iCs w:val="1"/>
                <w:color w:val="auto"/>
              </w:rPr>
              <w:t>Chief Sales Officer</w:t>
            </w:r>
          </w:p>
        </w:tc>
        <w:tc>
          <w:tcPr>
            <w:tcW w:w="1300" w:type="dxa"/>
            <w:vAlign w:val="bottom"/>
            <w:shd w:val="clear" w:color="auto" w:fill="CCEEFF"/>
          </w:tcPr>
          <w:p>
            <w:pPr>
              <w:ind w:left="280"/>
              <w:spacing w:after="0" w:line="177" w:lineRule="exact"/>
              <w:rPr>
                <w:sz w:val="20"/>
                <w:szCs w:val="20"/>
                <w:color w:val="auto"/>
              </w:rPr>
            </w:pPr>
            <w:r>
              <w:rPr>
                <w:rFonts w:ascii="Arial" w:cs="Arial" w:eastAsia="Arial" w:hAnsi="Arial"/>
                <w:sz w:val="17"/>
                <w:szCs w:val="17"/>
                <w:color w:val="auto"/>
              </w:rPr>
              <w:t>Adoption</w:t>
            </w:r>
          </w:p>
        </w:tc>
        <w:tc>
          <w:tcPr>
            <w:tcW w:w="1540" w:type="dxa"/>
            <w:vAlign w:val="bottom"/>
            <w:shd w:val="clear" w:color="auto" w:fill="CCEEFF"/>
          </w:tcPr>
          <w:p>
            <w:pPr>
              <w:ind w:left="360"/>
              <w:spacing w:after="0" w:line="177" w:lineRule="exact"/>
              <w:rPr>
                <w:sz w:val="20"/>
                <w:szCs w:val="20"/>
                <w:color w:val="auto"/>
              </w:rPr>
            </w:pPr>
            <w:r>
              <w:rPr>
                <w:rFonts w:ascii="Arial" w:cs="Arial" w:eastAsia="Arial" w:hAnsi="Arial"/>
                <w:sz w:val="17"/>
                <w:szCs w:val="17"/>
                <w:color w:val="auto"/>
              </w:rPr>
              <w:t>June 12, 2023</w:t>
            </w:r>
          </w:p>
        </w:tc>
        <w:tc>
          <w:tcPr>
            <w:tcW w:w="1640" w:type="dxa"/>
            <w:vAlign w:val="bottom"/>
            <w:shd w:val="clear" w:color="auto" w:fill="CCEEFF"/>
          </w:tcPr>
          <w:p>
            <w:pPr>
              <w:jc w:val="center"/>
              <w:ind w:left="33"/>
              <w:spacing w:after="0" w:line="177" w:lineRule="exact"/>
              <w:rPr>
                <w:sz w:val="20"/>
                <w:szCs w:val="20"/>
                <w:color w:val="auto"/>
              </w:rPr>
            </w:pPr>
            <w:r>
              <w:rPr>
                <w:rFonts w:ascii="Arial" w:cs="Arial" w:eastAsia="Arial" w:hAnsi="Arial"/>
                <w:sz w:val="17"/>
                <w:szCs w:val="17"/>
                <w:color w:val="auto"/>
                <w:w w:val="90"/>
              </w:rPr>
              <w:t>September 14, 2023</w:t>
            </w:r>
          </w:p>
        </w:tc>
        <w:tc>
          <w:tcPr>
            <w:tcW w:w="224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w w:val="99"/>
              </w:rPr>
              <w:t>Up to 90,000 shares of comm</w:t>
            </w:r>
          </w:p>
        </w:tc>
      </w:tr>
      <w:tr>
        <w:trPr>
          <w:trHeight w:val="221"/>
        </w:trPr>
        <w:tc>
          <w:tcPr>
            <w:tcW w:w="48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w w:val="92"/>
              </w:rPr>
              <w:t>to February 9, 2024</w:t>
            </w:r>
          </w:p>
        </w:tc>
        <w:tc>
          <w:tcPr>
            <w:tcW w:w="2240" w:type="dxa"/>
            <w:vAlign w:val="bottom"/>
            <w:shd w:val="clear" w:color="auto" w:fill="CCEEFF"/>
          </w:tcPr>
          <w:p>
            <w:pPr>
              <w:jc w:val="center"/>
              <w:ind w:left="313"/>
              <w:spacing w:after="0"/>
              <w:rPr>
                <w:sz w:val="20"/>
                <w:szCs w:val="20"/>
                <w:color w:val="auto"/>
              </w:rPr>
            </w:pPr>
            <w:r>
              <w:rPr>
                <w:rFonts w:ascii="Arial" w:cs="Arial" w:eastAsia="Arial" w:hAnsi="Arial"/>
                <w:sz w:val="17"/>
                <w:szCs w:val="17"/>
                <w:color w:val="auto"/>
                <w:w w:val="90"/>
              </w:rPr>
              <w:t>stock</w:t>
            </w:r>
          </w:p>
        </w:tc>
      </w:tr>
    </w:tbl>
    <w:p>
      <w:pPr>
        <w:spacing w:after="0" w:line="301" w:lineRule="exact"/>
        <w:rPr>
          <w:sz w:val="20"/>
          <w:szCs w:val="20"/>
          <w:color w:val="auto"/>
        </w:rPr>
      </w:pPr>
    </w:p>
    <w:p>
      <w:pPr>
        <w:ind w:right="120" w:firstLine="627"/>
        <w:spacing w:after="0" w:line="256" w:lineRule="auto"/>
        <w:rPr>
          <w:sz w:val="20"/>
          <w:szCs w:val="20"/>
          <w:color w:val="auto"/>
        </w:rPr>
      </w:pPr>
      <w:r>
        <w:rPr>
          <w:rFonts w:ascii="Arial" w:cs="Arial" w:eastAsia="Arial" w:hAnsi="Arial"/>
          <w:sz w:val="17"/>
          <w:szCs w:val="17"/>
          <w:color w:val="auto"/>
        </w:rPr>
        <w:t>Other than as disclosed above, no other officer, director or entity controlled by such officer or director adopted, modified or terminated a contract, instruction or written plan for the purchase or sale of securities of the company intended to satisfy the affirmative defense of Rule 10b5-1(c) or a non-Rule 10b5-1 trading arrangement.</w:t>
      </w:r>
    </w:p>
    <w:p>
      <w:pPr>
        <w:spacing w:after="0" w:line="200" w:lineRule="exact"/>
        <w:rPr>
          <w:sz w:val="20"/>
          <w:szCs w:val="20"/>
          <w:color w:val="auto"/>
        </w:rPr>
      </w:pPr>
    </w:p>
    <w:p>
      <w:pPr>
        <w:spacing w:after="0" w:line="36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40" w:type="dxa"/>
            <w:vAlign w:val="bottom"/>
            <w:gridSpan w:val="2"/>
            <w:vMerge w:val="restart"/>
          </w:tcPr>
          <w:p>
            <w:pPr>
              <w:ind w:left="700"/>
              <w:spacing w:after="0"/>
              <w:rPr>
                <w:sz w:val="20"/>
                <w:szCs w:val="20"/>
                <w:color w:val="auto"/>
              </w:rPr>
            </w:pPr>
            <w:r>
              <w:rPr>
                <w:rFonts w:ascii="Arial" w:cs="Arial" w:eastAsia="Arial" w:hAnsi="Arial"/>
                <w:sz w:val="14"/>
                <w:szCs w:val="14"/>
                <w:color w:val="auto"/>
              </w:rPr>
              <w:t>Incorporated by Reference</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4"/>
              </w:rPr>
              <w:t>Filed /</w:t>
            </w:r>
          </w:p>
        </w:tc>
        <w:tc>
          <w:tcPr>
            <w:tcW w:w="0" w:type="dxa"/>
            <w:vAlign w:val="bottom"/>
          </w:tcPr>
          <w:p>
            <w:pPr>
              <w:spacing w:after="0"/>
              <w:rPr>
                <w:sz w:val="1"/>
                <w:szCs w:val="1"/>
                <w:color w:val="auto"/>
              </w:rPr>
            </w:pPr>
          </w:p>
        </w:tc>
      </w:tr>
      <w:tr>
        <w:trPr>
          <w:trHeight w:val="100"/>
        </w:trPr>
        <w:tc>
          <w:tcPr>
            <w:tcW w:w="1240" w:type="dxa"/>
            <w:vAlign w:val="bottom"/>
            <w:vMerge w:val="restart"/>
          </w:tcPr>
          <w:p>
            <w:pPr>
              <w:ind w:left="420"/>
              <w:spacing w:after="0" w:line="116" w:lineRule="exact"/>
              <w:rPr>
                <w:sz w:val="20"/>
                <w:szCs w:val="20"/>
                <w:color w:val="auto"/>
              </w:rPr>
            </w:pPr>
            <w:r>
              <w:rPr>
                <w:rFonts w:ascii="Arial" w:cs="Arial" w:eastAsia="Arial" w:hAnsi="Arial"/>
                <w:sz w:val="13"/>
                <w:szCs w:val="13"/>
                <w:color w:val="auto"/>
              </w:rPr>
              <w:t>Exhibit</w:t>
            </w: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40" w:type="dxa"/>
            <w:vAlign w:val="bottom"/>
            <w:gridSpan w:val="2"/>
            <w:vMerge w:val="continue"/>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restart"/>
          </w:tcPr>
          <w:p>
            <w:pPr>
              <w:jc w:val="center"/>
              <w:spacing w:after="0" w:line="116" w:lineRule="exact"/>
              <w:rPr>
                <w:sz w:val="20"/>
                <w:szCs w:val="20"/>
                <w:color w:val="auto"/>
              </w:rPr>
            </w:pPr>
            <w:r>
              <w:rPr>
                <w:rFonts w:ascii="Arial" w:cs="Arial" w:eastAsia="Arial" w:hAnsi="Arial"/>
                <w:sz w:val="13"/>
                <w:szCs w:val="13"/>
                <w:color w:val="auto"/>
                <w:w w:val="96"/>
              </w:rPr>
              <w:t>Furnished</w:t>
            </w:r>
          </w:p>
        </w:tc>
        <w:tc>
          <w:tcPr>
            <w:tcW w:w="0" w:type="dxa"/>
            <w:vAlign w:val="bottom"/>
          </w:tcPr>
          <w:p>
            <w:pPr>
              <w:spacing w:after="0"/>
              <w:rPr>
                <w:sz w:val="1"/>
                <w:szCs w:val="1"/>
                <w:color w:val="auto"/>
              </w:rPr>
            </w:pPr>
          </w:p>
        </w:tc>
      </w:tr>
      <w:tr>
        <w:trPr>
          <w:trHeight w:val="23"/>
        </w:trPr>
        <w:tc>
          <w:tcPr>
            <w:tcW w:w="12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80" w:type="dxa"/>
            <w:vAlign w:val="bottom"/>
            <w:gridSpan w:val="17"/>
            <w:vMerge w:val="restart"/>
          </w:tcPr>
          <w:p>
            <w:pPr>
              <w:ind w:left="80"/>
              <w:spacing w:after="0"/>
              <w:rPr>
                <w:sz w:val="20"/>
                <w:szCs w:val="20"/>
                <w:color w:val="auto"/>
              </w:rPr>
            </w:pPr>
            <w:r>
              <w:rPr>
                <w:rFonts w:ascii="Arial" w:cs="Arial" w:eastAsia="Arial" w:hAnsi="Arial"/>
                <w:sz w:val="14"/>
                <w:szCs w:val="14"/>
                <w:color w:val="auto"/>
              </w:rPr>
              <w:t>Exhibit Description</w:t>
            </w:r>
          </w:p>
        </w:tc>
        <w:tc>
          <w:tcPr>
            <w:tcW w:w="80" w:type="dxa"/>
            <w:vAlign w:val="bottom"/>
            <w:vMerge w:val="restart"/>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24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Number</w:t>
            </w:r>
          </w:p>
        </w:tc>
        <w:tc>
          <w:tcPr>
            <w:tcW w:w="1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17"/>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16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color w:val="auto"/>
                <w:w w:val="91"/>
              </w:rPr>
              <w:t>Form</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File No.</w:t>
            </w: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Exhibit</w:t>
            </w:r>
          </w:p>
        </w:tc>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Filing Date</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Herewith</w:t>
            </w:r>
          </w:p>
        </w:tc>
        <w:tc>
          <w:tcPr>
            <w:tcW w:w="0" w:type="dxa"/>
            <w:vAlign w:val="bottom"/>
          </w:tcPr>
          <w:p>
            <w:pPr>
              <w:spacing w:after="0"/>
              <w:rPr>
                <w:sz w:val="1"/>
                <w:szCs w:val="1"/>
                <w:color w:val="auto"/>
              </w:rPr>
            </w:pPr>
          </w:p>
        </w:tc>
      </w:tr>
      <w:tr>
        <w:trPr>
          <w:trHeight w:val="327"/>
        </w:trPr>
        <w:tc>
          <w:tcPr>
            <w:tcW w:w="1240" w:type="dxa"/>
            <w:vAlign w:val="bottom"/>
          </w:tcPr>
          <w:p>
            <w:pPr>
              <w:ind w:left="20"/>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4"/>
                <w:szCs w:val="24"/>
                <w:color w:val="auto"/>
              </w:rPr>
            </w:pPr>
          </w:p>
        </w:tc>
        <w:tc>
          <w:tcPr>
            <w:tcW w:w="3360" w:type="dxa"/>
            <w:vAlign w:val="bottom"/>
            <w:gridSpan w:val="19"/>
          </w:tcPr>
          <w:p>
            <w:pPr>
              <w:spacing w:after="0"/>
              <w:rPr>
                <w:rFonts w:ascii="Arial" w:cs="Arial" w:eastAsia="Arial" w:hAnsi="Arial"/>
                <w:sz w:val="17"/>
                <w:szCs w:val="17"/>
                <w:color w:val="0000FF"/>
                <w:w w:val="97"/>
              </w:rPr>
            </w:pPr>
            <w:hyperlink r:id="rId56">
              <w:r>
                <w:rPr>
                  <w:rFonts w:ascii="Arial" w:cs="Arial" w:eastAsia="Arial" w:hAnsi="Arial"/>
                  <w:sz w:val="17"/>
                  <w:szCs w:val="17"/>
                  <w:color w:val="0000FF"/>
                  <w:w w:val="97"/>
                </w:rPr>
                <w:t>Second Amended and Restated Certificate of</w:t>
              </w:r>
            </w:hyperlink>
          </w:p>
        </w:tc>
        <w:tc>
          <w:tcPr>
            <w:tcW w:w="1160" w:type="dxa"/>
            <w:vAlign w:val="bottom"/>
          </w:tcPr>
          <w:p>
            <w:pPr>
              <w:jc w:val="center"/>
              <w:spacing w:after="0"/>
              <w:rPr>
                <w:sz w:val="20"/>
                <w:szCs w:val="20"/>
                <w:color w:val="auto"/>
              </w:rPr>
            </w:pPr>
            <w:r>
              <w:rPr>
                <w:rFonts w:ascii="Arial" w:cs="Arial" w:eastAsia="Arial" w:hAnsi="Arial"/>
                <w:sz w:val="17"/>
                <w:szCs w:val="17"/>
                <w:color w:val="auto"/>
              </w:rPr>
              <w:t>8-K</w:t>
            </w:r>
          </w:p>
        </w:tc>
        <w:tc>
          <w:tcPr>
            <w:tcW w:w="1480" w:type="dxa"/>
            <w:vAlign w:val="bottom"/>
          </w:tcPr>
          <w:p>
            <w:pPr>
              <w:jc w:val="center"/>
              <w:spacing w:after="0"/>
              <w:rPr>
                <w:sz w:val="20"/>
                <w:szCs w:val="20"/>
                <w:color w:val="auto"/>
              </w:rPr>
            </w:pPr>
            <w:r>
              <w:rPr>
                <w:rFonts w:ascii="Arial" w:cs="Arial" w:eastAsia="Arial" w:hAnsi="Arial"/>
                <w:sz w:val="17"/>
                <w:szCs w:val="17"/>
                <w:color w:val="auto"/>
                <w:w w:val="93"/>
              </w:rPr>
              <w:t>001-40950</w:t>
            </w:r>
          </w:p>
        </w:tc>
        <w:tc>
          <w:tcPr>
            <w:tcW w:w="116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1380" w:type="dxa"/>
            <w:vAlign w:val="bottom"/>
          </w:tcPr>
          <w:p>
            <w:pPr>
              <w:jc w:val="center"/>
              <w:spacing w:after="0"/>
              <w:rPr>
                <w:sz w:val="20"/>
                <w:szCs w:val="20"/>
                <w:color w:val="auto"/>
              </w:rPr>
            </w:pPr>
            <w:r>
              <w:rPr>
                <w:rFonts w:ascii="Arial" w:cs="Arial" w:eastAsia="Arial" w:hAnsi="Arial"/>
                <w:sz w:val="17"/>
                <w:szCs w:val="17"/>
                <w:color w:val="auto"/>
                <w:w w:val="93"/>
              </w:rPr>
              <w:t>10/25/21</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0000FF"/>
              <w:bottom w:val="single" w:sz="8" w:color="0000FF"/>
            </w:tcBorders>
          </w:tcPr>
          <w:p>
            <w:pPr>
              <w:spacing w:after="0" w:line="163" w:lineRule="exact"/>
              <w:rPr>
                <w:rFonts w:ascii="Arial" w:cs="Arial" w:eastAsia="Arial" w:hAnsi="Arial"/>
                <w:sz w:val="17"/>
                <w:szCs w:val="17"/>
                <w:color w:val="0000FF"/>
                <w:w w:val="94"/>
              </w:rPr>
            </w:pPr>
            <w:hyperlink r:id="rId56">
              <w:r>
                <w:rPr>
                  <w:rFonts w:ascii="Arial" w:cs="Arial" w:eastAsia="Arial" w:hAnsi="Arial"/>
                  <w:sz w:val="17"/>
                  <w:szCs w:val="17"/>
                  <w:color w:val="0000FF"/>
                  <w:w w:val="94"/>
                </w:rPr>
                <w:t>Incorporation.</w:t>
              </w:r>
            </w:hyperlink>
          </w:p>
        </w:tc>
        <w:tc>
          <w:tcPr>
            <w:tcW w:w="2140" w:type="dxa"/>
            <w:vAlign w:val="bottom"/>
            <w:tcBorders>
              <w:top w:val="single" w:sz="8" w:color="0000FF"/>
            </w:tcBorders>
            <w:gridSpan w:val="14"/>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240" w:type="dxa"/>
            <w:vAlign w:val="bottom"/>
          </w:tcPr>
          <w:p>
            <w:pPr>
              <w:ind w:left="20"/>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7"/>
                <w:szCs w:val="17"/>
                <w:color w:val="auto"/>
              </w:rPr>
            </w:pPr>
          </w:p>
        </w:tc>
        <w:tc>
          <w:tcPr>
            <w:tcW w:w="3360" w:type="dxa"/>
            <w:vAlign w:val="bottom"/>
            <w:gridSpan w:val="19"/>
          </w:tcPr>
          <w:p>
            <w:pPr>
              <w:spacing w:after="0"/>
              <w:rPr>
                <w:rFonts w:ascii="Arial" w:cs="Arial" w:eastAsia="Arial" w:hAnsi="Arial"/>
                <w:sz w:val="17"/>
                <w:szCs w:val="17"/>
                <w:color w:val="0000FF"/>
              </w:rPr>
            </w:pPr>
            <w:hyperlink r:id="rId57">
              <w:r>
                <w:rPr>
                  <w:rFonts w:ascii="Arial" w:cs="Arial" w:eastAsia="Arial" w:hAnsi="Arial"/>
                  <w:sz w:val="17"/>
                  <w:szCs w:val="17"/>
                  <w:color w:val="0000FF"/>
                </w:rPr>
                <w:t>Amended and Restated Bylaws.</w:t>
              </w:r>
            </w:hyperlink>
          </w:p>
        </w:tc>
        <w:tc>
          <w:tcPr>
            <w:tcW w:w="1160" w:type="dxa"/>
            <w:vAlign w:val="bottom"/>
          </w:tcPr>
          <w:p>
            <w:pPr>
              <w:jc w:val="center"/>
              <w:spacing w:after="0"/>
              <w:rPr>
                <w:sz w:val="20"/>
                <w:szCs w:val="20"/>
                <w:color w:val="auto"/>
              </w:rPr>
            </w:pPr>
            <w:r>
              <w:rPr>
                <w:rFonts w:ascii="Arial" w:cs="Arial" w:eastAsia="Arial" w:hAnsi="Arial"/>
                <w:sz w:val="17"/>
                <w:szCs w:val="17"/>
                <w:color w:val="auto"/>
              </w:rPr>
              <w:t>8-K</w:t>
            </w:r>
          </w:p>
        </w:tc>
        <w:tc>
          <w:tcPr>
            <w:tcW w:w="1480" w:type="dxa"/>
            <w:vAlign w:val="bottom"/>
          </w:tcPr>
          <w:p>
            <w:pPr>
              <w:jc w:val="center"/>
              <w:spacing w:after="0"/>
              <w:rPr>
                <w:sz w:val="20"/>
                <w:szCs w:val="20"/>
                <w:color w:val="auto"/>
              </w:rPr>
            </w:pPr>
            <w:r>
              <w:rPr>
                <w:rFonts w:ascii="Arial" w:cs="Arial" w:eastAsia="Arial" w:hAnsi="Arial"/>
                <w:sz w:val="17"/>
                <w:szCs w:val="17"/>
                <w:color w:val="auto"/>
                <w:w w:val="93"/>
              </w:rPr>
              <w:t>001-40950</w:t>
            </w:r>
          </w:p>
        </w:tc>
        <w:tc>
          <w:tcPr>
            <w:tcW w:w="116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380" w:type="dxa"/>
            <w:vAlign w:val="bottom"/>
          </w:tcPr>
          <w:p>
            <w:pPr>
              <w:jc w:val="center"/>
              <w:spacing w:after="0"/>
              <w:rPr>
                <w:sz w:val="20"/>
                <w:szCs w:val="20"/>
                <w:color w:val="auto"/>
              </w:rPr>
            </w:pPr>
            <w:r>
              <w:rPr>
                <w:rFonts w:ascii="Arial" w:cs="Arial" w:eastAsia="Arial" w:hAnsi="Arial"/>
                <w:sz w:val="17"/>
                <w:szCs w:val="17"/>
                <w:color w:val="auto"/>
                <w:w w:val="93"/>
              </w:rPr>
              <w:t>10/25/21</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240" w:type="dxa"/>
            <w:vAlign w:val="bottom"/>
            <w:vMerge w:val="restart"/>
          </w:tcPr>
          <w:p>
            <w:pPr>
              <w:ind w:left="20"/>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7"/>
                <w:szCs w:val="17"/>
                <w:color w:val="auto"/>
              </w:rPr>
            </w:pPr>
          </w:p>
        </w:tc>
        <w:tc>
          <w:tcPr>
            <w:tcW w:w="3360" w:type="dxa"/>
            <w:vAlign w:val="bottom"/>
            <w:gridSpan w:val="19"/>
          </w:tcPr>
          <w:p>
            <w:pPr>
              <w:spacing w:after="0"/>
              <w:rPr>
                <w:rFonts w:ascii="Arial" w:cs="Arial" w:eastAsia="Arial" w:hAnsi="Arial"/>
                <w:sz w:val="17"/>
                <w:szCs w:val="17"/>
                <w:color w:val="0000FF"/>
              </w:rPr>
            </w:pPr>
            <w:hyperlink r:id="rId58">
              <w:r>
                <w:rPr>
                  <w:rFonts w:ascii="Arial" w:cs="Arial" w:eastAsia="Arial" w:hAnsi="Arial"/>
                  <w:sz w:val="17"/>
                  <w:szCs w:val="17"/>
                  <w:color w:val="0000FF"/>
                </w:rPr>
                <w:t>Specimen Common Stock Certificate of The</w:t>
              </w:r>
            </w:hyperlink>
          </w:p>
        </w:tc>
        <w:tc>
          <w:tcPr>
            <w:tcW w:w="1160" w:type="dxa"/>
            <w:vAlign w:val="bottom"/>
            <w:vMerge w:val="restart"/>
          </w:tcPr>
          <w:p>
            <w:pPr>
              <w:jc w:val="center"/>
              <w:spacing w:after="0"/>
              <w:rPr>
                <w:sz w:val="20"/>
                <w:szCs w:val="20"/>
                <w:color w:val="auto"/>
              </w:rPr>
            </w:pPr>
            <w:r>
              <w:rPr>
                <w:rFonts w:ascii="Arial" w:cs="Arial" w:eastAsia="Arial" w:hAnsi="Arial"/>
                <w:sz w:val="17"/>
                <w:szCs w:val="17"/>
                <w:color w:val="auto"/>
                <w:w w:val="90"/>
              </w:rPr>
              <w:t>S-1</w:t>
            </w:r>
          </w:p>
        </w:tc>
        <w:tc>
          <w:tcPr>
            <w:tcW w:w="1480" w:type="dxa"/>
            <w:vAlign w:val="bottom"/>
            <w:vMerge w:val="restart"/>
          </w:tcPr>
          <w:p>
            <w:pPr>
              <w:jc w:val="center"/>
              <w:spacing w:after="0"/>
              <w:rPr>
                <w:sz w:val="20"/>
                <w:szCs w:val="20"/>
                <w:color w:val="auto"/>
              </w:rPr>
            </w:pPr>
            <w:r>
              <w:rPr>
                <w:rFonts w:ascii="Arial" w:cs="Arial" w:eastAsia="Arial" w:hAnsi="Arial"/>
                <w:sz w:val="17"/>
                <w:szCs w:val="17"/>
                <w:color w:val="auto"/>
                <w:w w:val="93"/>
              </w:rPr>
              <w:t>333-29825</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auto"/>
                <w:w w:val="92"/>
              </w:rPr>
              <w:t>4.1</w:t>
            </w:r>
          </w:p>
        </w:tc>
        <w:tc>
          <w:tcPr>
            <w:tcW w:w="1380" w:type="dxa"/>
            <w:vAlign w:val="bottom"/>
            <w:vMerge w:val="restart"/>
          </w:tcPr>
          <w:p>
            <w:pPr>
              <w:jc w:val="center"/>
              <w:spacing w:after="0"/>
              <w:rPr>
                <w:sz w:val="20"/>
                <w:szCs w:val="20"/>
                <w:color w:val="auto"/>
              </w:rPr>
            </w:pPr>
            <w:r>
              <w:rPr>
                <w:rFonts w:ascii="Arial" w:cs="Arial" w:eastAsia="Arial" w:hAnsi="Arial"/>
                <w:sz w:val="17"/>
                <w:szCs w:val="17"/>
                <w:color w:val="auto"/>
                <w:w w:val="91"/>
              </w:rPr>
              <w:t>9/27/21</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tcBorders>
              <w:top w:val="single" w:sz="8" w:color="0000FF"/>
            </w:tcBorders>
            <w:gridSpan w:val="13"/>
          </w:tcPr>
          <w:p>
            <w:pPr>
              <w:spacing w:after="0" w:line="163" w:lineRule="exact"/>
              <w:rPr>
                <w:rFonts w:ascii="Arial" w:cs="Arial" w:eastAsia="Arial" w:hAnsi="Arial"/>
                <w:sz w:val="17"/>
                <w:szCs w:val="17"/>
                <w:color w:val="0000FF"/>
              </w:rPr>
            </w:pPr>
            <w:hyperlink r:id="rId58">
              <w:r>
                <w:rPr>
                  <w:rFonts w:ascii="Arial" w:cs="Arial" w:eastAsia="Arial" w:hAnsi="Arial"/>
                  <w:sz w:val="17"/>
                  <w:szCs w:val="17"/>
                  <w:color w:val="0000FF"/>
                </w:rPr>
                <w:t>Vita Coco Company, Inc.</w:t>
              </w:r>
            </w:hyperlink>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16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19"/>
          </w:tcPr>
          <w:p>
            <w:pPr>
              <w:spacing w:after="0"/>
              <w:rPr>
                <w:rFonts w:ascii="Arial" w:cs="Arial" w:eastAsia="Arial" w:hAnsi="Arial"/>
                <w:sz w:val="17"/>
                <w:szCs w:val="17"/>
                <w:color w:val="0000FF"/>
                <w:w w:val="95"/>
              </w:rPr>
            </w:pPr>
            <w:hyperlink r:id="rId59">
              <w:r>
                <w:rPr>
                  <w:rFonts w:ascii="Arial" w:cs="Arial" w:eastAsia="Arial" w:hAnsi="Arial"/>
                  <w:sz w:val="17"/>
                  <w:szCs w:val="17"/>
                  <w:color w:val="0000FF"/>
                  <w:w w:val="95"/>
                </w:rPr>
                <w:t>Registration Rights Agreement, by and among</w:t>
              </w:r>
            </w:hyperlink>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10"/>
          </w:tcPr>
          <w:p>
            <w:pPr>
              <w:spacing w:after="0" w:line="150" w:lineRule="exact"/>
              <w:rPr>
                <w:rFonts w:ascii="Arial" w:cs="Arial" w:eastAsia="Arial" w:hAnsi="Arial"/>
                <w:sz w:val="17"/>
                <w:szCs w:val="17"/>
                <w:color w:val="0000FF"/>
                <w:w w:val="92"/>
              </w:rPr>
            </w:pPr>
            <w:hyperlink r:id="rId59">
              <w:r>
                <w:rPr>
                  <w:rFonts w:ascii="Arial" w:cs="Arial" w:eastAsia="Arial" w:hAnsi="Arial"/>
                  <w:sz w:val="17"/>
                  <w:szCs w:val="17"/>
                  <w:color w:val="0000FF"/>
                  <w:w w:val="92"/>
                </w:rPr>
                <w:t>The Vita Coco Company, Inc. and certain</w:t>
              </w:r>
            </w:hyperlink>
          </w:p>
        </w:tc>
        <w:tc>
          <w:tcPr>
            <w:tcW w:w="340" w:type="dxa"/>
            <w:vAlign w:val="bottom"/>
            <w:tcBorders>
              <w:top w:val="single" w:sz="8" w:color="0000FF"/>
            </w:tcBorders>
            <w:gridSpan w:val="7"/>
          </w:tcPr>
          <w:p>
            <w:pPr>
              <w:spacing w:after="0"/>
              <w:rPr>
                <w:sz w:val="13"/>
                <w:szCs w:val="13"/>
                <w:color w:val="auto"/>
              </w:rPr>
            </w:pPr>
          </w:p>
        </w:tc>
        <w:tc>
          <w:tcPr>
            <w:tcW w:w="12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240" w:type="dxa"/>
            <w:vAlign w:val="bottom"/>
            <w:vMerge w:val="restart"/>
          </w:tcPr>
          <w:p>
            <w:pPr>
              <w:ind w:left="20"/>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4"/>
                <w:szCs w:val="14"/>
                <w:color w:val="auto"/>
              </w:rPr>
            </w:pPr>
          </w:p>
        </w:tc>
        <w:tc>
          <w:tcPr>
            <w:tcW w:w="3360" w:type="dxa"/>
            <w:vAlign w:val="bottom"/>
            <w:gridSpan w:val="19"/>
          </w:tcPr>
          <w:p>
            <w:pPr>
              <w:spacing w:after="0" w:line="163" w:lineRule="exact"/>
              <w:rPr>
                <w:rFonts w:ascii="Arial" w:cs="Arial" w:eastAsia="Arial" w:hAnsi="Arial"/>
                <w:sz w:val="17"/>
                <w:szCs w:val="17"/>
                <w:color w:val="0000FF"/>
              </w:rPr>
            </w:pPr>
            <w:hyperlink r:id="rId59">
              <w:r>
                <w:rPr>
                  <w:rFonts w:ascii="Arial" w:cs="Arial" w:eastAsia="Arial" w:hAnsi="Arial"/>
                  <w:sz w:val="17"/>
                  <w:szCs w:val="17"/>
                  <w:color w:val="0000FF"/>
                </w:rPr>
                <w:t>security holders of The Vita Coco Company,</w:t>
              </w:r>
            </w:hyperlink>
          </w:p>
        </w:tc>
        <w:tc>
          <w:tcPr>
            <w:tcW w:w="1160" w:type="dxa"/>
            <w:vAlign w:val="bottom"/>
            <w:vMerge w:val="restart"/>
          </w:tcPr>
          <w:p>
            <w:pPr>
              <w:jc w:val="center"/>
              <w:spacing w:after="0"/>
              <w:rPr>
                <w:sz w:val="20"/>
                <w:szCs w:val="20"/>
                <w:color w:val="auto"/>
              </w:rPr>
            </w:pPr>
            <w:r>
              <w:rPr>
                <w:rFonts w:ascii="Arial" w:cs="Arial" w:eastAsia="Arial" w:hAnsi="Arial"/>
                <w:sz w:val="17"/>
                <w:szCs w:val="17"/>
                <w:color w:val="auto"/>
              </w:rPr>
              <w:t>8-K</w:t>
            </w:r>
          </w:p>
        </w:tc>
        <w:tc>
          <w:tcPr>
            <w:tcW w:w="1480" w:type="dxa"/>
            <w:vAlign w:val="bottom"/>
            <w:vMerge w:val="restart"/>
          </w:tcPr>
          <w:p>
            <w:pPr>
              <w:jc w:val="center"/>
              <w:spacing w:after="0"/>
              <w:rPr>
                <w:sz w:val="20"/>
                <w:szCs w:val="20"/>
                <w:color w:val="auto"/>
              </w:rPr>
            </w:pPr>
            <w:r>
              <w:rPr>
                <w:rFonts w:ascii="Arial" w:cs="Arial" w:eastAsia="Arial" w:hAnsi="Arial"/>
                <w:sz w:val="17"/>
                <w:szCs w:val="17"/>
                <w:color w:val="auto"/>
                <w:w w:val="93"/>
              </w:rPr>
              <w:t>001-40950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auto"/>
                <w:w w:val="90"/>
              </w:rPr>
              <w:t>10.1</w:t>
            </w:r>
          </w:p>
        </w:tc>
        <w:tc>
          <w:tcPr>
            <w:tcW w:w="1380" w:type="dxa"/>
            <w:vAlign w:val="bottom"/>
            <w:vMerge w:val="restart"/>
          </w:tcPr>
          <w:p>
            <w:pPr>
              <w:jc w:val="center"/>
              <w:spacing w:after="0"/>
              <w:rPr>
                <w:sz w:val="20"/>
                <w:szCs w:val="20"/>
                <w:color w:val="auto"/>
              </w:rPr>
            </w:pPr>
            <w:r>
              <w:rPr>
                <w:rFonts w:ascii="Arial" w:cs="Arial" w:eastAsia="Arial" w:hAnsi="Arial"/>
                <w:sz w:val="17"/>
                <w:szCs w:val="17"/>
                <w:color w:val="auto"/>
                <w:w w:val="93"/>
              </w:rPr>
              <w:t>10/25/21</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5"/>
          </w:tcPr>
          <w:p>
            <w:pPr>
              <w:spacing w:after="0" w:line="150" w:lineRule="exact"/>
              <w:rPr>
                <w:rFonts w:ascii="Arial" w:cs="Arial" w:eastAsia="Arial" w:hAnsi="Arial"/>
                <w:sz w:val="17"/>
                <w:szCs w:val="17"/>
                <w:color w:val="0000FF"/>
                <w:w w:val="91"/>
              </w:rPr>
            </w:pPr>
            <w:hyperlink r:id="rId59">
              <w:r>
                <w:rPr>
                  <w:rFonts w:ascii="Arial" w:cs="Arial" w:eastAsia="Arial" w:hAnsi="Arial"/>
                  <w:sz w:val="17"/>
                  <w:szCs w:val="17"/>
                  <w:color w:val="0000FF"/>
                  <w:w w:val="91"/>
                </w:rPr>
                <w:t>Inc., dated as of October 20, 2021.</w:t>
              </w:r>
            </w:hyperlink>
          </w:p>
        </w:tc>
        <w:tc>
          <w:tcPr>
            <w:tcW w:w="700" w:type="dxa"/>
            <w:vAlign w:val="bottom"/>
            <w:tcBorders>
              <w:top w:val="single" w:sz="8" w:color="0000FF"/>
            </w:tcBorders>
            <w:gridSpan w:val="9"/>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116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19"/>
          </w:tcPr>
          <w:p>
            <w:pPr>
              <w:spacing w:after="0"/>
              <w:rPr>
                <w:rFonts w:ascii="Arial" w:cs="Arial" w:eastAsia="Arial" w:hAnsi="Arial"/>
                <w:sz w:val="17"/>
                <w:szCs w:val="17"/>
                <w:color w:val="0000FF"/>
              </w:rPr>
            </w:pPr>
            <w:hyperlink r:id="rId60">
              <w:r>
                <w:rPr>
                  <w:rFonts w:ascii="Arial" w:cs="Arial" w:eastAsia="Arial" w:hAnsi="Arial"/>
                  <w:sz w:val="17"/>
                  <w:szCs w:val="17"/>
                  <w:color w:val="0000FF"/>
                </w:rPr>
                <w:t>Investor Rights Agreement, among The Vita</w:t>
              </w:r>
            </w:hyperlink>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tcBorders>
              <w:top w:val="single" w:sz="8" w:color="0000FF"/>
            </w:tcBorders>
            <w:gridSpan w:val="12"/>
          </w:tcPr>
          <w:p>
            <w:pPr>
              <w:spacing w:after="0" w:line="163" w:lineRule="exact"/>
              <w:rPr>
                <w:rFonts w:ascii="Arial" w:cs="Arial" w:eastAsia="Arial" w:hAnsi="Arial"/>
                <w:sz w:val="17"/>
                <w:szCs w:val="17"/>
                <w:color w:val="0000FF"/>
                <w:w w:val="94"/>
              </w:rPr>
            </w:pPr>
            <w:hyperlink r:id="rId60">
              <w:r>
                <w:rPr>
                  <w:rFonts w:ascii="Arial" w:cs="Arial" w:eastAsia="Arial" w:hAnsi="Arial"/>
                  <w:sz w:val="17"/>
                  <w:szCs w:val="17"/>
                  <w:color w:val="0000FF"/>
                  <w:w w:val="94"/>
                </w:rPr>
                <w:t>Coco Company, Inc., Verlinvest Beverages</w:t>
              </w:r>
            </w:hyperlink>
          </w:p>
        </w:tc>
        <w:tc>
          <w:tcPr>
            <w:tcW w:w="120" w:type="dxa"/>
            <w:vAlign w:val="bottom"/>
            <w:gridSpan w:val="4"/>
          </w:tcPr>
          <w:p>
            <w:pPr>
              <w:spacing w:after="0"/>
              <w:rPr>
                <w:sz w:val="14"/>
                <w:szCs w:val="14"/>
                <w:color w:val="auto"/>
              </w:rPr>
            </w:pPr>
          </w:p>
        </w:tc>
        <w:tc>
          <w:tcPr>
            <w:tcW w:w="16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240" w:type="dxa"/>
            <w:vAlign w:val="bottom"/>
            <w:vMerge w:val="restart"/>
          </w:tcPr>
          <w:p>
            <w:pPr>
              <w:ind w:left="20"/>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3"/>
                <w:szCs w:val="13"/>
                <w:color w:val="auto"/>
              </w:rPr>
            </w:pPr>
          </w:p>
        </w:tc>
        <w:tc>
          <w:tcPr>
            <w:tcW w:w="3000" w:type="dxa"/>
            <w:vAlign w:val="bottom"/>
            <w:tcBorders>
              <w:top w:val="single" w:sz="8" w:color="0000FF"/>
            </w:tcBorders>
            <w:gridSpan w:val="11"/>
          </w:tcPr>
          <w:p>
            <w:pPr>
              <w:spacing w:after="0" w:line="150" w:lineRule="exact"/>
              <w:rPr>
                <w:rFonts w:ascii="Arial" w:cs="Arial" w:eastAsia="Arial" w:hAnsi="Arial"/>
                <w:sz w:val="17"/>
                <w:szCs w:val="17"/>
                <w:color w:val="0000FF"/>
                <w:w w:val="93"/>
              </w:rPr>
            </w:pPr>
            <w:hyperlink r:id="rId60">
              <w:r>
                <w:rPr>
                  <w:rFonts w:ascii="Arial" w:cs="Arial" w:eastAsia="Arial" w:hAnsi="Arial"/>
                  <w:sz w:val="17"/>
                  <w:szCs w:val="17"/>
                  <w:color w:val="0000FF"/>
                  <w:w w:val="93"/>
                </w:rPr>
                <w:t>SA, Michael Kirban and Ira Liran, dated as</w:t>
              </w:r>
            </w:hyperlink>
          </w:p>
        </w:tc>
        <w:tc>
          <w:tcPr>
            <w:tcW w:w="360" w:type="dxa"/>
            <w:vAlign w:val="bottom"/>
            <w:gridSpan w:val="8"/>
          </w:tcPr>
          <w:p>
            <w:pPr>
              <w:ind w:left="60"/>
              <w:spacing w:after="0" w:line="150" w:lineRule="exact"/>
              <w:rPr>
                <w:rFonts w:ascii="Arial" w:cs="Arial" w:eastAsia="Arial" w:hAnsi="Arial"/>
                <w:sz w:val="17"/>
                <w:szCs w:val="17"/>
                <w:color w:val="0000FF"/>
              </w:rPr>
            </w:pPr>
            <w:hyperlink r:id="rId60">
              <w:r>
                <w:rPr>
                  <w:rFonts w:ascii="Arial" w:cs="Arial" w:eastAsia="Arial" w:hAnsi="Arial"/>
                  <w:sz w:val="17"/>
                  <w:szCs w:val="17"/>
                  <w:color w:val="0000FF"/>
                </w:rPr>
                <w:t>of</w:t>
              </w:r>
            </w:hyperlink>
          </w:p>
        </w:tc>
        <w:tc>
          <w:tcPr>
            <w:tcW w:w="1160" w:type="dxa"/>
            <w:vAlign w:val="bottom"/>
            <w:vMerge w:val="restart"/>
          </w:tcPr>
          <w:p>
            <w:pPr>
              <w:jc w:val="center"/>
              <w:spacing w:after="0"/>
              <w:rPr>
                <w:sz w:val="20"/>
                <w:szCs w:val="20"/>
                <w:color w:val="auto"/>
              </w:rPr>
            </w:pPr>
            <w:r>
              <w:rPr>
                <w:rFonts w:ascii="Arial" w:cs="Arial" w:eastAsia="Arial" w:hAnsi="Arial"/>
                <w:sz w:val="17"/>
                <w:szCs w:val="17"/>
                <w:color w:val="auto"/>
              </w:rPr>
              <w:t>8-K</w:t>
            </w:r>
          </w:p>
        </w:tc>
        <w:tc>
          <w:tcPr>
            <w:tcW w:w="1480" w:type="dxa"/>
            <w:vAlign w:val="bottom"/>
            <w:vMerge w:val="restart"/>
          </w:tcPr>
          <w:p>
            <w:pPr>
              <w:jc w:val="center"/>
              <w:spacing w:after="0"/>
              <w:rPr>
                <w:sz w:val="20"/>
                <w:szCs w:val="20"/>
                <w:color w:val="auto"/>
              </w:rPr>
            </w:pPr>
            <w:r>
              <w:rPr>
                <w:rFonts w:ascii="Arial" w:cs="Arial" w:eastAsia="Arial" w:hAnsi="Arial"/>
                <w:sz w:val="17"/>
                <w:szCs w:val="17"/>
                <w:color w:val="auto"/>
                <w:w w:val="93"/>
              </w:rPr>
              <w:t>001-40950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auto"/>
                <w:w w:val="90"/>
              </w:rPr>
              <w:t>10.2</w:t>
            </w:r>
          </w:p>
        </w:tc>
        <w:tc>
          <w:tcPr>
            <w:tcW w:w="1380" w:type="dxa"/>
            <w:vAlign w:val="bottom"/>
            <w:vMerge w:val="restart"/>
          </w:tcPr>
          <w:p>
            <w:pPr>
              <w:jc w:val="center"/>
              <w:spacing w:after="0"/>
              <w:rPr>
                <w:sz w:val="20"/>
                <w:szCs w:val="20"/>
                <w:color w:val="auto"/>
              </w:rPr>
            </w:pPr>
            <w:r>
              <w:rPr>
                <w:rFonts w:ascii="Arial" w:cs="Arial" w:eastAsia="Arial" w:hAnsi="Arial"/>
                <w:sz w:val="17"/>
                <w:szCs w:val="17"/>
                <w:color w:val="auto"/>
                <w:w w:val="93"/>
              </w:rPr>
              <w:t>10/25/21</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Borders>
              <w:top w:val="single" w:sz="8" w:color="0000FF"/>
            </w:tcBorders>
            <w:gridSpan w:val="16"/>
          </w:tcPr>
          <w:p>
            <w:pPr>
              <w:spacing w:after="0" w:line="150" w:lineRule="exact"/>
              <w:rPr>
                <w:rFonts w:ascii="Arial" w:cs="Arial" w:eastAsia="Arial" w:hAnsi="Arial"/>
                <w:sz w:val="17"/>
                <w:szCs w:val="17"/>
                <w:color w:val="0000FF"/>
              </w:rPr>
            </w:pPr>
            <w:hyperlink r:id="rId60">
              <w:r>
                <w:rPr>
                  <w:rFonts w:ascii="Arial" w:cs="Arial" w:eastAsia="Arial" w:hAnsi="Arial"/>
                  <w:sz w:val="17"/>
                  <w:szCs w:val="17"/>
                  <w:color w:val="0000FF"/>
                </w:rPr>
                <w:t>October 20, 2021.</w:t>
              </w:r>
            </w:hyperlink>
          </w:p>
        </w:tc>
        <w:tc>
          <w:tcPr>
            <w:tcW w:w="160" w:type="dxa"/>
            <w:vAlign w:val="bottom"/>
            <w:gridSpan w:val="3"/>
          </w:tcPr>
          <w:p>
            <w:pPr>
              <w:spacing w:after="0"/>
              <w:rPr>
                <w:sz w:val="13"/>
                <w:szCs w:val="13"/>
                <w:color w:val="auto"/>
              </w:rPr>
            </w:pPr>
          </w:p>
        </w:tc>
        <w:tc>
          <w:tcPr>
            <w:tcW w:w="116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40" w:type="dxa"/>
            <w:vAlign w:val="bottom"/>
            <w:vMerge w:val="restart"/>
          </w:tcPr>
          <w:p>
            <w:pPr>
              <w:ind w:left="20"/>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18"/>
                <w:szCs w:val="18"/>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0000FF"/>
              </w:rPr>
              <w:t>Certification of Chief Executive Officer</w:t>
            </w: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0"/>
        </w:trPr>
        <w:tc>
          <w:tcPr>
            <w:tcW w:w="1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7"/>
          </w:tcPr>
          <w:p>
            <w:pPr>
              <w:spacing w:after="0" w:line="150" w:lineRule="exact"/>
              <w:rPr>
                <w:sz w:val="20"/>
                <w:szCs w:val="20"/>
                <w:color w:val="auto"/>
              </w:rPr>
            </w:pPr>
            <w:r>
              <w:rPr>
                <w:rFonts w:ascii="Arial" w:cs="Arial" w:eastAsia="Arial" w:hAnsi="Arial"/>
                <w:sz w:val="17"/>
                <w:szCs w:val="17"/>
                <w:color w:val="0000FF"/>
                <w:w w:val="92"/>
              </w:rPr>
              <w:t>pursuant to Rule 13a-14(a)/15d-14(a).</w:t>
            </w:r>
          </w:p>
        </w:tc>
        <w:tc>
          <w:tcPr>
            <w:tcW w:w="120" w:type="dxa"/>
            <w:vAlign w:val="bottom"/>
            <w:tcBorders>
              <w:top w:val="single" w:sz="8" w:color="0000FF"/>
            </w:tcBorders>
            <w:gridSpan w:val="2"/>
          </w:tcPr>
          <w:p>
            <w:pPr>
              <w:spacing w:after="0"/>
              <w:rPr>
                <w:sz w:val="13"/>
                <w:szCs w:val="13"/>
                <w:color w:val="auto"/>
              </w:rPr>
            </w:pPr>
          </w:p>
        </w:tc>
        <w:tc>
          <w:tcPr>
            <w:tcW w:w="580" w:type="dxa"/>
            <w:vAlign w:val="bottom"/>
            <w:gridSpan w:val="10"/>
          </w:tcPr>
          <w:p>
            <w:pPr>
              <w:spacing w:after="0"/>
              <w:rPr>
                <w:sz w:val="13"/>
                <w:szCs w:val="13"/>
                <w:color w:val="auto"/>
              </w:rPr>
            </w:pPr>
          </w:p>
        </w:tc>
        <w:tc>
          <w:tcPr>
            <w:tcW w:w="1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240" w:type="dxa"/>
            <w:vAlign w:val="bottom"/>
            <w:vMerge w:val="restart"/>
          </w:tcPr>
          <w:p>
            <w:pPr>
              <w:ind w:left="20"/>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24"/>
                <w:szCs w:val="24"/>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0000FF"/>
              </w:rPr>
              <w:t>Certification of Chief Financial Officer</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3"/>
        </w:trPr>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Borders>
              <w:top w:val="single" w:sz="8" w:color="0000FF"/>
              <w:bottom w:val="single" w:sz="8" w:color="0000FF"/>
            </w:tcBorders>
            <w:gridSpan w:val="7"/>
          </w:tcPr>
          <w:p>
            <w:pPr>
              <w:spacing w:after="0" w:line="163" w:lineRule="exact"/>
              <w:rPr>
                <w:sz w:val="20"/>
                <w:szCs w:val="20"/>
                <w:color w:val="auto"/>
              </w:rPr>
            </w:pPr>
            <w:r>
              <w:rPr>
                <w:rFonts w:ascii="Arial" w:cs="Arial" w:eastAsia="Arial" w:hAnsi="Arial"/>
                <w:sz w:val="17"/>
                <w:szCs w:val="17"/>
                <w:color w:val="0000FF"/>
                <w:w w:val="92"/>
              </w:rPr>
              <w:t>pursuant to Rule 13a-14(a)/15d-14(a).</w:t>
            </w:r>
          </w:p>
        </w:tc>
        <w:tc>
          <w:tcPr>
            <w:tcW w:w="80" w:type="dxa"/>
            <w:vAlign w:val="bottom"/>
            <w:tcBorders>
              <w:top w:val="single" w:sz="8" w:color="0000FF"/>
            </w:tcBorders>
          </w:tcPr>
          <w:p>
            <w:pPr>
              <w:spacing w:after="0"/>
              <w:rPr>
                <w:sz w:val="14"/>
                <w:szCs w:val="14"/>
                <w:color w:val="auto"/>
              </w:rPr>
            </w:pPr>
          </w:p>
        </w:tc>
        <w:tc>
          <w:tcPr>
            <w:tcW w:w="620" w:type="dxa"/>
            <w:vAlign w:val="bottom"/>
            <w:gridSpan w:val="11"/>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1240" w:type="dxa"/>
            <w:vAlign w:val="bottom"/>
            <w:vMerge w:val="restart"/>
          </w:tcPr>
          <w:p>
            <w:pPr>
              <w:ind w:left="20"/>
              <w:spacing w:after="0"/>
              <w:rPr>
                <w:sz w:val="20"/>
                <w:szCs w:val="20"/>
                <w:color w:val="auto"/>
              </w:rPr>
            </w:pPr>
            <w:r>
              <w:rPr>
                <w:rFonts w:ascii="Arial" w:cs="Arial" w:eastAsia="Arial" w:hAnsi="Arial"/>
                <w:sz w:val="17"/>
                <w:szCs w:val="17"/>
                <w:color w:val="auto"/>
              </w:rPr>
              <w:t>32.1</w:t>
            </w:r>
          </w:p>
        </w:tc>
        <w:tc>
          <w:tcPr>
            <w:tcW w:w="120" w:type="dxa"/>
            <w:vAlign w:val="bottom"/>
          </w:tcPr>
          <w:p>
            <w:pPr>
              <w:spacing w:after="0"/>
              <w:rPr>
                <w:sz w:val="22"/>
                <w:szCs w:val="22"/>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0000FF"/>
              </w:rPr>
              <w:t>Certification of Chief Executive Officer</w:t>
            </w: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0"/>
        </w:trPr>
        <w:tc>
          <w:tcPr>
            <w:tcW w:w="1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6"/>
          </w:tcPr>
          <w:p>
            <w:pPr>
              <w:spacing w:after="0" w:line="150" w:lineRule="exact"/>
              <w:rPr>
                <w:sz w:val="20"/>
                <w:szCs w:val="20"/>
                <w:color w:val="auto"/>
              </w:rPr>
            </w:pPr>
            <w:r>
              <w:rPr>
                <w:rFonts w:ascii="Arial" w:cs="Arial" w:eastAsia="Arial" w:hAnsi="Arial"/>
                <w:sz w:val="17"/>
                <w:szCs w:val="17"/>
                <w:color w:val="0000FF"/>
                <w:w w:val="91"/>
              </w:rPr>
              <w:t>pursuant to 18 U.S.C. Section 1350.</w:t>
            </w:r>
          </w:p>
        </w:tc>
        <w:tc>
          <w:tcPr>
            <w:tcW w:w="260" w:type="dxa"/>
            <w:vAlign w:val="bottom"/>
            <w:tcBorders>
              <w:top w:val="single" w:sz="8" w:color="0000FF"/>
            </w:tcBorders>
            <w:gridSpan w:val="3"/>
          </w:tcPr>
          <w:p>
            <w:pPr>
              <w:spacing w:after="0"/>
              <w:rPr>
                <w:sz w:val="13"/>
                <w:szCs w:val="13"/>
                <w:color w:val="auto"/>
              </w:rPr>
            </w:pPr>
          </w:p>
        </w:tc>
        <w:tc>
          <w:tcPr>
            <w:tcW w:w="580" w:type="dxa"/>
            <w:vAlign w:val="bottom"/>
            <w:gridSpan w:val="10"/>
          </w:tcPr>
          <w:p>
            <w:pPr>
              <w:spacing w:after="0"/>
              <w:rPr>
                <w:sz w:val="13"/>
                <w:szCs w:val="13"/>
                <w:color w:val="auto"/>
              </w:rPr>
            </w:pPr>
          </w:p>
        </w:tc>
        <w:tc>
          <w:tcPr>
            <w:tcW w:w="1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1240" w:type="dxa"/>
            <w:vAlign w:val="bottom"/>
            <w:vMerge w:val="restart"/>
          </w:tcPr>
          <w:p>
            <w:pPr>
              <w:ind w:left="20"/>
              <w:spacing w:after="0"/>
              <w:rPr>
                <w:sz w:val="20"/>
                <w:szCs w:val="20"/>
                <w:color w:val="auto"/>
              </w:rPr>
            </w:pPr>
            <w:r>
              <w:rPr>
                <w:rFonts w:ascii="Arial" w:cs="Arial" w:eastAsia="Arial" w:hAnsi="Arial"/>
                <w:sz w:val="17"/>
                <w:szCs w:val="17"/>
                <w:color w:val="auto"/>
              </w:rPr>
              <w:t>32.2</w:t>
            </w:r>
          </w:p>
        </w:tc>
        <w:tc>
          <w:tcPr>
            <w:tcW w:w="120" w:type="dxa"/>
            <w:vAlign w:val="bottom"/>
          </w:tcPr>
          <w:p>
            <w:pPr>
              <w:spacing w:after="0"/>
              <w:rPr>
                <w:sz w:val="24"/>
                <w:szCs w:val="24"/>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0000FF"/>
              </w:rPr>
              <w:t>Certification of Chief Financial Officer</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0"/>
        </w:trPr>
        <w:tc>
          <w:tcPr>
            <w:tcW w:w="1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6"/>
          </w:tcPr>
          <w:p>
            <w:pPr>
              <w:spacing w:after="0" w:line="150" w:lineRule="exact"/>
              <w:rPr>
                <w:sz w:val="20"/>
                <w:szCs w:val="20"/>
                <w:color w:val="auto"/>
              </w:rPr>
            </w:pPr>
            <w:r>
              <w:rPr>
                <w:rFonts w:ascii="Arial" w:cs="Arial" w:eastAsia="Arial" w:hAnsi="Arial"/>
                <w:sz w:val="17"/>
                <w:szCs w:val="17"/>
                <w:color w:val="0000FF"/>
                <w:w w:val="91"/>
              </w:rPr>
              <w:t>pursuant to 18 U.S.C. Section 1350.</w:t>
            </w:r>
          </w:p>
        </w:tc>
        <w:tc>
          <w:tcPr>
            <w:tcW w:w="220" w:type="dxa"/>
            <w:vAlign w:val="bottom"/>
            <w:tcBorders>
              <w:top w:val="single" w:sz="8" w:color="0000FF"/>
            </w:tcBorders>
            <w:gridSpan w:val="2"/>
          </w:tcPr>
          <w:p>
            <w:pPr>
              <w:spacing w:after="0"/>
              <w:rPr>
                <w:sz w:val="13"/>
                <w:szCs w:val="13"/>
                <w:color w:val="auto"/>
              </w:rPr>
            </w:pPr>
          </w:p>
        </w:tc>
        <w:tc>
          <w:tcPr>
            <w:tcW w:w="620" w:type="dxa"/>
            <w:vAlign w:val="bottom"/>
            <w:gridSpan w:val="11"/>
          </w:tcPr>
          <w:p>
            <w:pPr>
              <w:spacing w:after="0"/>
              <w:rPr>
                <w:sz w:val="13"/>
                <w:szCs w:val="13"/>
                <w:color w:val="auto"/>
              </w:rPr>
            </w:pPr>
          </w:p>
        </w:tc>
        <w:tc>
          <w:tcPr>
            <w:tcW w:w="1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auto"/>
              </w:rPr>
              <w:t>Inline XBRL Instance Document—the</w:t>
            </w: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gridSpan w:val="19"/>
          </w:tcPr>
          <w:p>
            <w:pPr>
              <w:spacing w:after="0" w:line="170" w:lineRule="exact"/>
              <w:rPr>
                <w:sz w:val="20"/>
                <w:szCs w:val="20"/>
                <w:color w:val="auto"/>
              </w:rPr>
            </w:pPr>
            <w:r>
              <w:rPr>
                <w:rFonts w:ascii="Arial" w:cs="Arial" w:eastAsia="Arial" w:hAnsi="Arial"/>
                <w:sz w:val="17"/>
                <w:szCs w:val="17"/>
                <w:color w:val="auto"/>
              </w:rPr>
              <w:t>instance document does not appear in the</w:t>
            </w: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gridSpan w:val="19"/>
          </w:tcPr>
          <w:p>
            <w:pPr>
              <w:spacing w:after="0" w:line="170" w:lineRule="exact"/>
              <w:rPr>
                <w:sz w:val="20"/>
                <w:szCs w:val="20"/>
                <w:color w:val="auto"/>
              </w:rPr>
            </w:pPr>
            <w:r>
              <w:rPr>
                <w:rFonts w:ascii="Arial" w:cs="Arial" w:eastAsia="Arial" w:hAnsi="Arial"/>
                <w:sz w:val="17"/>
                <w:szCs w:val="17"/>
                <w:color w:val="auto"/>
              </w:rPr>
              <w:t>Interactive Data File because its XBRL tags</w:t>
            </w: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gridSpan w:val="19"/>
          </w:tcPr>
          <w:p>
            <w:pPr>
              <w:spacing w:after="0" w:line="183" w:lineRule="exact"/>
              <w:rPr>
                <w:sz w:val="20"/>
                <w:szCs w:val="20"/>
                <w:color w:val="auto"/>
              </w:rPr>
            </w:pPr>
            <w:r>
              <w:rPr>
                <w:rFonts w:ascii="Arial" w:cs="Arial" w:eastAsia="Arial" w:hAnsi="Arial"/>
                <w:sz w:val="17"/>
                <w:szCs w:val="17"/>
                <w:color w:val="auto"/>
              </w:rPr>
              <w:t>are embedded within the Inline XBRL</w:t>
            </w: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240" w:type="dxa"/>
            <w:vAlign w:val="bottom"/>
          </w:tcPr>
          <w:p>
            <w:pPr>
              <w:ind w:left="20"/>
              <w:spacing w:after="0"/>
              <w:rPr>
                <w:sz w:val="20"/>
                <w:szCs w:val="20"/>
                <w:color w:val="auto"/>
              </w:rPr>
            </w:pPr>
            <w:r>
              <w:rPr>
                <w:rFonts w:ascii="Arial" w:cs="Arial" w:eastAsia="Arial" w:hAnsi="Arial"/>
                <w:sz w:val="17"/>
                <w:szCs w:val="17"/>
                <w:color w:val="auto"/>
              </w:rPr>
              <w:t>101.INS</w:t>
            </w:r>
          </w:p>
        </w:tc>
        <w:tc>
          <w:tcPr>
            <w:tcW w:w="120" w:type="dxa"/>
            <w:vAlign w:val="bottom"/>
          </w:tcPr>
          <w:p>
            <w:pPr>
              <w:spacing w:after="0"/>
              <w:rPr>
                <w:sz w:val="19"/>
                <w:szCs w:val="19"/>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auto"/>
              </w:rPr>
              <w:t>document.</w:t>
            </w: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1240" w:type="dxa"/>
            <w:vAlign w:val="bottom"/>
            <w:vMerge w:val="restart"/>
          </w:tcPr>
          <w:p>
            <w:pPr>
              <w:ind w:left="20"/>
              <w:spacing w:after="0"/>
              <w:rPr>
                <w:sz w:val="20"/>
                <w:szCs w:val="20"/>
                <w:color w:val="auto"/>
              </w:rPr>
            </w:pPr>
            <w:r>
              <w:rPr>
                <w:rFonts w:ascii="Arial" w:cs="Arial" w:eastAsia="Arial" w:hAnsi="Arial"/>
                <w:sz w:val="17"/>
                <w:szCs w:val="17"/>
                <w:color w:val="auto"/>
              </w:rPr>
              <w:t>101.SCH</w:t>
            </w:r>
          </w:p>
        </w:tc>
        <w:tc>
          <w:tcPr>
            <w:tcW w:w="120" w:type="dxa"/>
            <w:vAlign w:val="bottom"/>
          </w:tcPr>
          <w:p>
            <w:pPr>
              <w:spacing w:after="0"/>
              <w:rPr>
                <w:sz w:val="19"/>
                <w:szCs w:val="19"/>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auto"/>
              </w:rPr>
              <w:t>Inline XBRL Taxonomy Extension Schema</w:t>
            </w: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auto"/>
              </w:rPr>
              <w:t>Document</w:t>
            </w: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240" w:type="dxa"/>
            <w:vAlign w:val="bottom"/>
            <w:vMerge w:val="restart"/>
          </w:tcPr>
          <w:p>
            <w:pPr>
              <w:ind w:left="20"/>
              <w:spacing w:after="0"/>
              <w:rPr>
                <w:sz w:val="20"/>
                <w:szCs w:val="20"/>
                <w:color w:val="auto"/>
              </w:rPr>
            </w:pPr>
            <w:r>
              <w:rPr>
                <w:rFonts w:ascii="Arial" w:cs="Arial" w:eastAsia="Arial" w:hAnsi="Arial"/>
                <w:sz w:val="17"/>
                <w:szCs w:val="17"/>
                <w:color w:val="auto"/>
              </w:rPr>
              <w:t>101.CAL</w:t>
            </w:r>
          </w:p>
        </w:tc>
        <w:tc>
          <w:tcPr>
            <w:tcW w:w="120" w:type="dxa"/>
            <w:vAlign w:val="bottom"/>
          </w:tcPr>
          <w:p>
            <w:pPr>
              <w:spacing w:after="0"/>
              <w:rPr>
                <w:sz w:val="20"/>
                <w:szCs w:val="20"/>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auto"/>
              </w:rPr>
              <w:t>Inline XBRL Taxonomy Extension</w:t>
            </w:r>
          </w:p>
        </w:tc>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auto"/>
              </w:rPr>
              <w:t>Calculation Linkbase Document</w:t>
            </w: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auto"/>
              </w:rPr>
              <w:t>Inline XBRL Taxonomy Extension Definition</w:t>
            </w:r>
          </w:p>
        </w:tc>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240" w:type="dxa"/>
            <w:vAlign w:val="bottom"/>
          </w:tcPr>
          <w:p>
            <w:pPr>
              <w:ind w:left="20"/>
              <w:spacing w:after="0"/>
              <w:rPr>
                <w:sz w:val="20"/>
                <w:szCs w:val="20"/>
                <w:color w:val="auto"/>
              </w:rPr>
            </w:pPr>
            <w:r>
              <w:rPr>
                <w:rFonts w:ascii="Arial" w:cs="Arial" w:eastAsia="Arial" w:hAnsi="Arial"/>
                <w:sz w:val="17"/>
                <w:szCs w:val="17"/>
                <w:color w:val="auto"/>
              </w:rPr>
              <w:t>101.DEF</w:t>
            </w:r>
          </w:p>
        </w:tc>
        <w:tc>
          <w:tcPr>
            <w:tcW w:w="120" w:type="dxa"/>
            <w:vAlign w:val="bottom"/>
          </w:tcPr>
          <w:p>
            <w:pPr>
              <w:spacing w:after="0"/>
              <w:rPr>
                <w:sz w:val="19"/>
                <w:szCs w:val="19"/>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auto"/>
              </w:rPr>
              <w:t>Linkbase Document</w:t>
            </w: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1240" w:type="dxa"/>
            <w:vAlign w:val="bottom"/>
            <w:vMerge w:val="restart"/>
          </w:tcPr>
          <w:p>
            <w:pPr>
              <w:ind w:left="20"/>
              <w:spacing w:after="0"/>
              <w:rPr>
                <w:sz w:val="20"/>
                <w:szCs w:val="20"/>
                <w:color w:val="auto"/>
              </w:rPr>
            </w:pPr>
            <w:r>
              <w:rPr>
                <w:rFonts w:ascii="Arial" w:cs="Arial" w:eastAsia="Arial" w:hAnsi="Arial"/>
                <w:sz w:val="17"/>
                <w:szCs w:val="17"/>
                <w:color w:val="auto"/>
              </w:rPr>
              <w:t>101.LAB</w:t>
            </w:r>
          </w:p>
        </w:tc>
        <w:tc>
          <w:tcPr>
            <w:tcW w:w="120" w:type="dxa"/>
            <w:vAlign w:val="bottom"/>
          </w:tcPr>
          <w:p>
            <w:pPr>
              <w:spacing w:after="0"/>
              <w:rPr>
                <w:sz w:val="19"/>
                <w:szCs w:val="19"/>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auto"/>
              </w:rPr>
              <w:t>Inline XBRL Taxonomy Extension Label</w:t>
            </w: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auto"/>
              </w:rPr>
              <w:t>Linkbase Document</w:t>
            </w: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auto"/>
              </w:rPr>
              <w:t>Inline XBRL Taxonomy Extension</w:t>
            </w:r>
          </w:p>
        </w:tc>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240" w:type="dxa"/>
            <w:vAlign w:val="bottom"/>
          </w:tcPr>
          <w:p>
            <w:pPr>
              <w:ind w:left="20"/>
              <w:spacing w:after="0"/>
              <w:rPr>
                <w:sz w:val="20"/>
                <w:szCs w:val="20"/>
                <w:color w:val="auto"/>
              </w:rPr>
            </w:pPr>
            <w:r>
              <w:rPr>
                <w:rFonts w:ascii="Arial" w:cs="Arial" w:eastAsia="Arial" w:hAnsi="Arial"/>
                <w:sz w:val="17"/>
                <w:szCs w:val="17"/>
                <w:color w:val="auto"/>
              </w:rPr>
              <w:t>101.PRE</w:t>
            </w:r>
          </w:p>
        </w:tc>
        <w:tc>
          <w:tcPr>
            <w:tcW w:w="120" w:type="dxa"/>
            <w:vAlign w:val="bottom"/>
          </w:tcPr>
          <w:p>
            <w:pPr>
              <w:spacing w:after="0"/>
              <w:rPr>
                <w:sz w:val="19"/>
                <w:szCs w:val="19"/>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auto"/>
              </w:rPr>
              <w:t>Presentation Linkbase Document</w:t>
            </w: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1240" w:type="dxa"/>
            <w:vAlign w:val="bottom"/>
            <w:vMerge w:val="restart"/>
          </w:tcPr>
          <w:p>
            <w:pPr>
              <w:ind w:left="20"/>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9"/>
                <w:szCs w:val="19"/>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auto"/>
              </w:rPr>
              <w:t>Cover Page Interactive Data File (formatted</w:t>
            </w: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gridSpan w:val="19"/>
          </w:tcPr>
          <w:p>
            <w:pPr>
              <w:spacing w:after="0"/>
              <w:rPr>
                <w:sz w:val="20"/>
                <w:szCs w:val="20"/>
                <w:color w:val="auto"/>
              </w:rPr>
            </w:pPr>
            <w:r>
              <w:rPr>
                <w:rFonts w:ascii="Arial" w:cs="Arial" w:eastAsia="Arial" w:hAnsi="Arial"/>
                <w:sz w:val="17"/>
                <w:szCs w:val="17"/>
                <w:color w:val="auto"/>
                <w:w w:val="99"/>
              </w:rPr>
              <w:t>as Inline XBRL and contained in Exhibit 101)</w:t>
            </w: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26" w:lineRule="exact"/>
        <w:rPr>
          <w:sz w:val="20"/>
          <w:szCs w:val="20"/>
          <w:color w:val="auto"/>
        </w:rPr>
      </w:pPr>
    </w:p>
    <w:p>
      <w:pPr>
        <w:ind w:left="320" w:hanging="315"/>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Filed herewith.</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24" w:lineRule="exact"/>
        <w:rPr>
          <w:sz w:val="20"/>
          <w:szCs w:val="20"/>
          <w:color w:val="auto"/>
        </w:rPr>
      </w:pPr>
    </w:p>
    <w:p>
      <w:pPr>
        <w:ind w:right="820" w:firstLine="470"/>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3460" w:type="dxa"/>
            <w:vAlign w:val="bottom"/>
          </w:tcPr>
          <w:p>
            <w:pPr>
              <w:spacing w:after="0"/>
              <w:rPr>
                <w:sz w:val="19"/>
                <w:szCs w:val="19"/>
                <w:color w:val="auto"/>
              </w:rPr>
            </w:pPr>
          </w:p>
        </w:tc>
        <w:tc>
          <w:tcPr>
            <w:tcW w:w="7760" w:type="dxa"/>
            <w:vAlign w:val="bottom"/>
            <w:gridSpan w:val="2"/>
          </w:tcPr>
          <w:p>
            <w:pPr>
              <w:ind w:left="1960"/>
              <w:spacing w:after="0"/>
              <w:rPr>
                <w:sz w:val="20"/>
                <w:szCs w:val="20"/>
                <w:color w:val="auto"/>
              </w:rPr>
            </w:pPr>
            <w:r>
              <w:rPr>
                <w:rFonts w:ascii="Arial" w:cs="Arial" w:eastAsia="Arial" w:hAnsi="Arial"/>
                <w:sz w:val="17"/>
                <w:szCs w:val="17"/>
                <w:color w:val="auto"/>
              </w:rPr>
              <w:t>THE VITA COCO COMPANY, INC.</w:t>
            </w:r>
          </w:p>
        </w:tc>
      </w:tr>
      <w:tr>
        <w:trPr>
          <w:trHeight w:val="497"/>
        </w:trPr>
        <w:tc>
          <w:tcPr>
            <w:tcW w:w="3460" w:type="dxa"/>
            <w:vAlign w:val="bottom"/>
          </w:tcPr>
          <w:p>
            <w:pPr>
              <w:spacing w:after="0"/>
              <w:rPr>
                <w:sz w:val="20"/>
                <w:szCs w:val="20"/>
                <w:color w:val="auto"/>
              </w:rPr>
            </w:pPr>
            <w:r>
              <w:rPr>
                <w:rFonts w:ascii="Arial" w:cs="Arial" w:eastAsia="Arial" w:hAnsi="Arial"/>
                <w:sz w:val="17"/>
                <w:szCs w:val="17"/>
                <w:color w:val="auto"/>
              </w:rPr>
              <w:t>Date: August 3, 2023</w:t>
            </w:r>
          </w:p>
        </w:tc>
        <w:tc>
          <w:tcPr>
            <w:tcW w:w="2420" w:type="dxa"/>
            <w:vAlign w:val="bottom"/>
          </w:tcPr>
          <w:p>
            <w:pPr>
              <w:ind w:left="1960"/>
              <w:spacing w:after="0"/>
              <w:rPr>
                <w:sz w:val="20"/>
                <w:szCs w:val="20"/>
                <w:color w:val="auto"/>
              </w:rPr>
            </w:pPr>
            <w:r>
              <w:rPr>
                <w:rFonts w:ascii="Arial" w:cs="Arial" w:eastAsia="Arial" w:hAnsi="Arial"/>
                <w:sz w:val="17"/>
                <w:szCs w:val="17"/>
                <w:color w:val="auto"/>
              </w:rPr>
              <w:t>By:</w:t>
            </w: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Martin Roper</w:t>
            </w:r>
          </w:p>
        </w:tc>
      </w:tr>
      <w:tr>
        <w:trPr>
          <w:trHeight w:val="210"/>
        </w:trPr>
        <w:tc>
          <w:tcPr>
            <w:tcW w:w="3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Arial" w:cs="Arial" w:eastAsia="Arial" w:hAnsi="Arial"/>
                <w:sz w:val="17"/>
                <w:szCs w:val="17"/>
                <w:b w:val="1"/>
                <w:bCs w:val="1"/>
                <w:color w:val="auto"/>
                <w:w w:val="99"/>
              </w:rPr>
              <w:t>Martin Roper</w:t>
            </w:r>
          </w:p>
        </w:tc>
      </w:tr>
      <w:tr>
        <w:trPr>
          <w:trHeight w:val="227"/>
        </w:trPr>
        <w:tc>
          <w:tcPr>
            <w:tcW w:w="3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7"/>
                <w:szCs w:val="17"/>
                <w:b w:val="1"/>
                <w:bCs w:val="1"/>
                <w:color w:val="auto"/>
                <w:w w:val="94"/>
              </w:rPr>
              <w:t>Chief Executive Officer and Director</w:t>
            </w:r>
          </w:p>
        </w:tc>
      </w:tr>
      <w:tr>
        <w:trPr>
          <w:trHeight w:val="222"/>
        </w:trPr>
        <w:tc>
          <w:tcPr>
            <w:tcW w:w="3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7"/>
                <w:szCs w:val="17"/>
                <w:i w:val="1"/>
                <w:iCs w:val="1"/>
                <w:color w:val="auto"/>
                <w:w w:val="97"/>
              </w:rPr>
              <w:t>(Principal Executive Officer)</w:t>
            </w:r>
          </w:p>
        </w:tc>
      </w:tr>
      <w:tr>
        <w:trPr>
          <w:trHeight w:val="497"/>
        </w:trPr>
        <w:tc>
          <w:tcPr>
            <w:tcW w:w="3460" w:type="dxa"/>
            <w:vAlign w:val="bottom"/>
          </w:tcPr>
          <w:p>
            <w:pPr>
              <w:spacing w:after="0"/>
              <w:rPr>
                <w:sz w:val="20"/>
                <w:szCs w:val="20"/>
                <w:color w:val="auto"/>
              </w:rPr>
            </w:pPr>
            <w:r>
              <w:rPr>
                <w:rFonts w:ascii="Arial" w:cs="Arial" w:eastAsia="Arial" w:hAnsi="Arial"/>
                <w:sz w:val="17"/>
                <w:szCs w:val="17"/>
                <w:color w:val="auto"/>
              </w:rPr>
              <w:t>Date: August 3, 2023</w:t>
            </w:r>
          </w:p>
        </w:tc>
        <w:tc>
          <w:tcPr>
            <w:tcW w:w="2420" w:type="dxa"/>
            <w:vAlign w:val="bottom"/>
          </w:tcPr>
          <w:p>
            <w:pPr>
              <w:ind w:left="1960"/>
              <w:spacing w:after="0"/>
              <w:rPr>
                <w:sz w:val="20"/>
                <w:szCs w:val="20"/>
                <w:color w:val="auto"/>
              </w:rPr>
            </w:pPr>
            <w:r>
              <w:rPr>
                <w:rFonts w:ascii="Arial" w:cs="Arial" w:eastAsia="Arial" w:hAnsi="Arial"/>
                <w:sz w:val="17"/>
                <w:szCs w:val="17"/>
                <w:color w:val="auto"/>
              </w:rPr>
              <w:t>By:</w:t>
            </w:r>
          </w:p>
        </w:tc>
        <w:tc>
          <w:tcPr>
            <w:tcW w:w="5340" w:type="dxa"/>
            <w:vAlign w:val="bottom"/>
          </w:tcPr>
          <w:p>
            <w:pPr>
              <w:jc w:val="center"/>
              <w:spacing w:after="0"/>
              <w:rPr>
                <w:sz w:val="20"/>
                <w:szCs w:val="20"/>
                <w:color w:val="auto"/>
              </w:rPr>
            </w:pPr>
            <w:r>
              <w:rPr>
                <w:rFonts w:ascii="Arial" w:cs="Arial" w:eastAsia="Arial" w:hAnsi="Arial"/>
                <w:sz w:val="17"/>
                <w:szCs w:val="17"/>
                <w:color w:val="auto"/>
                <w:w w:val="93"/>
              </w:rPr>
              <w:t>/s/ Corey Baker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0</wp:posOffset>
            </wp:positionV>
            <wp:extent cx="33858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jc w:val="center"/>
        <w:ind w:left="5860"/>
        <w:spacing w:after="0"/>
        <w:rPr>
          <w:sz w:val="20"/>
          <w:szCs w:val="20"/>
          <w:color w:val="auto"/>
        </w:rPr>
      </w:pPr>
      <w:r>
        <w:rPr>
          <w:rFonts w:ascii="Arial" w:cs="Arial" w:eastAsia="Arial" w:hAnsi="Arial"/>
          <w:sz w:val="17"/>
          <w:szCs w:val="17"/>
          <w:b w:val="1"/>
          <w:bCs w:val="1"/>
          <w:color w:val="auto"/>
        </w:rPr>
        <w:t>Corey Baker</w:t>
      </w:r>
    </w:p>
    <w:p>
      <w:pPr>
        <w:spacing w:after="0" w:line="32" w:lineRule="exact"/>
        <w:rPr>
          <w:sz w:val="20"/>
          <w:szCs w:val="20"/>
          <w:color w:val="auto"/>
        </w:rPr>
      </w:pPr>
    </w:p>
    <w:p>
      <w:pPr>
        <w:jc w:val="center"/>
        <w:ind w:left="5860"/>
        <w:spacing w:after="0"/>
        <w:rPr>
          <w:sz w:val="20"/>
          <w:szCs w:val="20"/>
          <w:color w:val="auto"/>
        </w:rPr>
      </w:pPr>
      <w:r>
        <w:rPr>
          <w:rFonts w:ascii="Arial" w:cs="Arial" w:eastAsia="Arial" w:hAnsi="Arial"/>
          <w:sz w:val="17"/>
          <w:szCs w:val="17"/>
          <w:b w:val="1"/>
          <w:bCs w:val="1"/>
          <w:color w:val="auto"/>
        </w:rPr>
        <w:t>Chief Financial Officer</w:t>
      </w:r>
    </w:p>
    <w:p>
      <w:pPr>
        <w:spacing w:after="0" w:line="41" w:lineRule="exact"/>
        <w:rPr>
          <w:sz w:val="20"/>
          <w:szCs w:val="20"/>
          <w:color w:val="auto"/>
        </w:rPr>
      </w:pPr>
    </w:p>
    <w:p>
      <w:pPr>
        <w:ind w:left="7540"/>
        <w:spacing w:after="0"/>
        <w:rPr>
          <w:sz w:val="20"/>
          <w:szCs w:val="20"/>
          <w:color w:val="auto"/>
        </w:rPr>
      </w:pP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Martin Roper, certify that:</w:t>
      </w:r>
    </w:p>
    <w:p>
      <w:pPr>
        <w:spacing w:after="0" w:line="223" w:lineRule="exact"/>
        <w:rPr>
          <w:sz w:val="20"/>
          <w:szCs w:val="20"/>
          <w:color w:val="auto"/>
        </w:rPr>
      </w:pPr>
    </w:p>
    <w:p>
      <w:pPr>
        <w:ind w:left="640" w:hanging="322"/>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Vita Coco Company, Inc.;</w:t>
      </w:r>
    </w:p>
    <w:p>
      <w:pPr>
        <w:spacing w:after="0" w:line="222" w:lineRule="exact"/>
        <w:rPr>
          <w:rFonts w:ascii="Arial" w:cs="Arial" w:eastAsia="Arial" w:hAnsi="Arial"/>
          <w:sz w:val="17"/>
          <w:szCs w:val="17"/>
          <w:color w:val="auto"/>
        </w:rPr>
      </w:pPr>
    </w:p>
    <w:p>
      <w:pPr>
        <w:jc w:val="both"/>
        <w:ind w:left="640" w:right="400" w:hanging="322"/>
        <w:spacing w:after="0" w:line="272"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7"/>
          <w:szCs w:val="17"/>
          <w:color w:val="auto"/>
        </w:rPr>
      </w:pPr>
    </w:p>
    <w:p>
      <w:pPr>
        <w:ind w:left="640" w:right="360" w:hanging="322"/>
        <w:spacing w:after="0" w:line="288"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640" w:hanging="322"/>
        <w:spacing w:after="0" w:line="272"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ind w:left="940" w:right="340" w:hanging="308"/>
        <w:spacing w:after="0" w:line="272" w:lineRule="auto"/>
        <w:tabs>
          <w:tab w:leader="none" w:pos="9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ind w:left="940" w:right="40" w:hanging="308"/>
        <w:spacing w:after="0" w:line="272" w:lineRule="auto"/>
        <w:tabs>
          <w:tab w:leader="none" w:pos="9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jc w:val="both"/>
        <w:ind w:left="940" w:right="800" w:hanging="308"/>
        <w:spacing w:after="0" w:line="358" w:lineRule="auto"/>
        <w:tabs>
          <w:tab w:leader="none" w:pos="94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940" w:right="60" w:hanging="308"/>
        <w:spacing w:after="0" w:line="272" w:lineRule="auto"/>
        <w:tabs>
          <w:tab w:leader="none" w:pos="9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640" w:right="220" w:hanging="322"/>
        <w:spacing w:after="0" w:line="321"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940" w:right="240" w:hanging="308"/>
        <w:spacing w:after="0" w:line="288" w:lineRule="auto"/>
        <w:tabs>
          <w:tab w:leader="none" w:pos="9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940" w:right="200" w:hanging="308"/>
        <w:spacing w:after="0" w:line="288" w:lineRule="auto"/>
        <w:tabs>
          <w:tab w:leader="none" w:pos="9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380" w:val="left"/>
          <w:tab w:leader="none" w:pos="5860" w:val="left"/>
        </w:tabs>
        <w:rPr>
          <w:sz w:val="20"/>
          <w:szCs w:val="20"/>
          <w:color w:val="auto"/>
        </w:rPr>
      </w:pPr>
      <w:r>
        <w:rPr>
          <w:rFonts w:ascii="Arial" w:cs="Arial" w:eastAsia="Arial" w:hAnsi="Arial"/>
          <w:sz w:val="17"/>
          <w:szCs w:val="17"/>
          <w:color w:val="auto"/>
        </w:rPr>
        <w:t>Date: August 3,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16510</wp:posOffset>
            </wp:positionV>
            <wp:extent cx="34105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3410585" cy="8255"/>
                    </a:xfrm>
                    <a:prstGeom prst="rect">
                      <a:avLst/>
                    </a:prstGeom>
                    <a:noFill/>
                  </pic:spPr>
                </pic:pic>
              </a:graphicData>
            </a:graphic>
          </wp:anchor>
        </w:drawing>
      </w:r>
    </w:p>
    <w:p>
      <w:pPr>
        <w:spacing w:after="0" w:line="20"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Martin Roper</w:t>
      </w:r>
    </w:p>
    <w:p>
      <w:pPr>
        <w:spacing w:after="0" w:line="40"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160"/>
          </w:cols>
          <w:pgMar w:left="320" w:top="1114" w:right="41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Corey Baker, certify that:</w:t>
      </w:r>
    </w:p>
    <w:p>
      <w:pPr>
        <w:spacing w:after="0" w:line="223" w:lineRule="exact"/>
        <w:rPr>
          <w:sz w:val="20"/>
          <w:szCs w:val="20"/>
          <w:color w:val="auto"/>
        </w:rPr>
      </w:pPr>
    </w:p>
    <w:p>
      <w:pPr>
        <w:ind w:left="640" w:hanging="322"/>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Vita Coco Company, Inc.;</w:t>
      </w:r>
    </w:p>
    <w:p>
      <w:pPr>
        <w:spacing w:after="0" w:line="222" w:lineRule="exact"/>
        <w:rPr>
          <w:rFonts w:ascii="Arial" w:cs="Arial" w:eastAsia="Arial" w:hAnsi="Arial"/>
          <w:sz w:val="17"/>
          <w:szCs w:val="17"/>
          <w:color w:val="auto"/>
        </w:rPr>
      </w:pPr>
    </w:p>
    <w:p>
      <w:pPr>
        <w:jc w:val="both"/>
        <w:ind w:left="640" w:right="480" w:hanging="322"/>
        <w:spacing w:after="0" w:line="272"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7"/>
          <w:szCs w:val="17"/>
          <w:color w:val="auto"/>
        </w:rPr>
      </w:pPr>
    </w:p>
    <w:p>
      <w:pPr>
        <w:ind w:left="640" w:right="440" w:hanging="322"/>
        <w:spacing w:after="0" w:line="288"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640" w:right="80" w:hanging="322"/>
        <w:spacing w:after="0" w:line="272"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ind w:left="940" w:right="420" w:hanging="308"/>
        <w:spacing w:after="0" w:line="272" w:lineRule="auto"/>
        <w:tabs>
          <w:tab w:leader="none" w:pos="9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ind w:left="940" w:right="120" w:hanging="308"/>
        <w:spacing w:after="0" w:line="272" w:lineRule="auto"/>
        <w:tabs>
          <w:tab w:leader="none" w:pos="9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jc w:val="both"/>
        <w:ind w:left="940" w:right="880" w:hanging="308"/>
        <w:spacing w:after="0" w:line="358" w:lineRule="auto"/>
        <w:tabs>
          <w:tab w:leader="none" w:pos="940"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940" w:right="140" w:hanging="308"/>
        <w:spacing w:after="0" w:line="272" w:lineRule="auto"/>
        <w:tabs>
          <w:tab w:leader="none" w:pos="9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640" w:right="300" w:hanging="322"/>
        <w:spacing w:after="0" w:line="321"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940" w:right="320" w:hanging="308"/>
        <w:spacing w:after="0" w:line="288" w:lineRule="auto"/>
        <w:tabs>
          <w:tab w:leader="none" w:pos="9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940" w:right="280" w:hanging="308"/>
        <w:spacing w:after="0" w:line="288" w:lineRule="auto"/>
        <w:tabs>
          <w:tab w:leader="none" w:pos="9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3420" w:type="dxa"/>
            <w:vAlign w:val="bottom"/>
          </w:tcPr>
          <w:p>
            <w:pPr>
              <w:spacing w:after="0"/>
              <w:rPr>
                <w:sz w:val="20"/>
                <w:szCs w:val="20"/>
                <w:color w:val="auto"/>
              </w:rPr>
            </w:pPr>
            <w:r>
              <w:rPr>
                <w:rFonts w:ascii="Arial" w:cs="Arial" w:eastAsia="Arial" w:hAnsi="Arial"/>
                <w:sz w:val="17"/>
                <w:szCs w:val="17"/>
                <w:color w:val="auto"/>
              </w:rPr>
              <w:t>Date: August 3, 2023</w:t>
            </w:r>
          </w:p>
        </w:tc>
        <w:tc>
          <w:tcPr>
            <w:tcW w:w="7800" w:type="dxa"/>
            <w:vAlign w:val="bottom"/>
            <w:gridSpan w:val="2"/>
          </w:tcPr>
          <w:p>
            <w:pPr>
              <w:ind w:left="1960"/>
              <w:spacing w:after="0"/>
              <w:rPr>
                <w:sz w:val="20"/>
                <w:szCs w:val="20"/>
                <w:color w:val="auto"/>
              </w:rPr>
            </w:pPr>
            <w:r>
              <w:rPr>
                <w:rFonts w:ascii="Arial" w:cs="Arial" w:eastAsia="Arial" w:hAnsi="Arial"/>
                <w:sz w:val="17"/>
                <w:szCs w:val="17"/>
                <w:color w:val="auto"/>
              </w:rPr>
              <w:t>By:   /s/ Corey Baker</w:t>
            </w:r>
          </w:p>
        </w:tc>
      </w:tr>
      <w:tr>
        <w:trPr>
          <w:trHeight w:val="215"/>
        </w:trPr>
        <w:tc>
          <w:tcPr>
            <w:tcW w:w="34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Corey Baker</w:t>
            </w:r>
          </w:p>
        </w:tc>
      </w:tr>
      <w:tr>
        <w:trPr>
          <w:trHeight w:val="235"/>
        </w:trPr>
        <w:tc>
          <w:tcPr>
            <w:tcW w:w="34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22"/>
        </w:trPr>
        <w:tc>
          <w:tcPr>
            <w:tcW w:w="34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7"/>
                <w:szCs w:val="17"/>
                <w:i w:val="1"/>
                <w:iCs w:val="1"/>
                <w:color w:val="auto"/>
              </w:rPr>
              <w:t>(Principal Financial Officer)</w:t>
            </w:r>
          </w:p>
        </w:tc>
      </w:tr>
    </w:tbl>
    <w:p>
      <w:pPr>
        <w:sectPr>
          <w:pgSz w:w="11900" w:h="16838" w:orient="portrait"/>
          <w:cols w:equalWidth="0" w:num="1">
            <w:col w:w="11240"/>
          </w:cols>
          <w:pgMar w:left="320" w:top="1114"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29"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In connection with the Quarterly Report on Form 10-Q of The Vita Coco Company, Inc. (the “Company”) for the quarter ended June 30, 2023 as filed with the Securities and Exchange Commission on the date hereof (the “Report”), I, Martin Roper, certify, pursuant to 18 U.S.C. § 1350, as adopted pursuant to § 906 of the Sarbanes-Oxley Act of 2002, that, to the best of my knowledge:</w:t>
      </w:r>
    </w:p>
    <w:p>
      <w:pPr>
        <w:spacing w:after="0" w:line="172" w:lineRule="exact"/>
        <w:rPr>
          <w:sz w:val="20"/>
          <w:szCs w:val="20"/>
          <w:color w:val="auto"/>
        </w:rPr>
      </w:pPr>
    </w:p>
    <w:p>
      <w:pPr>
        <w:ind w:left="480" w:hanging="475"/>
        <w:spacing w:after="0"/>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as applicable, of the Securities Exchange Act of 1934; and</w:t>
      </w:r>
    </w:p>
    <w:p>
      <w:pPr>
        <w:spacing w:after="0" w:line="222" w:lineRule="exact"/>
        <w:rPr>
          <w:rFonts w:ascii="Arial" w:cs="Arial" w:eastAsia="Arial" w:hAnsi="Arial"/>
          <w:sz w:val="17"/>
          <w:szCs w:val="17"/>
          <w:color w:val="auto"/>
        </w:rPr>
      </w:pPr>
    </w:p>
    <w:p>
      <w:pPr>
        <w:ind w:left="480" w:hanging="475"/>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600" w:type="dxa"/>
            <w:vAlign w:val="bottom"/>
          </w:tcPr>
          <w:p>
            <w:pPr>
              <w:spacing w:after="0"/>
              <w:rPr>
                <w:sz w:val="20"/>
                <w:szCs w:val="20"/>
                <w:color w:val="auto"/>
              </w:rPr>
            </w:pPr>
            <w:r>
              <w:rPr>
                <w:rFonts w:ascii="Arial" w:cs="Arial" w:eastAsia="Arial" w:hAnsi="Arial"/>
                <w:sz w:val="17"/>
                <w:szCs w:val="17"/>
                <w:color w:val="auto"/>
              </w:rPr>
              <w:t>Date: August 3, 2023</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 /s/ Martin Roper</w:t>
            </w:r>
          </w:p>
        </w:tc>
      </w:tr>
      <w:tr>
        <w:trPr>
          <w:trHeight w:val="215"/>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7"/>
                <w:szCs w:val="17"/>
                <w:color w:val="auto"/>
              </w:rPr>
              <w:t>Martin Roper</w:t>
            </w:r>
          </w:p>
        </w:tc>
      </w:tr>
      <w:tr>
        <w:trPr>
          <w:trHeight w:val="235"/>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7"/>
                <w:szCs w:val="17"/>
                <w:i w:val="1"/>
                <w:iCs w:val="1"/>
                <w:color w:val="auto"/>
              </w:rPr>
              <w:t>(Principal Executive Officer)</w:t>
            </w:r>
          </w:p>
        </w:tc>
      </w:tr>
    </w:tbl>
    <w:p>
      <w:pPr>
        <w:sectPr>
          <w:pgSz w:w="11900" w:h="16838" w:orient="portrait"/>
          <w:cols w:equalWidth="0" w:num="1">
            <w:col w:w="11240"/>
          </w:cols>
          <w:pgMar w:left="320" w:top="1114"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Exhibit 32.2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2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connection with the Quarterly Report on Form 10-Q of The Vita Coco Company, Inc. (the “Company”) for the quarter ended June 30, 2023 as filed with the Securities and Exchange Commission on the date hereof (the “Report”), I, Corey Baker, certify, pursuant to 18 U.S.C. § 1350, as adopted pursuant to § 906 of the Sarbanes-Oxley Act of 2002, that, to the best of my knowledge:</w:t>
      </w:r>
    </w:p>
    <w:p>
      <w:pPr>
        <w:spacing w:after="0" w:line="172" w:lineRule="exact"/>
        <w:rPr>
          <w:sz w:val="20"/>
          <w:szCs w:val="20"/>
          <w:color w:val="auto"/>
        </w:rPr>
      </w:pPr>
    </w:p>
    <w:p>
      <w:pPr>
        <w:ind w:left="320" w:hanging="315"/>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as applicable, of the Securities Exchange Act of 1934; and</w:t>
      </w:r>
    </w:p>
    <w:p>
      <w:pPr>
        <w:spacing w:after="0" w:line="222" w:lineRule="exact"/>
        <w:rPr>
          <w:rFonts w:ascii="Arial" w:cs="Arial" w:eastAsia="Arial" w:hAnsi="Arial"/>
          <w:sz w:val="17"/>
          <w:szCs w:val="17"/>
          <w:color w:val="auto"/>
        </w:rPr>
      </w:pPr>
    </w:p>
    <w:p>
      <w:pPr>
        <w:ind w:left="320" w:hanging="315"/>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600" w:type="dxa"/>
            <w:vAlign w:val="bottom"/>
          </w:tcPr>
          <w:p>
            <w:pPr>
              <w:spacing w:after="0"/>
              <w:rPr>
                <w:sz w:val="20"/>
                <w:szCs w:val="20"/>
                <w:color w:val="auto"/>
              </w:rPr>
            </w:pPr>
            <w:r>
              <w:rPr>
                <w:rFonts w:ascii="Arial" w:cs="Arial" w:eastAsia="Arial" w:hAnsi="Arial"/>
                <w:sz w:val="17"/>
                <w:szCs w:val="17"/>
                <w:color w:val="auto"/>
              </w:rPr>
              <w:t>Date: August 3, 2023</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 /s/ Corey Baker</w:t>
            </w:r>
          </w:p>
        </w:tc>
      </w:tr>
      <w:tr>
        <w:trPr>
          <w:trHeight w:val="215"/>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7"/>
                <w:szCs w:val="17"/>
                <w:color w:val="auto"/>
              </w:rPr>
              <w:t>Corey Baker</w:t>
            </w:r>
          </w:p>
        </w:tc>
      </w:tr>
      <w:tr>
        <w:trPr>
          <w:trHeight w:val="235"/>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7"/>
                <w:szCs w:val="17"/>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lvl w:ilvl="1">
      <w:lvlJc w:val="left"/>
      <w:lvlText w:val="(%2)"/>
      <w:numFmt w:val="decimal"/>
      <w:start w:val="1"/>
    </w:lvl>
  </w:abstractNum>
  <w:abstractNum w:abstractNumId="12">
    <w:nsid w:val="519B500D"/>
    <w:multiLevelType w:val="hybridMultilevel"/>
    <w:lvl w:ilvl="0">
      <w:lvlJc w:val="left"/>
      <w:lvlText w:val="%1."/>
      <w:numFmt w:val="decimal"/>
      <w:start w:val="14"/>
    </w:lvl>
    <w:lvl w:ilvl="1">
      <w:lvlJc w:val="left"/>
      <w:lvlText w:val="%2"/>
      <w:numFmt w:val="decimal"/>
      <w:start w:val="1"/>
    </w:lvl>
  </w:abstractNum>
  <w:abstractNum w:abstractNumId="13">
    <w:nsid w:val="431BD7B7"/>
    <w:multiLevelType w:val="hybridMultilevel"/>
    <w:lvl w:ilvl="0">
      <w:lvlJc w:val="left"/>
      <w:lvlText w:val="&amp;"/>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56" Type="http://schemas.openxmlformats.org/officeDocument/2006/relationships/hyperlink" Target="https://www.sec.gov/Archives/edgar/data/0001482981/000119312521306737/d222890dex31.htm" TargetMode="External"/><Relationship Id="rId57" Type="http://schemas.openxmlformats.org/officeDocument/2006/relationships/hyperlink" Target="https://www.sec.gov/Archives/edgar/data/0001482981/000119312521306737/d222890dex32.htm" TargetMode="External"/><Relationship Id="rId58" Type="http://schemas.openxmlformats.org/officeDocument/2006/relationships/hyperlink" Target="https://www.sec.gov/Archives/edgar/data/0001482981/000119312521284306/d197386dex41.htm" TargetMode="External"/><Relationship Id="rId59" Type="http://schemas.openxmlformats.org/officeDocument/2006/relationships/hyperlink" Target="https://www.sec.gov/Archives/edgar/data/0001482981/000119312521306737/d222890dex101.htm" TargetMode="External"/><Relationship Id="rId60" Type="http://schemas.openxmlformats.org/officeDocument/2006/relationships/hyperlink" Target="https://www.sec.gov/Archives/edgar/data/0001482981/000119312521306737/d22289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2023-08-03T11:59:36Z</dcterms:created>
  <dcterms:modified xsi:type="dcterms:W3CDTF">2023-08-03T11:59:36Z</dcterms:modified>
</cp:coreProperties>
</file>