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380" w:right="360" w:hanging="354"/>
        <w:spacing w:after="0" w:line="275" w:lineRule="auto"/>
        <w:tabs>
          <w:tab w:leader="none" w:pos="3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20" w:right="300" w:hanging="394"/>
        <w:spacing w:after="0" w:line="262" w:lineRule="auto"/>
        <w:tabs>
          <w:tab w:leader="none" w:pos="42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Vita Coco Company,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1"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11-3713156</w:t>
            </w:r>
          </w:p>
        </w:tc>
      </w:tr>
      <w:tr>
        <w:trPr>
          <w:trHeight w:val="178"/>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8"/>
              </w:rPr>
              <w:t>111 Fifth Avenue</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Times New Roman" w:cs="Times New Roman" w:eastAsia="Times New Roman" w:hAnsi="Times New Roman"/>
                <w:sz w:val="18"/>
                <w:szCs w:val="18"/>
                <w:b w:val="1"/>
                <w:bCs w:val="1"/>
                <w:color w:val="auto"/>
              </w:rPr>
              <w:t>Second Floor</w:t>
            </w:r>
          </w:p>
        </w:tc>
        <w:tc>
          <w:tcPr>
            <w:tcW w:w="1240" w:type="dxa"/>
            <w:vAlign w:val="bottom"/>
          </w:tcPr>
          <w:p>
            <w:pPr>
              <w:spacing w:after="0"/>
              <w:rPr>
                <w:sz w:val="17"/>
                <w:szCs w:val="17"/>
                <w:color w:val="auto"/>
              </w:rPr>
            </w:pPr>
          </w:p>
        </w:tc>
      </w:tr>
      <w:tr>
        <w:trPr>
          <w:trHeight w:val="265"/>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206"/>
        </w:trPr>
        <w:tc>
          <w:tcPr>
            <w:tcW w:w="6180" w:type="dxa"/>
            <w:vAlign w:val="bottom"/>
          </w:tcPr>
          <w:p>
            <w:pPr>
              <w:jc w:val="center"/>
              <w:ind w:right="37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4"/>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w w:val="99"/>
              </w:rPr>
              <w:t>(212) 206-0763</w:t>
            </w:r>
          </w:p>
        </w:tc>
        <w:tc>
          <w:tcPr>
            <w:tcW w:w="1240" w:type="dxa"/>
            <w:vAlign w:val="bottom"/>
          </w:tcPr>
          <w:p>
            <w:pPr>
              <w:spacing w:after="0"/>
              <w:rPr>
                <w:sz w:val="24"/>
                <w:szCs w:val="24"/>
                <w:color w:val="auto"/>
              </w:rPr>
            </w:pPr>
          </w:p>
        </w:tc>
      </w:tr>
      <w:tr>
        <w:trPr>
          <w:trHeight w:val="238"/>
        </w:trPr>
        <w:tc>
          <w:tcPr>
            <w:tcW w:w="6180" w:type="dxa"/>
            <w:vAlign w:val="bottom"/>
          </w:tcPr>
          <w:p>
            <w:pPr>
              <w:jc w:val="center"/>
              <w:ind w:left="1795"/>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Times New Roman" w:cs="Times New Roman" w:eastAsia="Times New Roman" w:hAnsi="Times New Roman"/>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COCO</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0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5"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500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30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27, 2026, there were 57,112,643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7260" w:type="dxa"/>
            <w:vAlign w:val="bottom"/>
            <w:gridSpan w:val="11"/>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1"/>
            <w:vMerge w:val="continue"/>
          </w:tcPr>
          <w:p>
            <w:pPr>
              <w:spacing w:after="0"/>
              <w:rPr>
                <w:sz w:val="20"/>
                <w:szCs w:val="20"/>
                <w:color w:val="auto"/>
              </w:rPr>
            </w:pPr>
          </w:p>
        </w:tc>
        <w:tc>
          <w:tcPr>
            <w:tcW w:w="7260" w:type="dxa"/>
            <w:vAlign w:val="bottom"/>
            <w:gridSpan w:val="11"/>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40" w:type="dxa"/>
            <w:vAlign w:val="bottom"/>
            <w:gridSpan w:val="8"/>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31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&amp; Other Comprehensive (Loss) Income for the three months ended March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32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2026 and 2025</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20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80" w:type="dxa"/>
            <w:vAlign w:val="bottom"/>
            <w:tcBorders>
              <w:top w:val="single" w:sz="8" w:color="0000FF"/>
            </w:tcBorders>
            <w:gridSpan w:val="6"/>
          </w:tcPr>
          <w:p>
            <w:pPr>
              <w:spacing w:after="0"/>
              <w:rPr>
                <w:sz w:val="20"/>
                <w:szCs w:val="20"/>
                <w:color w:val="auto"/>
              </w:rPr>
            </w:pPr>
          </w:p>
        </w:tc>
        <w:tc>
          <w:tcPr>
            <w:tcW w:w="188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80" w:type="dxa"/>
            <w:vAlign w:val="bottom"/>
            <w:gridSpan w:val="13"/>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756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2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4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gridSpan w:val="15"/>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fiscal year ended December 31, 2025 and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196,873</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 of $2,752 at March 31, 2026, and $2,660 at December 31, 2025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81,514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111,468</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Supplier advances, current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30,160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421,440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advances, long-term</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11,592</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488,343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461,158</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25,464</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07"/>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116,432</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13,087</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136,170</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129,616</w:t>
            </w:r>
          </w:p>
        </w:tc>
        <w:tc>
          <w:tcPr>
            <w:tcW w:w="0" w:type="dxa"/>
            <w:vAlign w:val="bottom"/>
          </w:tcPr>
          <w:p>
            <w:pPr>
              <w:spacing w:after="0"/>
              <w:rPr>
                <w:sz w:val="1"/>
                <w:szCs w:val="1"/>
                <w:color w:val="auto"/>
              </w:rPr>
            </w:pP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(See Note 7)</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500,000,000 shares authorized; 64,435,954 and 64,186,549 shares issued at March 31,</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62"/>
        </w:trPr>
        <w:tc>
          <w:tcPr>
            <w:tcW w:w="8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2026 and December 31, 2025, respectively; 57,106,305 and 57,082,173 shares outstanding at March 31, 2026 and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185,400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228,014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Treasury stock, 7,329,649 shares at cost as of March 31, 2026, and 7,104,376 shares at cost as of December 31, 2025.</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(94,505)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352,173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331,542</w:t>
            </w:r>
          </w:p>
        </w:tc>
        <w:tc>
          <w:tcPr>
            <w:tcW w:w="0" w:type="dxa"/>
            <w:vAlign w:val="bottom"/>
          </w:tcPr>
          <w:p>
            <w:pPr>
              <w:spacing w:after="0"/>
              <w:rPr>
                <w:sz w:val="1"/>
                <w:szCs w:val="1"/>
                <w:color w:val="auto"/>
              </w:rPr>
            </w:pPr>
          </w:p>
        </w:tc>
      </w:tr>
      <w:tr>
        <w:trPr>
          <w:trHeight w:val="212"/>
        </w:trPr>
        <w:tc>
          <w:tcPr>
            <w:tcW w:w="8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488,343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461,158</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&amp;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0" w:type="dxa"/>
            <w:vAlign w:val="bottom"/>
          </w:tcPr>
          <w:p>
            <w:pPr>
              <w:spacing w:after="0"/>
              <w:rPr>
                <w:sz w:val="1"/>
                <w:szCs w:val="1"/>
                <w:color w:val="auto"/>
              </w:rPr>
            </w:pP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85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57,114,475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56,994,146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60,471,324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59,975,827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7"/>
        </w:trPr>
        <w:tc>
          <w:tcPr>
            <w:tcW w:w="1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vMerge w:val="restart"/>
          </w:tcPr>
          <w:p>
            <w:pPr>
              <w:jc w:val="center"/>
              <w:ind w:left="268"/>
              <w:spacing w:after="0" w:line="151" w:lineRule="exact"/>
              <w:rPr>
                <w:sz w:val="20"/>
                <w:szCs w:val="20"/>
                <w:color w:val="auto"/>
              </w:rPr>
            </w:pPr>
            <w:r>
              <w:rPr>
                <w:rFonts w:ascii="Times New Roman" w:cs="Times New Roman" w:eastAsia="Times New Roman" w:hAnsi="Times New Roman"/>
                <w:sz w:val="14"/>
                <w:szCs w:val="14"/>
                <w:b w:val="1"/>
                <w:bCs w:val="1"/>
                <w:color w:val="auto"/>
              </w:rPr>
              <w:t>with Exit</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5"/>
            <w:vMerge w:val="restart"/>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Total Common</w:t>
            </w:r>
          </w:p>
        </w:tc>
        <w:tc>
          <w:tcPr>
            <w:tcW w:w="820" w:type="dxa"/>
            <w:vAlign w:val="bottom"/>
            <w:gridSpan w:val="3"/>
            <w:vMerge w:val="restart"/>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Attributable</w:t>
            </w: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138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to The Vita</w:t>
            </w:r>
          </w:p>
        </w:tc>
        <w:tc>
          <w:tcPr>
            <w:tcW w:w="0" w:type="dxa"/>
            <w:vAlign w:val="bottom"/>
          </w:tcPr>
          <w:p>
            <w:pPr>
              <w:spacing w:after="0"/>
              <w:rPr>
                <w:sz w:val="1"/>
                <w:szCs w:val="1"/>
                <w:color w:val="auto"/>
              </w:rPr>
            </w:pPr>
          </w:p>
        </w:tc>
      </w:tr>
      <w:tr>
        <w:trPr>
          <w:trHeight w:val="92"/>
        </w:trPr>
        <w:tc>
          <w:tcPr>
            <w:tcW w:w="160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gridSpan w:val="3"/>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600" w:type="dxa"/>
            <w:vAlign w:val="bottom"/>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Other</w:t>
            </w:r>
          </w:p>
        </w:tc>
        <w:tc>
          <w:tcPr>
            <w:tcW w:w="14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center"/>
              <w:ind w:right="69"/>
              <w:spacing w:after="0" w:line="103" w:lineRule="exact"/>
              <w:rPr>
                <w:sz w:val="20"/>
                <w:szCs w:val="20"/>
                <w:color w:val="auto"/>
              </w:rPr>
            </w:pPr>
            <w:r>
              <w:rPr>
                <w:rFonts w:ascii="Times New Roman" w:cs="Times New Roman" w:eastAsia="Times New Roman" w:hAnsi="Times New Roman"/>
                <w:sz w:val="11"/>
                <w:szCs w:val="11"/>
                <w:b w:val="1"/>
                <w:bCs w:val="1"/>
                <w:color w:val="auto"/>
              </w:rPr>
              <w:t>Coco</w:t>
            </w:r>
          </w:p>
        </w:tc>
        <w:tc>
          <w:tcPr>
            <w:tcW w:w="0" w:type="dxa"/>
            <w:vAlign w:val="bottom"/>
          </w:tcPr>
          <w:p>
            <w:pPr>
              <w:spacing w:after="0"/>
              <w:rPr>
                <w:sz w:val="1"/>
                <w:szCs w:val="1"/>
                <w:color w:val="auto"/>
              </w:rPr>
            </w:pPr>
          </w:p>
        </w:tc>
      </w:tr>
      <w:tr>
        <w:trPr>
          <w:trHeight w:val="161"/>
        </w:trPr>
        <w:tc>
          <w:tcPr>
            <w:tcW w:w="1600" w:type="dxa"/>
            <w:vAlign w:val="bottom"/>
          </w:tcPr>
          <w:p>
            <w:pPr>
              <w:spacing w:after="0"/>
              <w:rPr>
                <w:sz w:val="13"/>
                <w:szCs w:val="13"/>
                <w:color w:val="auto"/>
              </w:rPr>
            </w:pPr>
          </w:p>
        </w:tc>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4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8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vMerge w:val="continue"/>
          </w:tcPr>
          <w:p>
            <w:pPr>
              <w:spacing w:after="0"/>
              <w:rPr>
                <w:sz w:val="17"/>
                <w:szCs w:val="17"/>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7"/>
                <w:szCs w:val="17"/>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 (Loss)</w:t>
            </w:r>
          </w:p>
        </w:tc>
        <w:tc>
          <w:tcPr>
            <w:tcW w:w="8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55,589,282</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556</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63,702,387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637</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174,077</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$ 156,694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6,740,446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(71,731)</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258,817</w:t>
            </w:r>
          </w:p>
        </w:tc>
        <w:tc>
          <w:tcPr>
            <w:tcW w:w="0" w:type="dxa"/>
            <w:vAlign w:val="bottom"/>
          </w:tcPr>
          <w:p>
            <w:pPr>
              <w:spacing w:after="0"/>
              <w:rPr>
                <w:sz w:val="1"/>
                <w:szCs w:val="1"/>
                <w:color w:val="auto"/>
              </w:rPr>
            </w:pPr>
          </w:p>
        </w:tc>
      </w:tr>
      <w:tr>
        <w:trPr>
          <w:trHeight w:val="20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18,882</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3"/>
        </w:trPr>
        <w:tc>
          <w:tcPr>
            <w:tcW w:w="1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55,694,614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557</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63,807,719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175,241</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6,789,419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(73,232)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277,858</w:t>
            </w:r>
          </w:p>
        </w:tc>
        <w:tc>
          <w:tcPr>
            <w:tcW w:w="0" w:type="dxa"/>
            <w:vAlign w:val="bottom"/>
          </w:tcPr>
          <w:p>
            <w:pPr>
              <w:spacing w:after="0"/>
              <w:rPr>
                <w:sz w:val="1"/>
                <w:szCs w:val="1"/>
                <w:color w:val="auto"/>
              </w:rPr>
            </w:pPr>
          </w:p>
        </w:tc>
      </w:tr>
      <w:tr>
        <w:trPr>
          <w:trHeight w:val="19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56,073,444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64,186,549</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185,400</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$ 228,014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7,104,376</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331,542</w:t>
            </w:r>
          </w:p>
        </w:tc>
        <w:tc>
          <w:tcPr>
            <w:tcW w:w="0" w:type="dxa"/>
            <w:vAlign w:val="bottom"/>
          </w:tcPr>
          <w:p>
            <w:pPr>
              <w:spacing w:after="0"/>
              <w:rPr>
                <w:sz w:val="1"/>
                <w:szCs w:val="1"/>
                <w:color w:val="auto"/>
              </w:rPr>
            </w:pPr>
          </w:p>
        </w:tc>
      </w:tr>
      <w:tr>
        <w:trPr>
          <w:trHeight w:val="20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30,474</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225,273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0" w:type="dxa"/>
            <w:vAlign w:val="bottom"/>
          </w:tcPr>
          <w:p>
            <w:pPr>
              <w:spacing w:after="0"/>
              <w:rPr>
                <w:sz w:val="1"/>
                <w:szCs w:val="1"/>
                <w:color w:val="auto"/>
              </w:rPr>
            </w:pPr>
          </w:p>
        </w:tc>
      </w:tr>
      <w:tr>
        <w:trPr>
          <w:trHeight w:val="195"/>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4,626</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4,626</w:t>
            </w: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0" w:type="dxa"/>
            <w:vAlign w:val="bottom"/>
          </w:tcPr>
          <w:p>
            <w:pPr>
              <w:spacing w:after="0"/>
              <w:rPr>
                <w:sz w:val="1"/>
                <w:szCs w:val="1"/>
                <w:color w:val="auto"/>
              </w:rPr>
            </w:pPr>
          </w:p>
        </w:tc>
      </w:tr>
      <w:tr>
        <w:trPr>
          <w:trHeight w:val="139"/>
        </w:trPr>
        <w:tc>
          <w:tcPr>
            <w:tcW w:w="16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93"/>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translation adjustment</w:t>
            </w: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56,322,849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563</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8,113,105</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64,435,954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644</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187,520</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$ 258,488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7,329,649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(94,505)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352,173</w:t>
            </w:r>
          </w:p>
        </w:tc>
        <w:tc>
          <w:tcPr>
            <w:tcW w:w="0" w:type="dxa"/>
            <w:vAlign w:val="bottom"/>
          </w:tcPr>
          <w:p>
            <w:pPr>
              <w:spacing w:after="0"/>
              <w:rPr>
                <w:sz w:val="1"/>
                <w:szCs w:val="1"/>
                <w:color w:val="auto"/>
              </w:rPr>
            </w:pPr>
          </w:p>
        </w:tc>
      </w:tr>
      <w:tr>
        <w:trPr>
          <w:trHeight w:val="20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CONDENSED CONSOLIDATED STATEMENTS OF CASH FLOWS (UNAUDITED)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18,882</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required to reconcile net income to cash flows from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(Decrease) increase of provision for credit losses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30"/>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7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r>
      <w:tr>
        <w:trPr>
          <w:trHeight w:val="229"/>
        </w:trPr>
        <w:tc>
          <w:tcPr>
            <w:tcW w:w="79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r>
      <w:tr>
        <w:trPr>
          <w:trHeight w:val="229"/>
        </w:trPr>
        <w:tc>
          <w:tcPr>
            <w:tcW w:w="79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net supplier advances,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30"/>
        </w:trPr>
        <w:tc>
          <w:tcPr>
            <w:tcW w:w="79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awards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on notes payable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to acquire treasury stock</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79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r>
      <w:tr>
        <w:trPr>
          <w:trHeight w:val="22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165,933</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$1,281 and $1,264 of restricted cash as of December 31, 2025 and 2024, respectively. Includes $1,284 and $1,268 of restricted cash as of March 31, 2026 and 2025, respectively, reported in other current assets on the condensed consolidated balance sheet.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8" w:lineRule="auto"/>
        <w:rPr>
          <w:sz w:val="20"/>
          <w:szCs w:val="20"/>
          <w:color w:val="auto"/>
        </w:rPr>
      </w:pPr>
      <w:r>
        <w:rPr>
          <w:rFonts w:ascii="Times New Roman" w:cs="Times New Roman" w:eastAsia="Times New Roman" w:hAnsi="Times New Roman"/>
          <w:sz w:val="18"/>
          <w:szCs w:val="18"/>
          <w:b w:val="1"/>
          <w:bCs w:val="1"/>
          <w:color w:val="auto"/>
        </w:rPr>
        <w:t>THE VITA COCO COMPANY, INC. AND SUBSIDIARIES NOTES TO CONDENSED CONSOLIDATED FINANCIAL STATEMENTS (UNAUDITED) (Amounts in thousands, except share and per share amounts)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("Private Label"), predominantly in the United States ("U.S."). Other products include coconut milk, coconut oil, and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are a public benefit corporation under Section 362 of the Delaware General Corporation Law. As a public benefit corporation, our Board of Directors (the "Board")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ten wholly-owned subsidiaries, including four wholly-owned Asian subsidiaries established between fiscal 2012 and 2015, four North American subsidiaries established between 2012 and 2018, All Market Europe, Ltd. (“AME”) in the United Kingdom established in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16,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2026 or for any other interim period or for any other future year. The condensed consolidated financial statements included herein should be read in conjunction with the audited consolidated financial statements and the related notes thereto for the fiscal year ended December 31, 2025.</w:t>
      </w:r>
    </w:p>
    <w:p>
      <w:pPr>
        <w:spacing w:after="0" w:line="192"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significant changes to the Company’s significant accounting policies as described in the Company’s audited consolidated financial statements as of and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These reclassifications had no impact on previously reported net income, comprehensive income, cash flows, or shareholders’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are presented in accordance with U.S. GAAP.</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the accounts of the wholly-owned subsidiaries. All intercompany accounts and transactions have been eliminated in consolidation.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as well as recently imposed tariffs)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determining the value of trade promotions, share-based compensation, assessing long-lived assets for impairment, estimating the net realizable value of inventories, determining the accounts receivables reserve, assessing goodwill for impairment, and assessing the realizability of deferred income taxes. Actual results could differ from those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46% and 45% of total net sales for the three months ended March 31, 2026 and 2025, respectively. In addition, the two customers in aggregate also accounted for 47% and 39% of total accounts receivable as of March 31, 2026 and December 31, 2025, respectively. The Company has not experienced credit issues with these customers. Refer to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regarding additional information on the Company's major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which requires public entities to provide disclosure of specific categories in the rate reconciliation, detail out reconciling items that are equal to or greater than 5% of income from continuing operations before income tax expense multiplied by the applicable statutory income tax rate, and break out income taxes by jurisdiction. ASU 2023-09 is effective for fiscal years beginning after December 15, 2024, with early adoption permitted. The Company adopted the guidance on a retrospective basis for the year ended December 31, 2025. The adoption did not have a material effect on its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78" w:lineRule="exact"/>
        <w:rPr>
          <w:sz w:val="20"/>
          <w:szCs w:val="20"/>
          <w:color w:val="auto"/>
        </w:rPr>
      </w:pPr>
    </w:p>
    <w:p>
      <w:pPr>
        <w:ind w:firstLine="648"/>
        <w:spacing w:after="0" w:line="226"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Instruments—Credit Losses (“Topic 326”): Measurement of Credit Losses for Accounts Receivable and Contract Assets (“ASU 2025-05”)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2025-05 introduces a practical expedient that allows entities to estimate expected credit losses for current trade receivables and contract assets (within the scope of ASC 606) based on the assumption that current economic conditions will persist over the asset’s remaining life. The expedient applies only to receivables and contract assets that are expected to be collected within one year (or the operating cycle, if longer) and is intended to reduce complexity in applying the credit loss model under Topic 326. The standard is effective for the Company for fiscal years beginning after December 15, 2025, including interim periods within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those fiscal years. The Company adopted the guidance on a prospective basis as of January 1, 2026. The adoption did not have a material effect on its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78" w:lineRule="exact"/>
        <w:rPr>
          <w:sz w:val="20"/>
          <w:szCs w:val="20"/>
          <w:color w:val="auto"/>
        </w:rPr>
      </w:pPr>
    </w:p>
    <w:p>
      <w:pPr>
        <w:ind w:right="20" w:firstLine="648"/>
        <w:spacing w:after="0" w:line="22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the applicability, content, and disclosure requirements for interim financial statements prepared in accordance with U.S. GAAP. The objective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to improve the clarity and navigability of Topic 270 by consolidating existing interim reporting guidance, specifying required disclosures, and establishing a principle that entities disclose events and changes occurring after the most recent annual reporting period that have a material impact on the entity.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effective for interim periods within annual periods beginning after December 15, 2027, with early adoption permitted. The Company is evaluating the impact on the Company’s interim reporting and disclosures.</w:t>
      </w:r>
    </w:p>
    <w:p>
      <w:pPr>
        <w:spacing w:after="0" w:line="296"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spacing w:after="0" w:line="22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expenses in the consolidated statement of operations to be disaggregated into functional categories and separate significant individual expense items that are material to the understanding of the financial statements. ASU 2024-03 is effective for fiscal years beginning after December 15, 2026. In January 2025, the FASB issued ASU 2025-01, which clarified the adoption date to include interim periods with annual reporting periods after December 31, 2027. The Company is currently evaluating the impact of adopting ASU 2024-03 on its consolidated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Revenues are accounted for in accordance with ASC Topic 606, Revenue Recognition ("ASC 606"). The Company disaggregates revenue into the following product categories:</w:t>
      </w:r>
    </w:p>
    <w:p>
      <w:pPr>
        <w:spacing w:after="0" w:line="50" w:lineRule="exact"/>
        <w:rPr>
          <w:sz w:val="20"/>
          <w:szCs w:val="20"/>
          <w:color w:val="auto"/>
        </w:rPr>
      </w:pPr>
    </w:p>
    <w:p>
      <w:pPr>
        <w:ind w:left="820" w:hanging="326"/>
        <w:spacing w:after="0" w:line="259"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Vita Coco </w:t>
      </w:r>
      <w:r>
        <w:rPr>
          <w:rFonts w:ascii="Times New Roman" w:cs="Times New Roman" w:eastAsia="Times New Roman" w:hAnsi="Times New Roman"/>
          <w:sz w:val="18"/>
          <w:szCs w:val="18"/>
          <w:b w:val="1"/>
          <w:bCs w:val="1"/>
          <w:i w:val="1"/>
          <w:iCs w:val="1"/>
          <w:color w:val="auto"/>
        </w:rPr>
        <w:t>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1" w:lineRule="exact"/>
        <w:rPr>
          <w:rFonts w:ascii="Times New Roman" w:cs="Times New Roman" w:eastAsia="Times New Roman" w:hAnsi="Times New Roman"/>
          <w:sz w:val="18"/>
          <w:szCs w:val="18"/>
          <w:color w:val="auto"/>
        </w:rPr>
      </w:pPr>
    </w:p>
    <w:p>
      <w:pPr>
        <w:ind w:left="820" w:right="60" w:hanging="326"/>
        <w:spacing w:after="0" w:line="26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Label</w:t>
      </w:r>
      <w:r>
        <w:rPr>
          <w:rFonts w:ascii="Times New Roman" w:cs="Times New Roman" w:eastAsia="Times New Roman" w:hAnsi="Times New Roman"/>
          <w:sz w:val="18"/>
          <w:szCs w:val="18"/>
          <w:color w:val="auto"/>
        </w:rPr>
        <w:t>—This product category consists of all Private Label products, which includes coconut water and oil. The Company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8" w:lineRule="exact"/>
        <w:rPr>
          <w:rFonts w:ascii="Times New Roman" w:cs="Times New Roman" w:eastAsia="Times New Roman" w:hAnsi="Times New Roman"/>
          <w:sz w:val="18"/>
          <w:szCs w:val="18"/>
          <w:color w:val="auto"/>
        </w:rPr>
      </w:pPr>
    </w:p>
    <w:p>
      <w:pPr>
        <w:ind w:left="820" w:right="140" w:hanging="326"/>
        <w:spacing w:after="0" w:line="262" w:lineRule="auto"/>
        <w:tabs>
          <w:tab w:leader="none" w:pos="8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12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10"/>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tcPr>
          <w:p>
            <w:pPr>
              <w:spacing w:after="0"/>
              <w:rPr>
                <w:sz w:val="16"/>
                <w:szCs w:val="16"/>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22,520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140,553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148,164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86,118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5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20" w:firstLine="486"/>
        <w:spacing w:after="0" w:line="312" w:lineRule="auto"/>
        <w:rPr>
          <w:sz w:val="20"/>
          <w:szCs w:val="20"/>
          <w:color w:val="auto"/>
        </w:rPr>
      </w:pPr>
      <w:r>
        <w:rPr>
          <w:rFonts w:ascii="Times New Roman" w:cs="Times New Roman" w:eastAsia="Times New Roman" w:hAnsi="Times New Roman"/>
          <w:sz w:val="17"/>
          <w:szCs w:val="17"/>
          <w:color w:val="auto"/>
        </w:rPr>
        <w:t>All of the Company’s goodwill is associated with a June 2018 acquisition. The goodwill is allocated to the Americas reporting unit and is tax deductible. The Company has not recognized any impairment since the acquisition in accordance with ASC Topic 350 - Intangibles, Goodwill &amp; Other.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60" w:firstLine="551"/>
        <w:spacing w:after="0" w:line="258" w:lineRule="auto"/>
        <w:rPr>
          <w:sz w:val="20"/>
          <w:szCs w:val="20"/>
          <w:color w:val="auto"/>
        </w:rPr>
      </w:pPr>
      <w:r>
        <w:rPr>
          <w:rFonts w:ascii="Times New Roman" w:cs="Times New Roman" w:eastAsia="Times New Roman" w:hAnsi="Times New Roman"/>
          <w:sz w:val="18"/>
          <w:szCs w:val="18"/>
          <w:color w:val="auto"/>
        </w:rPr>
        <w:t>In May 2020, the Company entered into a five-year credit facility with Wells Fargo Bank, National Association consisting of a revolving line of credit, which provides for committed borrowings of $60,000 (the "Credit Facility"). On February 14, 2025, the Credit Facility was amended, extending the maturity date five years to February 13, 2030. In connection with the amendment, the Company capitalized $90 of deferred financing costs, which are being amortized over the term of the facility. As of March 31, 2026, the unamortized deferred financing fees related to the revolver totaled $70 and are included in Other assets on the Company’s condensed consolidated balance sheet.</w:t>
      </w:r>
    </w:p>
    <w:p>
      <w:pPr>
        <w:spacing w:after="0" w:line="75"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Borrowings on the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through February 13, 2025, with the rate based on the Company’s leverage ratio (as defined in the Credit Facility). Starting February 14, 2025, the unused commitment fees range from 0.13% and 0.23% on the unused amount of the line of credit, with the rate being based on the Company’s leverage ratio (as defined in the Credit Facility).</w:t>
      </w:r>
    </w:p>
    <w:p>
      <w:pPr>
        <w:spacing w:after="0" w:line="18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outstanding balance and $60,000 undrawn and available under its amended Credit Facility. The Company incurred no interest expense for the Credit Facility for the three months ended March 31, 2026 and March 31, 2025, respectively. The unused commitment fee for the Credit Facility amounted to $19 and $17 for the three months ended March 31, 2026 and March 31, 2025, respectively.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Credit Facility is collateralized by substantially all of the Company’s assets.</w:t>
      </w:r>
    </w:p>
    <w:p>
      <w:pPr>
        <w:spacing w:after="0" w:line="212" w:lineRule="exact"/>
        <w:rPr>
          <w:sz w:val="20"/>
          <w:szCs w:val="20"/>
          <w:color w:val="auto"/>
        </w:rPr>
      </w:pPr>
    </w:p>
    <w:p>
      <w:pPr>
        <w:jc w:val="both"/>
        <w:ind w:right="140" w:firstLine="551"/>
        <w:spacing w:after="0" w:line="268" w:lineRule="auto"/>
        <w:rPr>
          <w:sz w:val="20"/>
          <w:szCs w:val="20"/>
          <w:color w:val="auto"/>
        </w:rPr>
      </w:pPr>
      <w:r>
        <w:rPr>
          <w:rFonts w:ascii="Times New Roman" w:cs="Times New Roman" w:eastAsia="Times New Roman" w:hAnsi="Times New Roman"/>
          <w:sz w:val="17"/>
          <w:szCs w:val="17"/>
          <w:color w:val="auto"/>
        </w:rPr>
        <w:t>The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w:t>
      </w:r>
    </w:p>
    <w:p>
      <w:pPr>
        <w:jc w:val="both"/>
        <w:ind w:right="200" w:firstLine="8"/>
        <w:spacing w:after="0" w:line="243"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or guarantees; (vi) make investments; (vii) make dividends and distributions on, or repurchases of, equity; and (viii) enter into certain transactions with affiliates. The Credit Facility also requires the Company to maintain certain financial covenants including a maximum leverage ratio, a minimum fixed charge coverage ratio, and a minimum asset coverage ratio. As of March 31, 2026, the Company was compliant with all financial covenants.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5"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matters in the ordinary course of business. The Company intends to vigorously defend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itself in such matters, based upon the advice of legal counsel, and is of the opinion that the resolution of these matters will not have a material effect on the condensed consolidated financial statements. The Company records a liability when it is probable that a loss has been incurred and the amount is reasonably estimable. The Company also discloses when it is reasonably possible that a material loss may be incurred. As of March 31, 2026 and December 31, 2025, the Company has not recorded any liabilities relating to such legal matters.</w:t>
      </w:r>
    </w:p>
    <w:p>
      <w:pPr>
        <w:spacing w:after="0" w:line="179" w:lineRule="exact"/>
        <w:rPr>
          <w:sz w:val="20"/>
          <w:szCs w:val="20"/>
          <w:color w:val="auto"/>
        </w:rPr>
      </w:pPr>
    </w:p>
    <w:p>
      <w:pPr>
        <w:ind w:right="4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Asian countries.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be subject to certain business risks due to potential instability in these regions.</w:t>
      </w:r>
    </w:p>
    <w:p>
      <w:pPr>
        <w:spacing w:after="0" w:line="15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Tariffs</w:t>
      </w:r>
      <w:r>
        <w:rPr>
          <w:rFonts w:ascii="Times New Roman" w:cs="Times New Roman" w:eastAsia="Times New Roman" w:hAnsi="Times New Roman"/>
          <w:sz w:val="18"/>
          <w:szCs w:val="18"/>
          <w:color w:val="auto"/>
        </w:rPr>
        <w:t>—In February 2026, the United States Supreme Court ruled that certain tariffs imposed under the International Emergency Economic 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(“IEEPA”) were not authorized by statute. Following the ruling, the U.S. Court of International Trade ordered U.S. Customs and Border Protection (“CBP”) to suspend collection of such tariffs and to establish a process to refund amounts previously collected. As a result of this ruling, the Company may be eligible to receive refunds of tariffs previously paid on qualifying imports. In April 2026, the Company filed refund claims with CBP related to eligible tariff payments made in prior periods. The timing and ultimate resolution of these refund claims, including the amount and timing of any cash receipts, are subject to administrative processing and remain uncertain as of the date the financial statements were issued. Accordingly, no amounts related to tariff refunds has been recognized in the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accompanying condensed consolidated financial statements. The Company will recognize any refunds when realization is considered probable and the amounts are reasonably estimable.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66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740" w:type="dxa"/>
            <w:vAlign w:val="bottom"/>
          </w:tcPr>
          <w:p>
            <w:pPr>
              <w:spacing w:after="0"/>
              <w:rPr>
                <w:sz w:val="17"/>
                <w:szCs w:val="17"/>
                <w:color w:val="auto"/>
              </w:rPr>
            </w:pPr>
          </w:p>
        </w:tc>
        <w:tc>
          <w:tcPr>
            <w:tcW w:w="10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sales include branded and Private Label products.</w:t>
      </w:r>
    </w:p>
    <w:p>
      <w:pPr>
        <w:spacing w:after="0" w:line="2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6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121" w:lineRule="exact"/>
        <w:rPr>
          <w:sz w:val="20"/>
          <w:szCs w:val="20"/>
          <w:color w:val="auto"/>
        </w:rPr>
      </w:pPr>
    </w:p>
    <w:p>
      <w:pPr>
        <w:ind w:right="100" w:firstLine="486"/>
        <w:spacing w:after="0" w:line="273"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the ASC Topic 815, Derivatives and Hedging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March 31, 2026 and December 31, 2025, the Company did not have any derivative instruments that it had designated as fair value or cash flow hedges.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1"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Inventory Purchases from Brazilian, Malaysian and Thai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into a series of forward currency swaps to buy BRL, MYR and THB.</w:t>
      </w:r>
    </w:p>
    <w:p>
      <w:pPr>
        <w:spacing w:after="0" w:line="171"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AMS, AMS enters into foreign currency swaps to sell British pounds ("GBP").</w:t>
      </w:r>
    </w:p>
    <w:p>
      <w:pPr>
        <w:spacing w:after="0" w:line="155"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condensed consolidated balance sheets consist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Borders>
              <w:top w:val="single" w:sz="8" w:color="auto"/>
            </w:tcBorders>
          </w:tcPr>
          <w:p>
            <w:pPr>
              <w:jc w:val="center"/>
              <w:ind w:left="1435"/>
              <w:spacing w:after="0" w:line="153"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Borders>
              <w:top w:val="single" w:sz="8" w:color="auto"/>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55"/>
              <w:spacing w:after="0" w:line="145"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440" w:type="dxa"/>
            <w:vAlign w:val="bottom"/>
            <w:vMerge w:val="restart"/>
          </w:tcPr>
          <w:p>
            <w:pPr>
              <w:jc w:val="center"/>
              <w:ind w:left="143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44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9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517"/>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440" w:type="dxa"/>
            <w:vAlign w:val="bottom"/>
          </w:tcPr>
          <w:p>
            <w:pPr>
              <w:jc w:val="center"/>
              <w:ind w:left="1475"/>
              <w:spacing w:after="0" w:line="12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Notional</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rPr>
              <w:t>Fair</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440" w:type="dxa"/>
            <w:vAlign w:val="bottom"/>
            <w:vMerge w:val="restart"/>
          </w:tcPr>
          <w:p>
            <w:pPr>
              <w:jc w:val="center"/>
              <w:ind w:left="1475"/>
              <w:spacing w:after="0" w:line="139" w:lineRule="exact"/>
              <w:rPr>
                <w:sz w:val="20"/>
                <w:szCs w:val="20"/>
                <w:color w:val="auto"/>
              </w:rPr>
            </w:pPr>
            <w:r>
              <w:rPr>
                <w:rFonts w:ascii="Times New Roman" w:cs="Times New Roman" w:eastAsia="Times New Roman" w:hAnsi="Times New Roman"/>
                <w:sz w:val="14"/>
                <w:szCs w:val="14"/>
                <w:color w:val="auto"/>
              </w:rPr>
              <w:t>hedging instruments under</w:t>
            </w: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40" w:type="dxa"/>
            <w:vAlign w:val="bottom"/>
            <w:vMerge w:val="restart"/>
          </w:tcPr>
          <w:p>
            <w:pPr>
              <w:ind w:left="340"/>
              <w:spacing w:after="0" w:line="139" w:lineRule="exact"/>
              <w:rPr>
                <w:sz w:val="20"/>
                <w:szCs w:val="20"/>
                <w:color w:val="auto"/>
              </w:rPr>
            </w:pPr>
            <w:r>
              <w:rPr>
                <w:rFonts w:ascii="Times New Roman" w:cs="Times New Roman" w:eastAsia="Times New Roman" w:hAnsi="Times New Roman"/>
                <w:sz w:val="14"/>
                <w:szCs w:val="14"/>
                <w:color w:val="auto"/>
              </w:rPr>
              <w:t>Balance Sheet Location</w:t>
            </w: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color w:val="auto"/>
              </w:rPr>
              <w:t>Amount</w:t>
            </w: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color w:val="auto"/>
                <w:w w:val="95"/>
              </w:rPr>
              <w:t>Value</w:t>
            </w:r>
          </w:p>
        </w:tc>
        <w:tc>
          <w:tcPr>
            <w:tcW w:w="2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440" w:type="dxa"/>
            <w:vAlign w:val="bottom"/>
            <w:vMerge w:val="restart"/>
          </w:tcPr>
          <w:p>
            <w:pPr>
              <w:jc w:val="center"/>
              <w:ind w:left="1475"/>
              <w:spacing w:after="0"/>
              <w:rPr>
                <w:sz w:val="20"/>
                <w:szCs w:val="20"/>
                <w:color w:val="auto"/>
              </w:rPr>
            </w:pPr>
            <w:r>
              <w:rPr>
                <w:rFonts w:ascii="Times New Roman" w:cs="Times New Roman" w:eastAsia="Times New Roman" w:hAnsi="Times New Roman"/>
                <w:sz w:val="14"/>
                <w:szCs w:val="14"/>
                <w:color w:val="auto"/>
              </w:rPr>
              <w:t>ASC 815-20</w:t>
            </w: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44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9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amount and location of realized and unrealized gains and losses of the derivative instruments in the condensed consolidated statements of operations for the three months ended March 31, 2026 and 2025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4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r>
      <w:tr>
        <w:trPr>
          <w:trHeight w:val="254"/>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gain/(loss) on derivative instruments</w:t>
            </w: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Foreign currency gain/(loss)</w:t>
            </w:r>
          </w:p>
        </w:tc>
        <w:tc>
          <w:tcPr>
            <w:tcW w:w="1360" w:type="dxa"/>
            <w:vAlign w:val="bottom"/>
            <w:tcBorders>
              <w:bottom w:val="single" w:sz="8" w:color="auto"/>
            </w:tcBorders>
          </w:tcPr>
          <w:p>
            <w:pPr>
              <w:jc w:val="right"/>
              <w:ind w:right="117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1136"/>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(1,332)</w:t>
            </w:r>
          </w:p>
        </w:tc>
      </w:tr>
      <w:tr>
        <w:trPr>
          <w:trHeight w:val="20"/>
        </w:trPr>
        <w:tc>
          <w:tcPr>
            <w:tcW w:w="7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4"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observability of the inputs used in valuation techniques, the Company’s assets and liabilities are classified as follows: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 markets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observable market data.</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internally developed models and methodologies utilizing significant unobservable inputs.</w:t>
      </w:r>
    </w:p>
    <w:p>
      <w:pPr>
        <w:spacing w:after="0" w:line="203" w:lineRule="exact"/>
        <w:rPr>
          <w:sz w:val="20"/>
          <w:szCs w:val="20"/>
          <w:color w:val="auto"/>
        </w:rPr>
      </w:pPr>
    </w:p>
    <w:p>
      <w:pPr>
        <w:ind w:right="9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Forward Currency Swap Contracts</w:t>
      </w:r>
      <w:r>
        <w:rPr>
          <w:rFonts w:ascii="Times New Roman" w:cs="Times New Roman" w:eastAsia="Times New Roman" w:hAnsi="Times New Roman"/>
          <w:sz w:val="18"/>
          <w:szCs w:val="18"/>
          <w:color w:val="auto"/>
        </w:rPr>
        <w:t>—See Note 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a description of these contracts. The Company’s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5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March 31, 2026 and December 31, 2025,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1"/>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1"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3"/>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1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w:t>
            </w:r>
          </w:p>
        </w:tc>
      </w:tr>
      <w:tr>
        <w:trPr>
          <w:trHeight w:val="21"/>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7"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and Treasury Stock</w:t>
      </w:r>
      <w:r>
        <w:rPr>
          <w:rFonts w:ascii="Times New Roman" w:cs="Times New Roman" w:eastAsia="Times New Roman" w:hAnsi="Times New Roman"/>
          <w:sz w:val="18"/>
          <w:szCs w:val="18"/>
          <w:color w:val="auto"/>
        </w:rPr>
        <w:t>—Each share of Common Stock entitles its holder to one vote on matters required to be voted 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and to receive dividends, when and if declared by the Company’s Board.</w:t>
      </w:r>
    </w:p>
    <w:p>
      <w:pPr>
        <w:spacing w:after="0" w:line="19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held 7,329,649 and 7,104,376 shares, respectively, in treasury stock. As of March 31, 2026 and December 31, 2025, the Company had 2,799,302 and 2,941,343 shares, respectively, of Common Stock available for issuance upon the conversion of outstanding equity awards under the 2021 Incentive Award Plan ("2021 Plan").</w:t>
      </w:r>
    </w:p>
    <w:p>
      <w:pPr>
        <w:spacing w:after="0" w:line="162" w:lineRule="exact"/>
        <w:rPr>
          <w:sz w:val="20"/>
          <w:szCs w:val="20"/>
          <w:color w:val="auto"/>
        </w:rPr>
      </w:pPr>
    </w:p>
    <w:p>
      <w:pPr>
        <w:ind w:right="140" w:firstLine="486"/>
        <w:spacing w:after="0" w:line="252" w:lineRule="auto"/>
        <w:rPr>
          <w:sz w:val="20"/>
          <w:szCs w:val="20"/>
          <w:color w:val="auto"/>
        </w:rPr>
      </w:pPr>
      <w:r>
        <w:rPr>
          <w:rFonts w:ascii="Times New Roman" w:cs="Times New Roman" w:eastAsia="Times New Roman" w:hAnsi="Times New Roman"/>
          <w:sz w:val="17"/>
          <w:szCs w:val="17"/>
          <w:color w:val="auto"/>
        </w:rPr>
        <w:t>On October 30, 2023, the Company's Board approved a share repurchase program (the "Repurchase Program") authorizing the Company to repurchase up to $40,000 of Common Stock. On April 28, 2025, the Company's Board approved an additional $25,000 to the Repurchase Program, authorizing the Company to repurchase up to a total of $65,000 of the Company's Common Stock. There were no other changes made to the terms of the Repurchase Program.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Repurchase Program has no time limits and may be suspended or discontinued at any time.</w:t>
      </w:r>
    </w:p>
    <w:p>
      <w:pPr>
        <w:spacing w:after="0" w:line="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The Company repurchased 225,273 shares under the Repurchase Program at a cost of $11,505 during the three months ended March 31, 2026. The Company repurchased 363,930 shares under the Repurchase Program at a cost of $11,269 during the year ended December 31, 2025. As of March 31, 2026, the Company had $29,423 remaining under the Repurchase Program.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options (i.e., granted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The 2014 Plan includes only outstanding stock options, all of which were granted before the Company's IPO. Generally, stock options issued pursuant to the 2014 Plan contain exercise prices no less than the fair value of Common Stock on the date of grant and have a ten-year contractual term.</w:t>
      </w:r>
    </w:p>
    <w:p>
      <w:pPr>
        <w:spacing w:after="0" w:line="180" w:lineRule="exact"/>
        <w:rPr>
          <w:sz w:val="20"/>
          <w:szCs w:val="20"/>
          <w:color w:val="auto"/>
        </w:rPr>
      </w:pPr>
    </w:p>
    <w:p>
      <w:pPr>
        <w:jc w:val="both"/>
        <w:ind w:right="20" w:firstLine="551"/>
        <w:spacing w:after="0" w:line="257"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Incentive Award Plan ("2021 Plan"), which became effective after the closing of the IPO. On and after closing of the offering and the effectiveness of the 2021 Plan, no further grants have been made under the 2014 Plan. The maximum number of shares of our Common Stock available for issuance under the 2021 Plan is equal to the sum of: (i)</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provided, however, no more than 3,431,312 shares may be issued upon the exercise of incentive stock options ("ISOs"). The 2021 Plan provides for the grant of stock options, including ISOs and nonqualified stock options ("NSOs"), dividend equivalents, stock payments, service-based restricted stock units ("RSUs"), performance-based restricted stock units ("PSUs"), other incentive awards, stock appreciation rights ("SARs"), and cash awards. For the year beginning January 1, 2026, the Board elected not to increase the shares available for the 2021 Plan. As of March 31, 2026, only stock options, RSUs, and PSUs have been granted under the 2021 Plan.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 recorded stock compensation costs totaling:</w:t>
      </w:r>
    </w:p>
    <w:p>
      <w:pPr>
        <w:spacing w:after="0" w:line="25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97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Service-based Vesting Conditions</w:t>
      </w:r>
    </w:p>
    <w:p>
      <w:pPr>
        <w:spacing w:after="0" w:line="5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Most of the stock option awards granted under the 2014 Plan and 2021 Plan vest based on continuous service. The options awarded to the employees have differing vesting schedules as specified in each grant agreement. The following table summarizes the service-based stock option activity during the three months ended March 31, 2026:</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6"/>
        </w:trPr>
        <w:tc>
          <w:tcPr>
            <w:tcW w:w="96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203"/>
        </w:trPr>
        <w:tc>
          <w:tcPr>
            <w:tcW w:w="96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23"/>
        </w:trPr>
        <w:tc>
          <w:tcPr>
            <w:tcW w:w="960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spacing w:after="0"/>
              <w:rPr>
                <w:sz w:val="19"/>
                <w:szCs w:val="19"/>
                <w:color w:val="auto"/>
              </w:rPr>
            </w:pPr>
          </w:p>
        </w:tc>
      </w:tr>
      <w:tr>
        <w:trPr>
          <w:trHeight w:val="25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2,873,396</w:t>
            </w:r>
          </w:p>
        </w:tc>
      </w:tr>
      <w:tr>
        <w:trPr>
          <w:trHeight w:val="25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152,514</w:t>
            </w:r>
          </w:p>
        </w:tc>
      </w:tr>
      <w:tr>
        <w:trPr>
          <w:trHeight w:val="25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2,720,882</w:t>
            </w:r>
          </w:p>
        </w:tc>
      </w:tr>
      <w:tr>
        <w:trPr>
          <w:trHeight w:val="22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Exercisable—March 31,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2,341,614</w:t>
            </w:r>
          </w:p>
        </w:tc>
      </w:tr>
      <w:tr>
        <w:trPr>
          <w:trHeight w:val="522"/>
        </w:trPr>
        <w:tc>
          <w:tcPr>
            <w:tcW w:w="9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The Company did not grant option awards in the three months ended March 31, 2026.</w:t>
            </w:r>
          </w:p>
        </w:tc>
        <w:tc>
          <w:tcPr>
            <w:tcW w:w="164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Awards with Performance-based and Market-based Vesting Conditions</w:t>
      </w:r>
    </w:p>
    <w:p>
      <w:pPr>
        <w:spacing w:after="0" w:line="119" w:lineRule="exact"/>
        <w:rPr>
          <w:sz w:val="20"/>
          <w:szCs w:val="20"/>
          <w:color w:val="auto"/>
        </w:rPr>
      </w:pPr>
    </w:p>
    <w:p>
      <w:pPr>
        <w:ind w:right="80" w:firstLine="551"/>
        <w:spacing w:after="0" w:line="266" w:lineRule="auto"/>
        <w:rPr>
          <w:sz w:val="20"/>
          <w:szCs w:val="20"/>
          <w:color w:val="auto"/>
        </w:rPr>
      </w:pPr>
      <w:r>
        <w:rPr>
          <w:rFonts w:ascii="Times New Roman" w:cs="Times New Roman" w:eastAsia="Times New Roman" w:hAnsi="Times New Roman"/>
          <w:sz w:val="18"/>
          <w:szCs w:val="18"/>
          <w:color w:val="auto"/>
        </w:rPr>
        <w:t>The Company also has outstanding stock option awards containing performance-based vesting conditions, subject to achievement of various performance goals by a future period, such as revenue and Adjusted EBITDA targets. The following table summarizes the performance-based stock option activity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shd w:val="clear" w:color="auto" w:fill="CCEEFF"/>
          </w:tcPr>
          <w:p>
            <w:pPr>
              <w:spacing w:after="0"/>
              <w:rPr>
                <w:sz w:val="13"/>
                <w:szCs w:val="13"/>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6"/>
        </w:trPr>
        <w:tc>
          <w:tcPr>
            <w:tcW w:w="96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203"/>
        </w:trPr>
        <w:tc>
          <w:tcPr>
            <w:tcW w:w="96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23"/>
        </w:trPr>
        <w:tc>
          <w:tcPr>
            <w:tcW w:w="9600" w:type="dxa"/>
            <w:vAlign w:val="bottom"/>
          </w:tcPr>
          <w:p>
            <w:pPr>
              <w:ind w:left="20"/>
              <w:spacing w:after="0" w:line="223" w:lineRule="exact"/>
              <w:rPr>
                <w:sz w:val="20"/>
                <w:szCs w:val="20"/>
                <w:color w:val="auto"/>
              </w:rPr>
            </w:pPr>
            <w:r>
              <w:rPr>
                <w:rFonts w:ascii="Times New Roman" w:cs="Times New Roman" w:eastAsia="Times New Roman" w:hAnsi="Times New Roman"/>
                <w:sz w:val="22"/>
                <w:szCs w:val="22"/>
                <w:color w:val="auto"/>
              </w:rPr>
              <w:t>​</w:t>
            </w:r>
          </w:p>
        </w:tc>
        <w:tc>
          <w:tcPr>
            <w:tcW w:w="1640" w:type="dxa"/>
            <w:vAlign w:val="bottom"/>
          </w:tcPr>
          <w:p>
            <w:pPr>
              <w:spacing w:after="0"/>
              <w:rPr>
                <w:sz w:val="19"/>
                <w:szCs w:val="19"/>
                <w:color w:val="auto"/>
              </w:rPr>
            </w:pPr>
          </w:p>
        </w:tc>
      </w:tr>
      <w:tr>
        <w:trPr>
          <w:trHeight w:val="257"/>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1,144,436</w:t>
            </w:r>
          </w:p>
        </w:tc>
      </w:tr>
      <w:tr>
        <w:trPr>
          <w:trHeight w:val="25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5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1,135,336</w:t>
            </w:r>
          </w:p>
        </w:tc>
      </w:tr>
      <w:tr>
        <w:trPr>
          <w:trHeight w:val="228"/>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Exercisable—March 31,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1,135,336</w:t>
            </w: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Service-based and Performance-based Restricted Stock</w:t>
      </w:r>
    </w:p>
    <w:p>
      <w:pPr>
        <w:spacing w:after="0" w:line="119" w:lineRule="exact"/>
        <w:rPr>
          <w:sz w:val="20"/>
          <w:szCs w:val="20"/>
          <w:color w:val="auto"/>
        </w:rPr>
      </w:pPr>
    </w:p>
    <w:p>
      <w:pPr>
        <w:ind w:right="20" w:firstLine="486"/>
        <w:spacing w:after="0" w:line="218" w:lineRule="exact"/>
        <w:rPr>
          <w:sz w:val="20"/>
          <w:szCs w:val="20"/>
          <w:color w:val="auto"/>
        </w:rPr>
      </w:pPr>
      <w:r>
        <w:rPr>
          <w:rFonts w:ascii="Times New Roman" w:cs="Times New Roman" w:eastAsia="Times New Roman" w:hAnsi="Times New Roman"/>
          <w:sz w:val="18"/>
          <w:szCs w:val="18"/>
          <w:color w:val="auto"/>
        </w:rPr>
        <w:t>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three months ended March 31, 2026 and March 31, 2025, the Company also granted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units (“PSUs”), which are subject to achievement of various performance goals in the future, specifically net sales growth and Adjusted EBITDA targets. During the three months ended March 31, 2026, based on an evaluation of the Company’s updated financial outlook, the Company determined that achievement of the maximum performance targets for certain PSU awards was probable. As a result, the Company updated its estimate of total compensation cost for these awards and recorded a cumulative catch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adjustment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three months ended March 31, 2026 to reflect the portion of the revised cost attributable to service rendered. The Company will continue to monitor actual performance relative to the prescribed targets and update its estimate of expected vesting outcomes as appropriate over the remaining performance period.</w:t>
      </w: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RSU and PSU activity for the three months ended March 31, 2026:</w:t>
      </w:r>
    </w:p>
    <w:p>
      <w:pPr>
        <w:spacing w:after="0" w:line="200" w:lineRule="exact"/>
        <w:rPr>
          <w:sz w:val="20"/>
          <w:szCs w:val="20"/>
          <w:color w:val="auto"/>
        </w:rPr>
      </w:pPr>
    </w:p>
    <w:p>
      <w:pPr>
        <w:spacing w:after="0" w:line="302"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RSU Awards</w:t>
            </w:r>
          </w:p>
        </w:tc>
        <w:tc>
          <w:tcPr>
            <w:tcW w:w="1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PSU Awards</w:t>
            </w:r>
          </w:p>
        </w:tc>
      </w:tr>
      <w:tr>
        <w:trPr>
          <w:trHeight w:val="23"/>
        </w:trPr>
        <w:tc>
          <w:tcPr>
            <w:tcW w:w="67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608,203</w:t>
            </w:r>
          </w:p>
        </w:tc>
        <w:tc>
          <w:tcPr>
            <w:tcW w:w="16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144,191</w:t>
            </w:r>
          </w:p>
        </w:tc>
      </w:tr>
      <w:tr>
        <w:trPr>
          <w:trHeight w:val="25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142,672</w:t>
            </w:r>
          </w:p>
        </w:tc>
        <w:tc>
          <w:tcPr>
            <w:tcW w:w="1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76,500</w:t>
            </w:r>
          </w:p>
        </w:tc>
      </w:tr>
      <w:tr>
        <w:trPr>
          <w:trHeight w:val="2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145,589</w:t>
            </w:r>
          </w:p>
        </w:tc>
        <w:tc>
          <w:tcPr>
            <w:tcW w:w="1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5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March 31,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602,985</w:t>
            </w:r>
          </w:p>
        </w:tc>
        <w:tc>
          <w:tcPr>
            <w:tcW w:w="16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income tax expense of $6,968 and $5,481, respectively, in its condensed consolidated statements of operations.</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96"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2026 and December 31, 2025, the Company recorded a liability of $89 and $89, respectively, for income tax uncertainties recorded in the Company's condensed consolidated balance sheet and consolidated balance sheet, respectively. The Company’s policy is to record interest and penalties related to income taxes as part of its income tax provision. The Company does not expect its uncertain tax positions to change significantly over the next twelve months. The Company recognized interest and penalties related to income tax uncertainties of $0 in its condensed consolidated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statement of operations for both the three months ended March 31, 2026 and 2025. The Company is subject to income tax examinations by the Internal Revenue Service ("IRS") and various state and local jurisdictions for the open tax years between December 31, 2022 and December 31, 2024.</w:t>
      </w:r>
    </w:p>
    <w:p>
      <w:pPr>
        <w:spacing w:after="0" w:line="203"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impact of these changes was not material to the Company's condensed consolidated financial statements as of March 31, 2026 and December 31,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25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shd w:val="clear" w:color="auto" w:fill="CCEEFF"/>
          </w:tcPr>
          <w:p>
            <w:pPr>
              <w:spacing w:after="0"/>
              <w:rPr>
                <w:sz w:val="17"/>
                <w:szCs w:val="17"/>
                <w:color w:val="auto"/>
              </w:rPr>
            </w:pPr>
          </w:p>
        </w:tc>
        <w:tc>
          <w:tcPr>
            <w:tcW w:w="8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6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Vita Coco Company,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r>
      <w:tr>
        <w:trPr>
          <w:trHeight w:val="189"/>
        </w:trPr>
        <w:tc>
          <w:tcPr>
            <w:tcW w:w="20" w:type="dxa"/>
            <w:vAlign w:val="bottom"/>
          </w:tcPr>
          <w:p>
            <w:pPr>
              <w:spacing w:after="0"/>
              <w:rPr>
                <w:sz w:val="16"/>
                <w:szCs w:val="16"/>
                <w:color w:val="auto"/>
              </w:rPr>
            </w:pPr>
          </w:p>
        </w:tc>
        <w:tc>
          <w:tcPr>
            <w:tcW w:w="86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57,114,475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56,994,146</w:t>
            </w:r>
          </w:p>
        </w:tc>
      </w:tr>
      <w:tr>
        <w:trPr>
          <w:trHeight w:val="230"/>
        </w:trPr>
        <w:tc>
          <w:tcPr>
            <w:tcW w:w="20" w:type="dxa"/>
            <w:vAlign w:val="bottom"/>
            <w:tcBorders>
              <w:bottom w:val="single" w:sz="8" w:color="CCEEFF"/>
            </w:tcBorders>
          </w:tcPr>
          <w:p>
            <w:pPr>
              <w:spacing w:after="0"/>
              <w:rPr>
                <w:sz w:val="19"/>
                <w:szCs w:val="19"/>
                <w:color w:val="auto"/>
              </w:rPr>
            </w:pPr>
          </w:p>
        </w:tc>
        <w:tc>
          <w:tcPr>
            <w:tcW w:w="860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Effect of conversion of stock options and RSUs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2,981,681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share—diluted</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60,471,324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59,975,827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Earnings per share—basic</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8"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22225</wp:posOffset>
            </wp:positionV>
            <wp:extent cx="1688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7" w:lineRule="exact"/>
        <w:rPr>
          <w:sz w:val="20"/>
          <w:szCs w:val="20"/>
          <w:color w:val="auto"/>
        </w:rPr>
      </w:pPr>
    </w:p>
    <w:p>
      <w:pPr>
        <w:ind w:left="9080"/>
        <w:spacing w:after="0"/>
        <w:tabs>
          <w:tab w:leader="none" w:pos="104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9600" w:val="left"/>
          <w:tab w:leader="none" w:pos="10560" w:val="left"/>
        </w:tabs>
        <w:rPr>
          <w:sz w:val="20"/>
          <w:szCs w:val="20"/>
          <w:color w:val="auto"/>
        </w:rPr>
      </w:pPr>
      <w:r>
        <w:rPr>
          <w:rFonts w:ascii="Times New Roman" w:cs="Times New Roman" w:eastAsia="Times New Roman" w:hAnsi="Times New Roman"/>
          <w:sz w:val="18"/>
          <w:szCs w:val="18"/>
          <w:color w:val="auto"/>
        </w:rPr>
        <w:t>Stock options and restricted stock awards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169,720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43180</wp:posOffset>
            </wp:positionV>
            <wp:extent cx="1688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17" w:lineRule="exact"/>
        <w:rPr>
          <w:sz w:val="20"/>
          <w:szCs w:val="20"/>
          <w:color w:val="auto"/>
        </w:rPr>
      </w:pPr>
    </w:p>
    <w:p>
      <w:pPr>
        <w:jc w:val="both"/>
        <w:ind w:left="820" w:right="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is marketed only in the Americas segment.</w:t>
      </w:r>
    </w:p>
    <w:p>
      <w:pPr>
        <w:spacing w:after="0" w:line="67" w:lineRule="exact"/>
        <w:rPr>
          <w:rFonts w:ascii="Times New Roman" w:cs="Times New Roman" w:eastAsia="Times New Roman" w:hAnsi="Times New Roman"/>
          <w:sz w:val="18"/>
          <w:szCs w:val="18"/>
          <w:color w:val="auto"/>
        </w:rPr>
      </w:pPr>
    </w:p>
    <w:p>
      <w:pPr>
        <w:ind w:left="820" w:right="420" w:hanging="326"/>
        <w:spacing w:after="0" w:line="266" w:lineRule="auto"/>
        <w:tabs>
          <w:tab w:leader="none" w:pos="8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the Middle East, and Asia Pacific. Asia Pacific includes the Company’s procurement arm and derives its revenues from the marketing and distribution of various coconut water and non-coconut water products, including product that is shipped directly to customers outside of Asia Pacific regions.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11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Company’s CEO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 budget-to-actual variances on a monthly basis for both measures when making decisions about allocating capital and personnel to the segments and also uses segment gross profit for evaluating product pricing.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March 31, 2026 and December 31, 2025 and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9"/>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179,765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130,921</w:t>
            </w:r>
          </w:p>
        </w:tc>
        <w:tc>
          <w:tcPr>
            <w:tcW w:w="0" w:type="dxa"/>
            <w:vAlign w:val="bottom"/>
          </w:tcPr>
          <w:p>
            <w:pPr>
              <w:spacing w:after="0"/>
              <w:rPr>
                <w:sz w:val="1"/>
                <w:szCs w:val="1"/>
                <w:color w:val="auto"/>
              </w:rPr>
            </w:pP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148,164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107,952</w:t>
            </w:r>
          </w:p>
        </w:tc>
        <w:tc>
          <w:tcPr>
            <w:tcW w:w="3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82,836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70,288</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71,813</w:t>
            </w:r>
          </w:p>
        </w:tc>
        <w:tc>
          <w:tcPr>
            <w:tcW w:w="3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48,085</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60,934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assets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488,343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461,158</w:t>
            </w:r>
          </w:p>
        </w:tc>
        <w:tc>
          <w:tcPr>
            <w:tcW w:w="0" w:type="dxa"/>
            <w:vAlign w:val="bottom"/>
          </w:tcPr>
          <w:p>
            <w:pPr>
              <w:spacing w:after="0"/>
              <w:rPr>
                <w:sz w:val="1"/>
                <w:szCs w:val="1"/>
                <w:color w:val="auto"/>
              </w:rPr>
            </w:pP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Americas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317,759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302,185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170,584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158,973</w:t>
            </w:r>
          </w:p>
        </w:tc>
        <w:tc>
          <w:tcPr>
            <w:tcW w:w="0" w:type="dxa"/>
            <w:vAlign w:val="bottom"/>
          </w:tcPr>
          <w:p>
            <w:pPr>
              <w:spacing w:after="0"/>
              <w:rPr>
                <w:sz w:val="1"/>
                <w:szCs w:val="1"/>
                <w:color w:val="auto"/>
              </w:rPr>
            </w:pPr>
          </w:p>
        </w:tc>
      </w:tr>
      <w:tr>
        <w:trPr>
          <w:trHeight w:val="962"/>
        </w:trPr>
        <w:tc>
          <w:tcPr>
            <w:tcW w:w="8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4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100" w:type="dxa"/>
            <w:vAlign w:val="bottom"/>
            <w:gridSpan w:val="2"/>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0" w:type="dxa"/>
            <w:vAlign w:val="bottom"/>
          </w:tcPr>
          <w:p>
            <w:pPr>
              <w:spacing w:after="0"/>
              <w:rPr>
                <w:sz w:val="1"/>
                <w:szCs w:val="1"/>
                <w:color w:val="auto"/>
              </w:rPr>
            </w:pPr>
          </w:p>
        </w:tc>
      </w:tr>
      <w:tr>
        <w:trPr>
          <w:trHeight w:val="230"/>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0" w:type="dxa"/>
            <w:vAlign w:val="bottom"/>
          </w:tcPr>
          <w:p>
            <w:pPr>
              <w:spacing w:after="0"/>
              <w:rPr>
                <w:sz w:val="1"/>
                <w:szCs w:val="1"/>
                <w:color w:val="auto"/>
              </w:rPr>
            </w:pP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100" w:type="dxa"/>
            <w:vAlign w:val="bottom"/>
            <w:gridSpan w:val="2"/>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0"/>
        </w:trPr>
        <w:tc>
          <w:tcPr>
            <w:tcW w:w="8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(expense) income</w:t>
            </w:r>
          </w:p>
        </w:tc>
        <w:tc>
          <w:tcPr>
            <w:tcW w:w="4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8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Pr>
          <w:p>
            <w:pPr>
              <w:spacing w:after="0"/>
              <w:rPr>
                <w:sz w:val="19"/>
                <w:szCs w:val="19"/>
                <w:color w:val="auto"/>
              </w:rPr>
            </w:pPr>
          </w:p>
        </w:tc>
        <w:tc>
          <w:tcPr>
            <w:tcW w:w="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gridSpan w:val="2"/>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sales by country, which is presented on the basis of the location that revenue from customers is recorded: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105,106</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All other countries</w:t>
            </w:r>
            <w:r>
              <w:rPr>
                <w:rFonts w:ascii="Times New Roman" w:cs="Times New Roman" w:eastAsia="Times New Roman" w:hAnsi="Times New Roman"/>
                <w:sz w:val="23"/>
                <w:szCs w:val="23"/>
                <w:color w:val="auto"/>
                <w:vertAlign w:val="superscript"/>
              </w:rPr>
              <w:t>(1)</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58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5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2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500" w:right="2660" w:hanging="474"/>
        <w:spacing w:after="0" w:line="617" w:lineRule="auto"/>
        <w:tabs>
          <w:tab w:leader="none" w:pos="42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individual country is greater than 10% of total net sales for the three months ended March 31, 2026 and 2025.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7"/>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60" w:type="dxa"/>
            <w:vAlign w:val="bottom"/>
          </w:tcPr>
          <w:p>
            <w:pPr>
              <w:jc w:val="right"/>
              <w:ind w:right="236"/>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4"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 </w:t>
      </w:r>
      <w:r>
        <w:rPr>
          <w:rFonts w:ascii="Times New Roman" w:cs="Times New Roman" w:eastAsia="Times New Roman" w:hAnsi="Times New Roman"/>
          <w:sz w:val="18"/>
          <w:szCs w:val="18"/>
          <w:color w:val="auto"/>
        </w:rPr>
        <w:t>- On May 24, 2022, a member of the Board appointed as a nominee under the Investor Rights Agreement by Verlinvest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will receive all cash and equity compensation directly. The nominee agreement was primarily between the director and Verlinvest. The Company was a party to this arrangement solely to agree to the manner in which it would satisfy the compensation obligations to this director.</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INVESTMENT IN UNCONSOLIDATED JOINT VENTURE</w:t>
      </w:r>
    </w:p>
    <w:p>
      <w:pPr>
        <w:spacing w:after="0" w:line="243"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condensed consolidated statements of operations.</w:t>
      </w:r>
    </w:p>
    <w:p>
      <w:pPr>
        <w:spacing w:after="0" w:line="21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7"/>
          <w:szCs w:val="17"/>
          <w:color w:val="auto"/>
        </w:rPr>
        <w:t>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to be paid in cash within one year. Per the joint venture agreement, the Company shall contribute its portion of capital funding per the operational funding requirement of the joint venture's business operations. The Company recorded the initial investment in the joint venture upon cash payment. Since the Company is deemed not to have a controlling interest in Coco Ventures Limited, the Company’s investment is accounted for using the equity method of accounting in accordance with ASC 323. As of March 31, 2026, the Company recognized an investment of $587 in Coco Ventures Limited. This amount includes $104 contributed during 2025 and $483 that was contributed during the three months ended March 31, 2026. Coco Ventures Limited commenced operations in February 2025. The equity method investment is recorded in other assets on the consolidated balance sheet.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67" w:lineRule="exact"/>
        <w:rPr>
          <w:sz w:val="20"/>
          <w:szCs w:val="20"/>
          <w:color w:val="auto"/>
        </w:rPr>
      </w:pPr>
    </w:p>
    <w:p>
      <w:pPr>
        <w:ind w:right="600" w:firstLine="648"/>
        <w:spacing w:after="0" w:line="245" w:lineRule="exact"/>
        <w:rPr>
          <w:sz w:val="20"/>
          <w:szCs w:val="20"/>
          <w:color w:val="auto"/>
        </w:rPr>
      </w:pPr>
      <w:r>
        <w:rPr>
          <w:rFonts w:ascii="Times New Roman" w:cs="Times New Roman" w:eastAsia="Times New Roman" w:hAnsi="Times New Roman"/>
          <w:sz w:val="18"/>
          <w:szCs w:val="18"/>
          <w:color w:val="auto"/>
        </w:rPr>
        <w:t>The Company leases office space in New York, London, and Singapore under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 agreements. These leases are accounted for as operating leases pursuant to ASC 842 - Leases ("ASC 842").</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60" w:type="dxa"/>
            <w:vAlign w:val="bottom"/>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20" w:type="dxa"/>
            <w:vAlign w:val="bottom"/>
            <w:tcBorders>
              <w:bottom w:val="single" w:sz="8" w:color="auto"/>
            </w:tcBorders>
            <w:shd w:val="clear" w:color="auto" w:fill="CCEEFF"/>
          </w:tcPr>
          <w:p>
            <w:pPr>
              <w:spacing w:after="0"/>
              <w:rPr>
                <w:sz w:val="22"/>
                <w:szCs w:val="22"/>
                <w:color w:val="auto"/>
              </w:rPr>
            </w:pPr>
          </w:p>
        </w:tc>
        <w:tc>
          <w:tcPr>
            <w:tcW w:w="19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1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Right-of-use assets, net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10,943</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w:t>
            </w:r>
          </w:p>
        </w:tc>
      </w:tr>
      <w:tr>
        <w:trPr>
          <w:trHeight w:val="176"/>
        </w:trPr>
        <w:tc>
          <w:tcPr>
            <w:tcW w:w="4660" w:type="dxa"/>
            <w:vAlign w:val="bottom"/>
            <w:shd w:val="clear" w:color="auto" w:fill="CCEEFF"/>
          </w:tcPr>
          <w:p>
            <w:pPr>
              <w:spacing w:after="0"/>
              <w:rPr>
                <w:sz w:val="15"/>
                <w:szCs w:val="15"/>
                <w:color w:val="auto"/>
              </w:rPr>
            </w:pPr>
          </w:p>
        </w:tc>
        <w:tc>
          <w:tcPr>
            <w:tcW w:w="2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Accrued expenses and other</w:t>
            </w:r>
          </w:p>
        </w:tc>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current liabilities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1,516</w:t>
            </w:r>
          </w:p>
        </w:tc>
        <w:tc>
          <w:tcPr>
            <w:tcW w:w="8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175"/>
        </w:trPr>
        <w:tc>
          <w:tcPr>
            <w:tcW w:w="46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Operating lease liabilities,</w:t>
            </w: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long-term</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12,914</w:t>
            </w:r>
          </w:p>
        </w:tc>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new leases entered into and no material modifications in the existing lease agreements during the current period ended March 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4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Beginning April 1, 2026 and through April 28, 2026, the Company repurchased 173,618 shares under the Repurchase Program at a cost of $8,503. On a year to date basis through April 28, 2026, the Company repurchased a total of 398,891 shares at a cost of $20,008 and had $20,920 remaining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2025 and filed with the Securities and Exchange Commission ("SEC") on February 18, 2026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400" w:firstLine="648"/>
        <w:spacing w:after="0" w:line="246"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portfolio also includes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a protein-infused fitness drink. Additionally, we supply Private Label products to key retailers in both the coconut water and coconut oil categories and generate revenue from bulk product sales to beverage and food companies.</w:t>
      </w:r>
    </w:p>
    <w:p>
      <w:pPr>
        <w:spacing w:after="0" w:line="24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March 31, 2026, we source our products from a diversified global network of approximately 16 factories, supported by coconut farmers across six countries. As we do not own any of these facilities, our supply chain is a fixed asset-lite model designed to better service our customers and react to changes in the market or consumer preferences.</w:t>
      </w:r>
    </w:p>
    <w:p>
      <w:pPr>
        <w:spacing w:after="0" w:line="20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located in North America, the United Kingdom, and Germany. Our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43" w:lineRule="exact"/>
        <w:rPr>
          <w:sz w:val="20"/>
          <w:szCs w:val="20"/>
          <w:color w:val="auto"/>
        </w:rPr>
      </w:pPr>
    </w:p>
    <w:p>
      <w:pPr>
        <w:jc w:val="both"/>
        <w:ind w:right="80" w:firstLine="486"/>
        <w:spacing w:after="0" w:line="250"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For changes to such factors from those described in the Form 10-K under the heading “Key Factors Affecting our Performance” please see below and the risks and challenges discussed in Part I, Item 1A. “Risk Factors” of this Form 10-Q and our the Form 10-K.</w:t>
      </w:r>
    </w:p>
    <w:p>
      <w:pPr>
        <w:spacing w:after="0" w:line="312" w:lineRule="exact"/>
        <w:rPr>
          <w:sz w:val="20"/>
          <w:szCs w:val="20"/>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supply chain is subject to risks arising from geopolitical instability, including the ongoing military conflict involving Iran, as well as volatility in interest rates, foreign exchange rates, and our cost of goods including raw materials, factory costs, and transportation costs. The extent and duration of these conditions, and their ultimate impact on our business, results of operations, financial condition, and liquidity, cannot be determined with precision. For a further discussion of the risks and challenges posed by these events, please see Part I, Item 1A. “Risk Factors” of this Form 10-Q and our Form 10-K.</w:t>
      </w:r>
    </w:p>
    <w:p>
      <w:pPr>
        <w:spacing w:after="0" w:line="211"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government implemented a 10% baseline tariff plus country-specific reciprocal rates effective April 2, 2025, with revised rates announced in early August 2025 of approximately 20% for Asian sourcing countries and 50% for Brazil. We source to the U.S. primarily from the Philippines and Brazil, with additional supply from Thailand, Vietnam, Malaysia, Sri Lanka, Canada, Mexico, and Indonesia. Our Mexico and Canada imports currently remain exempt under the United States-Mexico-Canada Agreement (“USMCA”). In November 2025, the White House granted relief from reciprocal tariffs for certain agricultural products, including the tariff codes applicable to coconut water products, which represent the majority of our portfolio, and waived incremental tariffs on coconut water imports from Brazil. These actions significantly reduced our tariff burden after November 21, 2025, although certain miscellaneous tariffs remain in effect.</w:t>
      </w:r>
    </w:p>
    <w:p>
      <w:pPr>
        <w:spacing w:after="0" w:line="216"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20, 2026, the U.S. Supreme Court ruled that certain tariffs imposed under the International Emergency Economic Powers Act ("IEEPA") were unlawful. The U.S. Customs and Border Protection opened a portal on April 20, 2026 for tariff refund claims. The Company has filed refund claims for approximately $15.6</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60"/>
        <w:spacing w:after="0" w:line="241" w:lineRule="auto"/>
        <w:rPr>
          <w:sz w:val="20"/>
          <w:szCs w:val="20"/>
          <w:color w:val="auto"/>
        </w:rPr>
      </w:pPr>
      <w:r>
        <w:rPr>
          <w:rFonts w:ascii="Times New Roman" w:cs="Times New Roman" w:eastAsia="Times New Roman" w:hAnsi="Times New Roman"/>
          <w:sz w:val="18"/>
          <w:szCs w:val="18"/>
          <w:color w:val="auto"/>
        </w:rPr>
        <w:t>million of tariffs paid in 2025. The timing of any refunds and whether all claims will be accepted are uncertain. Accordingly, no recovery has been recognized in the accompanying financial statements. The administration has announced its intent to impose additional tariffs under other statutory authorities. While new tariffs announced to date have not materially impacted us, the duration, scope, and impact of future tariff policies remain uncertain and could materially and adversely affect our business, financial condition, and results of operations. We will continue to monitor the evolving tariff environment and may pursue pricing adjustments, sourcing modifications, and other cost-mitigation measures, but there can be no assurance that we will fully mitigate the impact of future tariff changes or related economic effects.</w:t>
      </w:r>
    </w:p>
    <w:p>
      <w:pPr>
        <w:spacing w:after="0" w:line="211" w:lineRule="exact"/>
        <w:rPr>
          <w:sz w:val="20"/>
          <w:szCs w:val="20"/>
          <w:color w:val="auto"/>
        </w:rPr>
      </w:pPr>
    </w:p>
    <w:p>
      <w:pPr>
        <w:ind w:left="660" w:right="100" w:hanging="328"/>
        <w:spacing w:after="0" w:line="23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to one of our major customers include branded and Private Label product. As discussed in the Form 10-K, the Private Label coconut oil business with this customer discontinued in early 2024 and we also experienced an impact in Private Label coconut water sales in 2025 with this customer due to the loss of some regions that we previously serviced for this customer. In early 2026, at the request of this customer, we restarted supply to one of those lost regions. We will continue to service their needs if we are asked and it aligns with our long-term targets. For a further discussion of the risks and challenges posed by these events, please see Part I, Item 1A. “Risk Factors” of the Form 10-K.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6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We provide trade promotions and sales discounts to our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 accompanying condensed consolidated financial statements include accruals for these promotions and discounts. The accruals are made for invoices that have not yet been received as of the end of the reporting period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duties and tariffs,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tariffs,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28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and other administrative-related personnel, as well as general overhead costs of the business, including research and development for new innovations, rent and related facilities and maintenance costs, depreciation and amortization, and legal, accounting, and professional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(Loss) on Derivative Instruments</w:t>
      </w:r>
    </w:p>
    <w:p>
      <w:pPr>
        <w:spacing w:after="0" w:line="108"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 (Loss)</w:t>
      </w:r>
    </w:p>
    <w:p>
      <w:pPr>
        <w:spacing w:after="0" w:line="12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ind w:right="10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113" w:lineRule="exact"/>
        <w:rPr>
          <w:sz w:val="20"/>
          <w:szCs w:val="20"/>
          <w:color w:val="auto"/>
        </w:rPr>
      </w:pPr>
    </w:p>
    <w:p>
      <w:pPr>
        <w:ind w:left="820" w:hanging="245"/>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United States and Canada.</w:t>
      </w:r>
    </w:p>
    <w:p>
      <w:pPr>
        <w:spacing w:after="0" w:line="117" w:lineRule="exact"/>
        <w:rPr>
          <w:rFonts w:ascii="Times New Roman" w:cs="Times New Roman" w:eastAsia="Times New Roman" w:hAnsi="Times New Roman"/>
          <w:sz w:val="18"/>
          <w:szCs w:val="18"/>
          <w:color w:val="auto"/>
        </w:rPr>
      </w:pPr>
    </w:p>
    <w:p>
      <w:pPr>
        <w:ind w:left="820" w:right="260" w:hanging="245"/>
        <w:spacing w:after="0" w:line="271"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the Company’s procurement arm.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13" w:lineRule="exact"/>
        <w:rPr>
          <w:sz w:val="20"/>
          <w:szCs w:val="20"/>
          <w:color w:val="auto"/>
        </w:rPr>
      </w:pPr>
    </w:p>
    <w:p>
      <w:pPr>
        <w:ind w:left="820" w:hanging="245"/>
        <w:spacing w:after="0" w:line="252"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Vita Coco </w:t>
      </w:r>
      <w:r>
        <w:rPr>
          <w:rFonts w:ascii="Times New Roman" w:cs="Times New Roman" w:eastAsia="Times New Roman" w:hAnsi="Times New Roman"/>
          <w:sz w:val="18"/>
          <w:szCs w:val="18"/>
          <w:b w:val="1"/>
          <w:bCs w:val="1"/>
          <w:i w:val="1"/>
          <w:iCs w:val="1"/>
          <w:color w:val="auto"/>
        </w:rPr>
        <w:t>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76" w:lineRule="exact"/>
        <w:rPr>
          <w:rFonts w:ascii="Times New Roman" w:cs="Times New Roman" w:eastAsia="Times New Roman" w:hAnsi="Times New Roman"/>
          <w:sz w:val="18"/>
          <w:szCs w:val="18"/>
          <w:color w:val="auto"/>
        </w:rPr>
      </w:pPr>
    </w:p>
    <w:p>
      <w:pPr>
        <w:ind w:left="820" w:right="160" w:hanging="245"/>
        <w:spacing w:after="0" w:line="247"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8" w:lineRule="exact"/>
        <w:rPr>
          <w:rFonts w:ascii="Times New Roman" w:cs="Times New Roman" w:eastAsia="Times New Roman" w:hAnsi="Times New Roman"/>
          <w:sz w:val="18"/>
          <w:szCs w:val="18"/>
          <w:color w:val="auto"/>
        </w:rPr>
      </w:pPr>
    </w:p>
    <w:p>
      <w:pPr>
        <w:ind w:left="820" w:right="140" w:hanging="245"/>
        <w:spacing w:after="0" w:line="260"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consists of all other products,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consisting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coconut milk products, including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and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product offerings;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right="100"/>
        <w:spacing w:after="0" w:line="266" w:lineRule="auto"/>
        <w:rPr>
          <w:sz w:val="20"/>
          <w:szCs w:val="20"/>
          <w:color w:val="auto"/>
        </w:rPr>
      </w:pPr>
      <w:r>
        <w:rPr>
          <w:rFonts w:ascii="Times New Roman" w:cs="Times New Roman" w:eastAsia="Times New Roman" w:hAnsi="Times New Roman"/>
          <w:sz w:val="18"/>
          <w:szCs w:val="18"/>
          <w:color w:val="auto"/>
        </w:rPr>
        <w:t>For these products, control is transferred upon customer receipt, at which point the Company recognizes the transaction price for the product as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82,836</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94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comparative summary of net sales by operating segment and product category: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40" w:type="dxa"/>
            <w:vAlign w:val="bottom"/>
          </w:tcPr>
          <w:p>
            <w:pPr>
              <w:spacing w:after="0"/>
              <w:rPr>
                <w:sz w:val="24"/>
                <w:szCs w:val="24"/>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31,</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16"/>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86,118</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148,164</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112,600</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0" w:type="dxa"/>
            <w:vAlign w:val="bottom"/>
          </w:tcPr>
          <w:p>
            <w:pPr>
              <w:spacing w:after="0"/>
              <w:rPr>
                <w:sz w:val="1"/>
                <w:szCs w:val="1"/>
                <w:color w:val="auto"/>
              </w:rPr>
            </w:pPr>
          </w:p>
        </w:tc>
      </w:tr>
      <w:tr>
        <w:trPr>
          <w:trHeight w:val="230"/>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Private Label</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8"/>
          <w:szCs w:val="18"/>
          <w:color w:val="auto"/>
        </w:rPr>
        <w:t xml:space="preserve">For the three months ended March 31, 2026, the primary driver of the consolidated net sales increase of 37.3% was strong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volume growth in both the Americas and International segments.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net sales increased 41.6%, underpinned by a case equivalents ("CE") volume increase of 32.0% driven by increased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demand and the slight timing shift of a significant retailer promotion to the first quarter in 2026 and improved net pricing. In 2025, the retailer promotion fell more heavily in the second quarter. Private Label net sales increased 28.1% driven predominantly by growth in the International segment. Other category growth was 5.4%.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Volume in Case Equivalents</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comparative summary of the percentage change in our volume in CE for the three months ended March 31, 2026 compared to the three months ended March 31, 2025,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285750</wp:posOffset>
            </wp:positionV>
            <wp:extent cx="44062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Percentage Change - Three Months Ended March 31, 2026 vs. 2025</w:t>
      </w: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w:t>
            </w:r>
          </w:p>
        </w:tc>
        <w:tc>
          <w:tcPr>
            <w:tcW w:w="1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29"/>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Private Label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3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1"/>
        </w:trPr>
        <w:tc>
          <w:tcPr>
            <w:tcW w:w="36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 We may have immaterial sales of raw materials at times that are treated as zero CEs for the purposes of these calculations.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 Segment</w:t>
      </w:r>
    </w:p>
    <w:p>
      <w:pPr>
        <w:spacing w:after="0" w:line="117"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Net sales in the Americas segment increased $35.6 million, or 31.6%. The increase was primarily driven by CE volume growth of 29.4% of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Coconut Water, with slower growth rates in Private Label and Other.</w:t>
      </w:r>
    </w:p>
    <w:p>
      <w:pPr>
        <w:spacing w:after="0" w:line="158"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$31.9 million, or 37.1%, primarily driven by CE volume growth of 29.4% due to increased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coupled with pricing benefits from higher front line prices implemented in the quarter and the earlier timing of a retailer promotion as compared to timing in 2025.</w:t>
      </w:r>
    </w:p>
    <w:p>
      <w:pPr>
        <w:spacing w:after="0" w:line="175"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Private Label net sales increased $3.2 million, or 15.1%, to $24.4 million for the three months ended March 31, 2026, from $21.2 million for the three months ended March 31, 2025, due to a CE volume increase of 17.6%. Regained regions offset the loss of regions that initially started in the first quarter of 2025.</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Net sales from Other products increased by $0.4 million, or 8.4%, to $5.7 million for the three months ended March 31, 2026 from $5.3 million for the three months ended March 31, 2025, primarily due to the increased CE volume related to coconut milk as well as shipping for the full quarter of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Treats in the U.S. in the 2026 period versus a partial quarter in the prior year period, associated with the national launch in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Segment</w:t>
      </w:r>
    </w:p>
    <w:p>
      <w:pPr>
        <w:spacing w:after="0" w:line="11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International net sales increased $13.3 million, or 72.5%, for the three months ended March 31, 2026, from the three months ended March 31, 2025. The growth was primarily driven by a 50.2% increase in CE volume, reflecting strong performance in Germany and the United Kingdom, partially offset by softness in China.</w:t>
      </w:r>
    </w:p>
    <w:p>
      <w:pPr>
        <w:spacing w:after="0" w:line="174"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by $9.3 million, or 70.9%, to $22.5 million, for the three months ended March 31, 2026, from $13.2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2025. The increase was primarily driven by higher volume in Europe due to strong demand for our products, along with net pricing benefits and favorable foreign exchange rates.</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Private Label net sales increased $4.1 million, or 85.7%, to $8.8 million for the three months ended March 31, 2026 from $4.8 million for the three months ended March 31, 2025. The increase was driven primarily by Private Label coconut water CE volume growth in Europe.</w:t>
      </w:r>
    </w:p>
    <w:p>
      <w:pPr>
        <w:spacing w:after="0" w:line="16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Net sales from Other products decreased $0.1 million, or 36.6% for the three months ended March 31, 2026, compared to the same period in the prior year.</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gridSpan w:val="3"/>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0" w:type="dxa"/>
            <w:vAlign w:val="bottom"/>
          </w:tcPr>
          <w:p>
            <w:pPr>
              <w:spacing w:after="0"/>
              <w:rPr>
                <w:sz w:val="1"/>
                <w:szCs w:val="1"/>
                <w:color w:val="auto"/>
              </w:rPr>
            </w:pPr>
          </w:p>
        </w:tc>
      </w:tr>
      <w:tr>
        <w:trPr>
          <w:trHeight w:val="23"/>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87,230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70,288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107,952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82,836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 segment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60,934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42,312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 segment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0" w:type="dxa"/>
            <w:vAlign w:val="bottom"/>
          </w:tcPr>
          <w:p>
            <w:pPr>
              <w:spacing w:after="0"/>
              <w:rPr>
                <w:sz w:val="1"/>
                <w:szCs w:val="1"/>
                <w:color w:val="auto"/>
              </w:rPr>
            </w:pPr>
          </w:p>
        </w:tc>
      </w:tr>
      <w:tr>
        <w:trPr>
          <w:trHeight w:val="223"/>
        </w:trPr>
        <w:tc>
          <w:tcPr>
            <w:tcW w:w="6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71,813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48,085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bps</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bps</w:t>
            </w:r>
          </w:p>
        </w:tc>
        <w:tc>
          <w:tcPr>
            <w:tcW w:w="0" w:type="dxa"/>
            <w:vAlign w:val="bottom"/>
          </w:tcPr>
          <w:p>
            <w:pPr>
              <w:spacing w:after="0"/>
              <w:rPr>
                <w:sz w:val="1"/>
                <w:szCs w:val="1"/>
                <w:color w:val="auto"/>
              </w:rPr>
            </w:pPr>
          </w:p>
        </w:tc>
      </w:tr>
      <w:tr>
        <w:trPr>
          <w:trHeight w:val="257"/>
        </w:trPr>
        <w:tc>
          <w:tcPr>
            <w:tcW w:w="68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bps</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60" w:firstLine="486"/>
        <w:spacing w:after="0" w:line="250" w:lineRule="auto"/>
        <w:rPr>
          <w:sz w:val="20"/>
          <w:szCs w:val="20"/>
          <w:color w:val="auto"/>
        </w:rPr>
      </w:pPr>
      <w:r>
        <w:rPr>
          <w:rFonts w:ascii="Times New Roman" w:cs="Times New Roman" w:eastAsia="Times New Roman" w:hAnsi="Times New Roman"/>
          <w:sz w:val="18"/>
          <w:szCs w:val="18"/>
          <w:color w:val="auto"/>
        </w:rPr>
        <w:t>On a consolidated basis, cost of goods sold increased $25.1 million, or 30.3%, for the three months ended March 31, 2026, compared to the three months ended March 31, 2025. On a consolidated and segment basis, the increase was primarily driven by higher CE volume, higher finished goods and domestic logistics costs, as well as legacy tariff impacts, partially offset by lower ocean freight costs.</w:t>
      </w:r>
    </w:p>
    <w:p>
      <w:pPr>
        <w:spacing w:after="0" w:line="17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consolidated gross profit increased $23.7 million, or 49.3%, primarily driven by increased sales, increased pricing, and lower ocean freight rates, partially offset by higher finished goods and domestic logistics costs along with legacy tariff impacts associated with inventory sold during the period compared to the prior year period. Gross margin was 39.9% compared to 36.7% in the prior year period. The increase resulted from higher pricing and lower ocean freight rates, slightly offset by the impact of higher-cost inventory flowing through cost of goods sold.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4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80" w:type="dxa"/>
            <w:vAlign w:val="bottom"/>
          </w:tcPr>
          <w:p>
            <w:pPr>
              <w:spacing w:after="0"/>
              <w:rPr>
                <w:sz w:val="13"/>
                <w:szCs w:val="13"/>
                <w:color w:val="auto"/>
              </w:rPr>
            </w:pPr>
          </w:p>
        </w:tc>
        <w:tc>
          <w:tcPr>
            <w:tcW w:w="2080" w:type="dxa"/>
            <w:vAlign w:val="bottom"/>
            <w:gridSpan w:val="3"/>
            <w:vMerge w:val="restart"/>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6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7"/>
                <w:szCs w:val="17"/>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right="40" w:firstLine="486"/>
        <w:spacing w:after="0" w:line="211" w:lineRule="exact"/>
        <w:rPr>
          <w:sz w:val="20"/>
          <w:szCs w:val="20"/>
          <w:color w:val="auto"/>
        </w:rPr>
      </w:pPr>
      <w:r>
        <w:rPr>
          <w:rFonts w:ascii="Times New Roman" w:cs="Times New Roman" w:eastAsia="Times New Roman" w:hAnsi="Times New Roman"/>
          <w:sz w:val="18"/>
          <w:szCs w:val="18"/>
          <w:color w:val="auto"/>
        </w:rPr>
        <w:t>For the three months ended March 31, 2026, SG&amp;A increased $9.4 million, or 32.8%, compared to the three months ended March 31, 2025.The increase was primarily driven by higher people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of $3.6 million, reflecting increased headcount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as well as a $3.6 million increase in marketing expense to support sales growth initiatives and expansion into new markets. In addition, distributor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increased $2.0 million.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19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60" w:type="dxa"/>
            <w:vAlign w:val="bottom"/>
          </w:tcPr>
          <w:p>
            <w:pPr>
              <w:spacing w:after="0"/>
              <w:rPr>
                <w:sz w:val="13"/>
                <w:szCs w:val="13"/>
                <w:color w:val="auto"/>
              </w:rPr>
            </w:pPr>
          </w:p>
        </w:tc>
        <w:tc>
          <w:tcPr>
            <w:tcW w:w="2060" w:type="dxa"/>
            <w:vAlign w:val="bottom"/>
            <w:gridSpan w:val="2"/>
            <w:vMerge w:val="restart"/>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4"/>
        </w:trPr>
        <w:tc>
          <w:tcPr>
            <w:tcW w:w="7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instruments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Gain (Loss) on Derivative Instruments</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2026 and 2025, we recorded gains of $2.8 million for the mark-to-market changes in fair value on the outstanding derivative instruments for forward foreign currency exchange contracts, with the largest gain for the three months ended March 31, 2026 related to the hedging contracts for the Brazilian Real.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(Loss) Gain</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March 31, 2026, we recorded a $0.5 million foreign currency loss compared to a foreign currency gain of $0.6 million in the three months ended March 31, 2025. The variance was a result of movements in various foreign currency exchange rates related to transactions denominated in currencies other than the functional currency. See "Quantitative and Qualitative Disclosures about Market Risk -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Risk</w:t>
      </w:r>
      <w:r>
        <w:rPr>
          <w:rFonts w:ascii="Times New Roman" w:cs="Times New Roman" w:eastAsia="Times New Roman" w:hAnsi="Times New Roman"/>
          <w:sz w:val="18"/>
          <w:szCs w:val="18"/>
          <w:color w:val="auto"/>
        </w:rPr>
        <w:t>" for further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months ended March 31, 2026, interest income, net remained consistent compared to the prior year period.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6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17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2026 and 2025, our effective tax rate was 18.6% and 22.5%, respectively. The effective tax rate for the current period is lower than the U.S. statutory rate of 21% primarily as a result of discrete items recorded during the period. The effective tax rate for the period ending March 31, 2025 was higher than the U.S. statutory rate of 21% primarily as a result of state income taxes for the U.S. entity. The change in effective tax rates between the periods is primarily attributable to the impact of discrete items compared to the prior year period and geographical mix of earnings.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These non-GAAP measures are a key metric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9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9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r>
      <w:tr>
        <w:trPr>
          <w:trHeight w:val="230"/>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w:t>
            </w:r>
          </w:p>
        </w:tc>
      </w:tr>
      <w:tr>
        <w:trPr>
          <w:trHeight w:val="22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 instruments (b)</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loss/(gain) (b)</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 (c)</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w:t>
            </w:r>
          </w:p>
        </w:tc>
      </w:tr>
      <w:tr>
        <w:trPr>
          <w:trHeight w:val="21"/>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20" w:hanging="332"/>
        <w:spacing w:after="0" w:line="261" w:lineRule="auto"/>
        <w:tabs>
          <w:tab w:leader="none" w:pos="3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340" w:right="76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ind w:left="340" w:right="180" w:hanging="332"/>
        <w:spacing w:after="0" w:line="241" w:lineRule="auto"/>
        <w:tabs>
          <w:tab w:leader="none" w:pos="347"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three months ended March 31, 2025 other adjustments include $0.6 million related to a one-time 2023 incentive program that is measured based on full-year 2025 performance and is structured differently from our other ongoing employee incentive programs, and $0.4 million of non-cash rent charges related to our new New York City office that overlap with our current New York City office rent charges. These amounts were offset by $0.1 million of partial recoveries of prepaid inventory from a supplier (refer to the 2025 Form 10-K for further details) and a gain of $0.2 million from a sale of intellectual property.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credit facilities and term loans. We had $201.9 million and $196.9 million of cash and cash equivalents as of March 31, 2026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respectively. From time to time, we may supplement our liquidity needs with incremental borrowing capacity under the Credit Facility.</w:t>
      </w:r>
    </w:p>
    <w:p>
      <w:pPr>
        <w:spacing w:after="0" w:line="21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62"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provided by operating activities increased $25.4 million compared to the three months ended March 31, 2025. The higher cash generation was driven by the $13.6 million increase in net income after adjusting for non-cash items and approximately $11.8 million working capital improvement.</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cash used in investing activities was $0.5 million compared to $0.6 million for the three months ended March 31, 2025. The decrease was primarily due to the absence of leasehold improvements related spend on our new offices during the three months ended March 31, 2025 partly offset by higher expenditures on new software implementations during the current quarter.</w:t>
      </w:r>
    </w:p>
    <w:p>
      <w:pPr>
        <w:spacing w:after="0" w:line="2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p>
    <w:p>
      <w:pPr>
        <w:ind w:right="20" w:firstLine="486"/>
        <w:spacing w:after="0" w:line="23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compared to the three months ended March 31, 2025, net cash used by financing activities increased by $8.8 million, primarily driven by higher volume and price of share repurchases in the three months ended March 31, 2026 compared to the prior year period, partially offset by increased proceeds from the exercise of stock options. See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our condensed consolidated financial statements included in this Quarterly Report on Form 10-Q, for further discussion on share repurchases.</w:t>
      </w: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280" w:firstLine="551"/>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the Credit Facility, which currently provides for committed borrowings of $60 million. On February 14, 2025, the Credit Facility was amended, extending the maturity five years to February 13, 2030.</w:t>
      </w:r>
    </w:p>
    <w:p>
      <w:pPr>
        <w:spacing w:after="0" w:line="54" w:lineRule="exact"/>
        <w:rPr>
          <w:sz w:val="20"/>
          <w:szCs w:val="20"/>
          <w:color w:val="auto"/>
        </w:rPr>
      </w:pPr>
    </w:p>
    <w:p>
      <w:pPr>
        <w:ind w:right="60" w:firstLine="551"/>
        <w:spacing w:after="0" w:line="250" w:lineRule="auto"/>
        <w:rPr>
          <w:sz w:val="20"/>
          <w:szCs w:val="20"/>
          <w:color w:val="auto"/>
        </w:rPr>
      </w:pPr>
      <w:r>
        <w:rPr>
          <w:rFonts w:ascii="Times New Roman" w:cs="Times New Roman" w:eastAsia="Times New Roman" w:hAnsi="Times New Roman"/>
          <w:sz w:val="18"/>
          <w:szCs w:val="18"/>
          <w:color w:val="auto"/>
        </w:rPr>
        <w:t>Starting in December 2022, borrowings on the Credit Facility bear interest at rates based on either: 1) a fluctuating rate per annum determined to be the sum of Daily Simple SOFR plus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through February 13, 2025, the Company was subject to an unused commitment fee ranging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0.10% and 0.20% on the unused amount of the line of credit, with the rate based on the Company’s leverage ratio (as defined in the credit agreement). Starting February 14, 2025, the unused commitment fees ranged from 0.13% and 0.23% on the unused amount of the line of credit, with the rate being based on the Company’s leverage ratio (as defined in the credit agreement).</w:t>
      </w:r>
    </w:p>
    <w:p>
      <w:pPr>
        <w:spacing w:after="0" w:line="61" w:lineRule="exact"/>
        <w:rPr>
          <w:sz w:val="20"/>
          <w:szCs w:val="20"/>
          <w:color w:val="auto"/>
        </w:rPr>
      </w:pPr>
    </w:p>
    <w:p>
      <w:pPr>
        <w:ind w:right="220" w:firstLine="551"/>
        <w:spacing w:after="0" w:line="282" w:lineRule="auto"/>
        <w:rPr>
          <w:sz w:val="20"/>
          <w:szCs w:val="20"/>
          <w:color w:val="auto"/>
        </w:rPr>
      </w:pPr>
      <w:r>
        <w:rPr>
          <w:rFonts w:ascii="Times New Roman" w:cs="Times New Roman" w:eastAsia="Times New Roman" w:hAnsi="Times New Roman"/>
          <w:sz w:val="18"/>
          <w:szCs w:val="18"/>
          <w:color w:val="auto"/>
        </w:rPr>
        <w:t>There were no drawn amounts on the Credit Facility as of March 31, 2026 and December 31, 2025, respectively. As of March 31, 2026, we were compliant with all financial covenants.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For additional information,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our condensed consolidated financial statements included in this Quarterly Report on Form 10-Q.</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included in this Quarterly Report on Form 10-Q. During the three months ended March 31, 2026, there were no material changes to our critical accounting policies from those discussed in the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adopted and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right="100" w:firstLine="567"/>
        <w:spacing w:after="0" w:line="236" w:lineRule="auto"/>
        <w:rPr>
          <w:sz w:val="20"/>
          <w:szCs w:val="20"/>
          <w:color w:val="auto"/>
        </w:rPr>
      </w:pPr>
      <w:r>
        <w:rPr>
          <w:rFonts w:ascii="Times New Roman" w:cs="Times New Roman" w:eastAsia="Times New Roman" w:hAnsi="Times New Roman"/>
          <w:sz w:val="17"/>
          <w:szCs w:val="17"/>
          <w:color w:val="auto"/>
        </w:rPr>
        <w:t>As of March 31, 2026 and December 31, 2025, the outstanding amounts related to our Credit Facility incur interest fees at variable interest rates and are affected by changes in the general level of market interest rates. However, there was no outstanding balance on the Credit Facility as of March 31,</w:t>
      </w:r>
    </w:p>
    <w:p>
      <w:pPr>
        <w:spacing w:after="0"/>
        <w:rPr>
          <w:sz w:val="20"/>
          <w:szCs w:val="20"/>
          <w:color w:val="auto"/>
        </w:rPr>
      </w:pPr>
      <w:r>
        <w:rPr>
          <w:rFonts w:ascii="Times New Roman" w:cs="Times New Roman" w:eastAsia="Times New Roman" w:hAnsi="Times New Roman"/>
          <w:sz w:val="18"/>
          <w:szCs w:val="18"/>
          <w:color w:val="auto"/>
        </w:rPr>
        <w:t>2026 and December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total notional values of our forward exchange contracts were $127.5 million and $128.8 million as of March 31, 2026 and December 31, 2025, respectively. The derivatives on the forward exchange contracts resulted in an unrealized gain of $2.8 million for the three months ended March 31, 2026. We estimate that a 10% strengthening or weakening of the U.S. dollar would have resulted in an approximately $9.6 million gain or loss.</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 portion of our cash and cash equivalents are denominated in foreign currencies. As of March 31, 2026, a 1% change in the value of the U.S. dollar compared to foreign currencies would have caused our cash and cash equivalents to decrease or increase by $0.1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and Inflation Risks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and to changes in the strength of the U.S. dollar.</w:t>
      </w:r>
    </w:p>
    <w:p>
      <w:pPr>
        <w:spacing w:after="0" w:line="72"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2026, general inflationary pressures continue to increase the other elements of our cost of goods and operating expenses. In addition, during 2025, the U.S. government implemented a universal baseline tariff of 10%, plus significant additional country-specific reciprocal tariffs, including increased rates of approximately 20% for our Asian sourcing countries, and 50% for Brazil (including the baseline 10% rate previously announced). As previously disclosed, in November 2025, relief was granted for certain agricultural products, including tariff codes applicable to coconut water products, and a waiver was issued for incremental tariffs on coconut water imports from Brazil, which significantly reduced the tariff burden on the majority of our portfolio. Certain miscellaneous tariffs, however, remain in effect.</w:t>
      </w:r>
    </w:p>
    <w:p>
      <w:pPr>
        <w:spacing w:after="0" w:line="79" w:lineRule="exact"/>
        <w:rPr>
          <w:sz w:val="20"/>
          <w:szCs w:val="20"/>
          <w:color w:val="auto"/>
        </w:rPr>
      </w:pPr>
    </w:p>
    <w:p>
      <w:pPr>
        <w:ind w:firstLine="486"/>
        <w:spacing w:after="0" w:line="219" w:lineRule="exact"/>
        <w:rPr>
          <w:sz w:val="20"/>
          <w:szCs w:val="20"/>
          <w:color w:val="auto"/>
        </w:rPr>
      </w:pPr>
      <w:r>
        <w:rPr>
          <w:rFonts w:ascii="Times New Roman" w:cs="Times New Roman" w:eastAsia="Times New Roman" w:hAnsi="Times New Roman"/>
          <w:sz w:val="18"/>
          <w:szCs w:val="18"/>
          <w:color w:val="auto"/>
        </w:rPr>
        <w:t>While these developments have mitigated a portion of the cost impact associated with tariffs, the tariff environment remains evolving and uncertain. Changes in trade policy, the potential imposition of additional tariffs under alternative statutory authorities, and broader macroeconomic effects could continue to affect our cost of goods sold and margins. These factors may also disrupt ocean shipping capacity, which could impact our ability to secure ocean freight containers for our products, and create inflationary pressures on our costs. We continue to monitor these developments and pursue pricing actions, sourcing strategies and other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mitigation measures; however, there can be no assurance that such actions will fully offset the impact of tariffs or related economic conditions.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0" w:firstLine="486"/>
        <w:spacing w:after="0" w:line="281"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In the three months ended March 31, 2026, sales to two customers represented approximately 46%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2026, our disclosure controls and procedures were effective at the reasonable assurance level.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Please refer to Part I, Item 1A. "Risk Factors" of our Form 10-K for the fiscal year ended December 31, 2025 for a description of certain significant risks and uncertainties to which our business, financial condition and results of operations are subject. We provide below the material changes to our risk factors described in our Annual Report as of March 31, 2026. If any of these risks or others not specified materialize, our business, financial condition and results of operations could be materially and adversely affected: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conflict involving Iran may adversely affect our business, supply chain, financial condition, and results of operations.</w:t>
      </w:r>
    </w:p>
    <w:p>
      <w:pPr>
        <w:spacing w:after="0" w:line="243"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7"/>
          <w:szCs w:val="17"/>
          <w:color w:val="auto"/>
        </w:rPr>
        <w:t>U.S. and Israeli military operations against Iran, which commenced in February 2026, have caused significant disruption to global energy markets and supply chains, contributing to increased oil prices, inflationary pressures, and heightened market volatility. The disruption to energy shipments through the Strait of Hormuz has increased fuel and energy costs and created uncertainty in fuel availability for our suppliers and their manufacturing operations.</w:t>
      </w:r>
    </w:p>
    <w:p>
      <w:pPr>
        <w:spacing w:after="0" w:line="2"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These conditions could increase our cost of operations, creating inflationary pressures on our cost of goods and could constrain the production of finished goods we source from those facilities. The imposition of additional sanctions, cyberattacks, further escalation or additional military action, or other governmental or market responses could have an adverse effect on the global supply chain, energy markets, commodity prices, currency exchange rates, financial markets and overall macroeconomic environment in which we operate, and could result in material increases in our costs, delays in product delivery and reduced customer demand. The duration and scope of the conflict remain uncertain, and our business and financial condition, results of operations and cash flows may be materially adversely affected.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sell any equity securities during the three months ended March 31, 2026 that were not registered under the Securities Act.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shd w:val="clear" w:color="auto" w:fill="CCEEFF"/>
          </w:tcPr>
          <w:p>
            <w:pPr>
              <w:spacing w:after="0"/>
              <w:rPr>
                <w:sz w:val="18"/>
                <w:szCs w:val="18"/>
                <w:color w:val="auto"/>
              </w:rPr>
            </w:pP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5"/>
        </w:trPr>
        <w:tc>
          <w:tcPr>
            <w:tcW w:w="256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12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49"/>
        </w:trPr>
        <w:tc>
          <w:tcPr>
            <w:tcW w:w="2560" w:type="dxa"/>
            <w:vAlign w:val="bottom"/>
            <w:vMerge w:val="continue"/>
            <w:shd w:val="clear" w:color="auto" w:fill="CCEEFF"/>
          </w:tcPr>
          <w:p>
            <w:pPr>
              <w:spacing w:after="0"/>
              <w:rPr>
                <w:sz w:val="12"/>
                <w:szCs w:val="12"/>
                <w:color w:val="auto"/>
              </w:rPr>
            </w:pPr>
          </w:p>
        </w:tc>
        <w:tc>
          <w:tcPr>
            <w:tcW w:w="21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w:t>
            </w:r>
          </w:p>
        </w:tc>
        <w:tc>
          <w:tcPr>
            <w:tcW w:w="22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40"/>
        </w:trPr>
        <w:tc>
          <w:tcPr>
            <w:tcW w:w="2560" w:type="dxa"/>
            <w:vAlign w:val="bottom"/>
            <w:shd w:val="clear" w:color="auto" w:fill="CCEEFF"/>
          </w:tcPr>
          <w:p>
            <w:pPr>
              <w:spacing w:after="0"/>
              <w:rPr>
                <w:sz w:val="3"/>
                <w:szCs w:val="3"/>
                <w:color w:val="auto"/>
              </w:rPr>
            </w:pPr>
          </w:p>
        </w:tc>
        <w:tc>
          <w:tcPr>
            <w:tcW w:w="2120" w:type="dxa"/>
            <w:vAlign w:val="bottom"/>
            <w:vMerge w:val="continue"/>
            <w:shd w:val="clear" w:color="auto" w:fill="CCEEFF"/>
          </w:tcPr>
          <w:p>
            <w:pPr>
              <w:spacing w:after="0"/>
              <w:rPr>
                <w:sz w:val="3"/>
                <w:szCs w:val="3"/>
                <w:color w:val="auto"/>
              </w:rPr>
            </w:pPr>
          </w:p>
        </w:tc>
        <w:tc>
          <w:tcPr>
            <w:tcW w:w="2080" w:type="dxa"/>
            <w:vAlign w:val="bottom"/>
            <w:vMerge w:val="continue"/>
            <w:shd w:val="clear" w:color="auto" w:fill="CCEEFF"/>
          </w:tcPr>
          <w:p>
            <w:pPr>
              <w:spacing w:after="0"/>
              <w:rPr>
                <w:sz w:val="3"/>
                <w:szCs w:val="3"/>
                <w:color w:val="auto"/>
              </w:rPr>
            </w:pPr>
          </w:p>
        </w:tc>
        <w:tc>
          <w:tcPr>
            <w:tcW w:w="2220" w:type="dxa"/>
            <w:vAlign w:val="bottom"/>
            <w:vMerge w:val="continue"/>
            <w:shd w:val="clear" w:color="auto" w:fill="CCEEFF"/>
          </w:tcPr>
          <w:p>
            <w:pPr>
              <w:spacing w:after="0"/>
              <w:rPr>
                <w:sz w:val="3"/>
                <w:szCs w:val="3"/>
                <w:color w:val="auto"/>
              </w:rPr>
            </w:pPr>
          </w:p>
        </w:tc>
        <w:tc>
          <w:tcPr>
            <w:tcW w:w="21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7"/>
              </w:rPr>
              <w:t xml:space="preserve">or Programs </w:t>
            </w:r>
            <w:r>
              <w:rPr>
                <w:rFonts w:ascii="Times New Roman" w:cs="Times New Roman" w:eastAsia="Times New Roman" w:hAnsi="Times New Roman"/>
                <w:sz w:val="23"/>
                <w:szCs w:val="23"/>
                <w:color w:val="auto"/>
                <w:w w:val="97"/>
                <w:vertAlign w:val="superscript"/>
              </w:rPr>
              <w:t>(1)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2026 - January 31,</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5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12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222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60" w:type="dxa"/>
            <w:vAlign w:val="bottom"/>
            <w:vMerge w:val="continue"/>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 2026 - February 28,</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16,830</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$54.69</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915,006</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0" w:type="dxa"/>
            <w:vAlign w:val="bottom"/>
          </w:tcPr>
          <w:p>
            <w:pPr>
              <w:spacing w:after="0"/>
              <w:rPr>
                <w:sz w:val="1"/>
                <w:szCs w:val="1"/>
                <w:color w:val="auto"/>
              </w:rPr>
            </w:pPr>
          </w:p>
        </w:tc>
      </w:tr>
      <w:tr>
        <w:trPr>
          <w:trHeight w:val="149"/>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12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6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 March 31, 2026</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208,443</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$50.78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1,123,449</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(1) On October 30, 2023, the Company's Board of Directors approved a share repurchase program ("Repurchase Program") authorizing the Company to repurchase up to $40.0 million of Common Stock, which was increased to a total of $65.0 million on April 28, 2025. Shares of Common Stock may be repurchased under the Repurchase Program from time to time through open market purchases, block trades, private transactions or accelerated or other structured share repurchase programs. To the extent not retired, shares of Common Stock repurchased under the Repurchase Program will be placed in the Company's treasury shares. The extent to which the Company repurchases shares of Common Stock and the timing of such repurchases will depend upon a variety of factors, including market conditions, regulatory requirements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and other corporate considerations, as determined by the Company. The Repurchase Program has no time limits, and may be suspended or discontinued at any time. During the three months ended March 31, 2026, the Company repurchased 225,273 shares at a cost of $11.5 million under the Repurchase Program.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March 31, 2026:</w:t>
      </w:r>
    </w:p>
    <w:p>
      <w:pPr>
        <w:spacing w:after="0" w:line="9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Duration of Trading Aggregate Number of</w:t>
            </w:r>
          </w:p>
        </w:tc>
      </w:tr>
      <w:tr>
        <w:trPr>
          <w:trHeight w:val="245"/>
        </w:trPr>
        <w:tc>
          <w:tcPr>
            <w:tcW w:w="15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r>
      <w:tr>
        <w:trPr>
          <w:trHeight w:val="198"/>
        </w:trPr>
        <w:tc>
          <w:tcPr>
            <w:tcW w:w="15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Ira Liran Revocable</w:t>
            </w:r>
          </w:p>
        </w:tc>
        <w:tc>
          <w:tcPr>
            <w:tcW w:w="1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 trust controlled by</w:t>
            </w: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52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March 12, 2026</w:t>
            </w:r>
          </w:p>
        </w:tc>
        <w:tc>
          <w:tcPr>
            <w:tcW w:w="1680" w:type="dxa"/>
            <w:vAlign w:val="bottom"/>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June 11, 2026 to</w:t>
            </w: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230,000 shares</w:t>
            </w: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Ira Liran (Director)</w:t>
            </w: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June 9, 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common stock</w:t>
            </w:r>
          </w:p>
        </w:tc>
      </w:tr>
      <w:tr>
        <w:trPr>
          <w:trHeight w:val="225"/>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Ira Liran 2012 Family A trust controlled by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12, 2026</w:t>
            </w:r>
          </w:p>
        </w:tc>
        <w:tc>
          <w:tcPr>
            <w:tcW w:w="16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June 11, 2026 to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230,000 shares</w:t>
            </w: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w:t>
            </w: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Ira Liran (Director)</w:t>
            </w:r>
          </w:p>
        </w:tc>
        <w:tc>
          <w:tcPr>
            <w:tcW w:w="1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June 9, 2027</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common stock</w:t>
            </w:r>
          </w:p>
        </w:tc>
      </w:tr>
    </w:tbl>
    <w:p>
      <w:pPr>
        <w:spacing w:after="0" w:line="21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Filed /</w:t>
            </w:r>
          </w:p>
        </w:tc>
        <w:tc>
          <w:tcPr>
            <w:tcW w:w="0" w:type="dxa"/>
            <w:vAlign w:val="bottom"/>
          </w:tcPr>
          <w:p>
            <w:pPr>
              <w:spacing w:after="0"/>
              <w:rPr>
                <w:sz w:val="1"/>
                <w:szCs w:val="1"/>
                <w:color w:val="auto"/>
              </w:rPr>
            </w:pPr>
          </w:p>
        </w:tc>
      </w:tr>
      <w:tr>
        <w:trPr>
          <w:trHeight w:val="107"/>
        </w:trPr>
        <w:tc>
          <w:tcPr>
            <w:tcW w:w="1320" w:type="dxa"/>
            <w:vAlign w:val="bottom"/>
            <w:gridSpan w:val="2"/>
            <w:vMerge w:val="restart"/>
          </w:tcPr>
          <w:p>
            <w:pPr>
              <w:jc w:val="center"/>
              <w:ind w:right="100"/>
              <w:spacing w:after="0" w:line="125" w:lineRule="exact"/>
              <w:rPr>
                <w:sz w:val="20"/>
                <w:szCs w:val="20"/>
                <w:color w:val="auto"/>
              </w:rPr>
            </w:pPr>
            <w:r>
              <w:rPr>
                <w:rFonts w:ascii="Times New Roman" w:cs="Times New Roman" w:eastAsia="Times New Roman" w:hAnsi="Times New Roman"/>
                <w:sz w:val="14"/>
                <w:szCs w:val="14"/>
                <w:color w:val="auto"/>
              </w:rPr>
              <w:t>Exhibit</w:t>
            </w:r>
          </w:p>
        </w:tc>
        <w:tc>
          <w:tcPr>
            <w:tcW w:w="3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23"/>
        </w:trPr>
        <w:tc>
          <w:tcPr>
            <w:tcW w:w="1320" w:type="dxa"/>
            <w:vAlign w:val="bottom"/>
            <w:gridSpan w:val="2"/>
            <w:vMerge w:val="continue"/>
          </w:tcPr>
          <w:p>
            <w:pPr>
              <w:spacing w:after="0"/>
              <w:rPr>
                <w:sz w:val="2"/>
                <w:szCs w:val="2"/>
                <w:color w:val="auto"/>
              </w:rPr>
            </w:pPr>
          </w:p>
        </w:tc>
        <w:tc>
          <w:tcPr>
            <w:tcW w:w="33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Exhibit Description</w:t>
            </w:r>
          </w:p>
        </w:tc>
        <w:tc>
          <w:tcPr>
            <w:tcW w:w="8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Number</w:t>
            </w:r>
          </w:p>
        </w:tc>
        <w:tc>
          <w:tcPr>
            <w:tcW w:w="10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17" w:right="339" w:bottom="1440" w:gutter="0" w:footer="0" w:header="0"/>
        </w:sectPr>
      </w:pPr>
    </w:p>
    <w:tbl>
      <w:tblPr>
        <w:tblLayout w:type="fixed"/>
        <w:tblInd w:w="2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Second Amended and Restated Certificate of</w:t>
              </w:r>
            </w:hyperlink>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54">
              <w:r>
                <w:rPr>
                  <w:rFonts w:ascii="Times New Roman" w:cs="Times New Roman" w:eastAsia="Times New Roman" w:hAnsi="Times New Roman"/>
                  <w:sz w:val="18"/>
                  <w:szCs w:val="18"/>
                  <w:color w:val="0000FF"/>
                  <w:w w:val="97"/>
                </w:rPr>
                <w:t>Incorporation.</w:t>
              </w:r>
            </w:hyperlink>
          </w:p>
        </w:tc>
        <w:tc>
          <w:tcPr>
            <w:tcW w:w="2220" w:type="dxa"/>
            <w:vAlign w:val="bottom"/>
            <w:tcBorders>
              <w:top w:val="single" w:sz="8" w:color="0000FF"/>
            </w:tcBorders>
            <w:gridSpan w:val="15"/>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Amended and Restated Bylaws.</w:t>
              </w:r>
            </w:hyperlink>
          </w:p>
        </w:tc>
        <w:tc>
          <w:tcPr>
            <w:tcW w:w="1240" w:type="dxa"/>
            <w:vAlign w:val="bottom"/>
            <w:gridSpan w:val="12"/>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Specimen Common Stock Certificate of The</w:t>
              </w:r>
            </w:hyperlink>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Vita Coco Company, Inc.</w:t>
              </w:r>
            </w:hyperlink>
          </w:p>
        </w:tc>
        <w:tc>
          <w:tcPr>
            <w:tcW w:w="1400" w:type="dxa"/>
            <w:vAlign w:val="bottom"/>
            <w:tcBorders>
              <w:top w:val="single" w:sz="8" w:color="0000FF"/>
            </w:tcBorders>
            <w:gridSpan w:val="11"/>
          </w:tcPr>
          <w:p>
            <w:pPr>
              <w:spacing w:after="0"/>
              <w:rPr>
                <w:sz w:val="13"/>
                <w:szCs w:val="13"/>
                <w:color w:val="auto"/>
              </w:rPr>
            </w:pPr>
          </w:p>
        </w:tc>
        <w:tc>
          <w:tcPr>
            <w:tcW w:w="320" w:type="dxa"/>
            <w:vAlign w:val="bottom"/>
            <w:gridSpan w:val="2"/>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Registration Rights Agreement, by and</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3540" w:type="dxa"/>
            <w:vAlign w:val="bottom"/>
            <w:gridSpan w:val="18"/>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among The Vita Coco Company, Inc. and</w:t>
              </w:r>
            </w:hyperlink>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9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2021.</w:t>
              </w:r>
            </w:hyperlink>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540" w:type="dxa"/>
            <w:vAlign w:val="bottom"/>
            <w:gridSpan w:val="18"/>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Investor Rights Agreement, among The Vita</w:t>
              </w:r>
            </w:hyperlink>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2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Coco Company, Inc., Verlinvest Beverages</w:t>
              </w:r>
            </w:hyperlink>
          </w:p>
        </w:tc>
        <w:tc>
          <w:tcPr>
            <w:tcW w:w="34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99"/>
              </w:rPr>
              <w:t>10/25/21</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3100" w:type="dxa"/>
            <w:vAlign w:val="bottom"/>
            <w:gridSpan w:val="1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of October 20, 2021.</w:t>
              </w:r>
            </w:hyperlink>
          </w:p>
        </w:tc>
        <w:tc>
          <w:tcPr>
            <w:tcW w:w="440" w:type="dxa"/>
            <w:vAlign w:val="bottom"/>
            <w:gridSpan w:val="4"/>
          </w:tcPr>
          <w:p>
            <w:pPr>
              <w:spacing w:after="0"/>
              <w:rPr>
                <w:sz w:val="13"/>
                <w:szCs w:val="13"/>
                <w:color w:val="auto"/>
              </w:rPr>
            </w:pPr>
          </w:p>
        </w:tc>
        <w:tc>
          <w:tcPr>
            <w:tcW w:w="940" w:type="dxa"/>
            <w:vAlign w:val="bottom"/>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Form of Indenture</w:t>
              </w:r>
            </w:hyperlink>
          </w:p>
        </w:tc>
        <w:tc>
          <w:tcPr>
            <w:tcW w:w="160" w:type="dxa"/>
            <w:vAlign w:val="bottom"/>
            <w:tcBorders>
              <w:top w:val="single" w:sz="8" w:color="0000FF"/>
            </w:tcBorders>
          </w:tcPr>
          <w:p>
            <w:pPr>
              <w:spacing w:after="0"/>
              <w:rPr>
                <w:sz w:val="18"/>
                <w:szCs w:val="18"/>
                <w:color w:val="auto"/>
              </w:rPr>
            </w:pPr>
          </w:p>
        </w:tc>
        <w:tc>
          <w:tcPr>
            <w:tcW w:w="2060" w:type="dxa"/>
            <w:vAlign w:val="bottom"/>
            <w:gridSpan w:val="14"/>
          </w:tcPr>
          <w:p>
            <w:pPr>
              <w:spacing w:after="0"/>
              <w:rPr>
                <w:sz w:val="18"/>
                <w:szCs w:val="18"/>
                <w:color w:val="auto"/>
              </w:rPr>
            </w:pP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333-271583</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5/2/23</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60" w:type="dxa"/>
            <w:vAlign w:val="bottom"/>
            <w:tcBorders>
              <w:top w:val="single" w:sz="8" w:color="0000FF"/>
            </w:tcBorders>
            <w:gridSpan w:val="2"/>
          </w:tcPr>
          <w:p>
            <w:pPr>
              <w:spacing w:after="0"/>
              <w:rPr>
                <w:sz w:val="13"/>
                <w:szCs w:val="13"/>
                <w:color w:val="auto"/>
              </w:rPr>
            </w:pPr>
          </w:p>
        </w:tc>
        <w:tc>
          <w:tcPr>
            <w:tcW w:w="68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 13a-14(a)/15d-14(a).</w:t>
            </w:r>
          </w:p>
        </w:tc>
        <w:tc>
          <w:tcPr>
            <w:tcW w:w="20" w:type="dxa"/>
            <w:vAlign w:val="bottom"/>
            <w:tcBorders>
              <w:top w:val="single" w:sz="8" w:color="0000FF"/>
            </w:tcBorders>
          </w:tcPr>
          <w:p>
            <w:pPr>
              <w:spacing w:after="0"/>
              <w:rPr>
                <w:sz w:val="13"/>
                <w:szCs w:val="13"/>
                <w:color w:val="auto"/>
              </w:rPr>
            </w:pPr>
          </w:p>
        </w:tc>
        <w:tc>
          <w:tcPr>
            <w:tcW w:w="72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8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680" w:type="dxa"/>
            <w:vAlign w:val="bottom"/>
            <w:gridSpan w:val="8"/>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c>
          <w:tcPr>
            <w:tcW w:w="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8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w:t>
            </w:r>
          </w:p>
        </w:tc>
        <w:tc>
          <w:tcPr>
            <w:tcW w:w="720" w:type="dxa"/>
            <w:vAlign w:val="bottom"/>
            <w:gridSpan w:val="9"/>
          </w:tcPr>
          <w:p>
            <w:pPr>
              <w:spacing w:after="0"/>
              <w:rPr>
                <w:sz w:val="13"/>
                <w:szCs w:val="13"/>
                <w:color w:val="auto"/>
              </w:rPr>
            </w:pPr>
          </w:p>
        </w:tc>
        <w:tc>
          <w:tcPr>
            <w:tcW w:w="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Document—the</w:t>
            </w:r>
          </w:p>
        </w:tc>
        <w:tc>
          <w:tcPr>
            <w:tcW w:w="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354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instance document does not appear in the</w:t>
            </w: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320" w:type="dxa"/>
            <w:vAlign w:val="bottom"/>
          </w:tcPr>
          <w:p>
            <w:pPr>
              <w:spacing w:after="0"/>
              <w:rPr>
                <w:sz w:val="15"/>
                <w:szCs w:val="15"/>
                <w:color w:val="auto"/>
              </w:rPr>
            </w:pPr>
          </w:p>
        </w:tc>
        <w:tc>
          <w:tcPr>
            <w:tcW w:w="354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35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auto"/>
              </w:rPr>
              <w:t>are embedded within the Inline XBRL</w:t>
            </w:r>
          </w:p>
        </w:tc>
        <w:tc>
          <w:tcPr>
            <w:tcW w:w="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9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 w:lineRule="exact"/>
        <w:rPr>
          <w:sz w:val="20"/>
          <w:szCs w:val="20"/>
          <w:color w:val="auto"/>
        </w:rPr>
      </w:pPr>
    </w:p>
    <w:p>
      <w:pPr>
        <w:sectPr>
          <w:pgSz w:w="11900" w:h="16838" w:orient="portrait"/>
          <w:cols w:equalWidth="0" w:num="2">
            <w:col w:w="9540" w:space="480"/>
            <w:col w:w="1220"/>
          </w:cols>
          <w:pgMar w:left="320" w:top="11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Cover Page Interactive Data File (formatted</w:t>
      </w:r>
    </w:p>
    <w:p>
      <w:pPr>
        <w:ind w:left="1340"/>
        <w:spacing w:after="0" w:line="219" w:lineRule="auto"/>
        <w:rPr>
          <w:sz w:val="20"/>
          <w:szCs w:val="20"/>
          <w:color w:val="auto"/>
        </w:rPr>
      </w:pPr>
      <w:r>
        <w:rPr>
          <w:rFonts w:ascii="Times New Roman" w:cs="Times New Roman" w:eastAsia="Times New Roman" w:hAnsi="Times New Roman"/>
          <w:sz w:val="18"/>
          <w:szCs w:val="18"/>
          <w:color w:val="auto"/>
        </w:rPr>
        <w:t>as Inline XBRL and contained in Exhibit</w:t>
      </w:r>
    </w:p>
    <w:p>
      <w:pPr>
        <w:ind w:left="1340" w:hanging="1314"/>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2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redacted pursuant to Regulation S-K, Item 601(a)(6).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Certain portions of this exhibit (indicated by "[***]") have been redacted pursuant to Regulations S-K, Item 601(b)(10)(iv).</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THE VITA COCO COMPANY, INC.</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Roper</w:t>
            </w:r>
          </w:p>
        </w:tc>
      </w:tr>
      <w:tr>
        <w:trPr>
          <w:trHeight w:val="214"/>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Martin Roper</w:t>
            </w:r>
          </w:p>
        </w:tc>
      </w:tr>
      <w:tr>
        <w:trPr>
          <w:trHeight w:val="232"/>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236"/>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Baker</w:t>
            </w:r>
          </w:p>
        </w:tc>
      </w:tr>
      <w:tr>
        <w:trPr>
          <w:trHeight w:val="214"/>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r>
      <w:tr>
        <w:trPr>
          <w:trHeight w:val="232"/>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6"/>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918"/>
        </w:trPr>
        <w:tc>
          <w:tcPr>
            <w:tcW w:w="3460" w:type="dxa"/>
            <w:vAlign w:val="bottom"/>
          </w:tcPr>
          <w:p>
            <w:pPr>
              <w:spacing w:after="0"/>
              <w:rPr>
                <w:sz w:val="24"/>
                <w:szCs w:val="24"/>
                <w:color w:val="auto"/>
              </w:rPr>
            </w:pPr>
          </w:p>
        </w:tc>
        <w:tc>
          <w:tcPr>
            <w:tcW w:w="2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77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34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34"/>
        </w:trPr>
        <w:tc>
          <w:tcPr>
            <w:tcW w:w="3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Vita Coco Company, Inc.;</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77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3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20"/>
          </w:cols>
          <w:pgMar w:left="320" w:top="114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2026 as filed with the Securities and Exchange Commission on the date hereof (the “Report”), I, Martin Roper, certify, pursuant to 18 U.S.C. § 1350, as adopted pursuant to § 906 of the Sarbanes-Oxley Act of 2002, that, to the best of my knowledge:</w:t>
      </w:r>
    </w:p>
    <w:p>
      <w:pPr>
        <w:spacing w:after="0" w:line="176"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Martin Roper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Vita Coco Company, Inc. (the “Company”) for the quarter ended March 31, 2026 as filed with the Securities and Exchange Commission on the date hereof (the “Report”), I, Corey Baker, certify, pursuant to 18 U.S.C. § 1350, as adopted pursuant to § 906 of the Sarbanes-Oxley Act of 2002, that, to the best of my knowledge:</w:t>
      </w:r>
    </w:p>
    <w:p>
      <w:pPr>
        <w:spacing w:after="0" w:line="17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Corey Baker</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r>
      <w:tr>
        <w:trPr>
          <w:trHeight w:val="228"/>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5"/>
    </w:lvl>
  </w:abstractNum>
  <w:abstractNum w:abstractNumId="4">
    <w:nsid w:val="1190CDE7"/>
    <w:multiLevelType w:val="hybridMultilevel"/>
    <w:lvl w:ilvl="0">
      <w:lvlJc w:val="left"/>
      <w:lvlText w:val="%1."/>
      <w:numFmt w:val="decimal"/>
      <w:start w:val="9"/>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04"/>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54" Type="http://schemas.openxmlformats.org/officeDocument/2006/relationships/hyperlink" Target="https://www.sec.gov/Archives/edgar/data/0001482981/000119312521306737/d222890dex31.htm" TargetMode="External"/><Relationship Id="rId55" Type="http://schemas.openxmlformats.org/officeDocument/2006/relationships/hyperlink" Target="https://www.sec.gov/Archives/edgar/data/0001482981/000119312521306737/d222890dex32.htm" TargetMode="External"/><Relationship Id="rId56" Type="http://schemas.openxmlformats.org/officeDocument/2006/relationships/hyperlink" Target="https://www.sec.gov/Archives/edgar/data/0001482981/000119312521284306/d197386dex41.htm" TargetMode="External"/><Relationship Id="rId57" Type="http://schemas.openxmlformats.org/officeDocument/2006/relationships/hyperlink" Target="https://www.sec.gov/Archives/edgar/data/0001482981/000119312521306737/d222890dex101.htm" TargetMode="External"/><Relationship Id="rId58" Type="http://schemas.openxmlformats.org/officeDocument/2006/relationships/hyperlink" Target="https://www.sec.gov/Archives/edgar/data/0001482981/000119312521306737/d222890dex102.htm" TargetMode="External"/><Relationship Id="rId59" Type="http://schemas.openxmlformats.org/officeDocument/2006/relationships/hyperlink" Target="https://www.sec.gov/Archives/edgar/data/1482981/000119312523132638/d49759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2026-04-29T07:45:07Z</dcterms:created>
  <dcterms:modified xsi:type="dcterms:W3CDTF">2026-04-29T07:45:07Z</dcterms:modified>
</cp:coreProperties>
</file>