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380" w:right="360" w:hanging="354"/>
        <w:spacing w:after="0" w:line="275" w:lineRule="auto"/>
        <w:tabs>
          <w:tab w:leader="none" w:pos="3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20" w:right="300" w:hanging="394"/>
        <w:spacing w:after="0" w:line="262"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Vita Coco Company,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1"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11-3713156</w:t>
            </w:r>
          </w:p>
        </w:tc>
      </w:tr>
      <w:tr>
        <w:trPr>
          <w:trHeight w:val="17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8"/>
              </w:rPr>
              <w:t>111 Fifth Avenue</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Times New Roman" w:cs="Times New Roman" w:eastAsia="Times New Roman" w:hAnsi="Times New Roman"/>
                <w:sz w:val="18"/>
                <w:szCs w:val="18"/>
                <w:b w:val="1"/>
                <w:bCs w:val="1"/>
                <w:color w:val="auto"/>
              </w:rPr>
              <w:t>Second Floor</w:t>
            </w:r>
          </w:p>
        </w:tc>
        <w:tc>
          <w:tcPr>
            <w:tcW w:w="1240" w:type="dxa"/>
            <w:vAlign w:val="bottom"/>
          </w:tcPr>
          <w:p>
            <w:pPr>
              <w:spacing w:after="0"/>
              <w:rPr>
                <w:sz w:val="17"/>
                <w:szCs w:val="17"/>
                <w:color w:val="auto"/>
              </w:rPr>
            </w:pPr>
          </w:p>
        </w:tc>
      </w:tr>
      <w:tr>
        <w:trPr>
          <w:trHeight w:val="265"/>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206"/>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4"/>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w w:val="99"/>
              </w:rPr>
              <w:t>(212) 206-0763</w:t>
            </w:r>
          </w:p>
        </w:tc>
        <w:tc>
          <w:tcPr>
            <w:tcW w:w="1240" w:type="dxa"/>
            <w:vAlign w:val="bottom"/>
          </w:tcPr>
          <w:p>
            <w:pPr>
              <w:spacing w:after="0"/>
              <w:rPr>
                <w:sz w:val="24"/>
                <w:szCs w:val="24"/>
                <w:color w:val="auto"/>
              </w:rPr>
            </w:pPr>
          </w:p>
        </w:tc>
      </w:tr>
      <w:tr>
        <w:trPr>
          <w:trHeight w:val="238"/>
        </w:trPr>
        <w:tc>
          <w:tcPr>
            <w:tcW w:w="6180" w:type="dxa"/>
            <w:vAlign w:val="bottom"/>
          </w:tcPr>
          <w:p>
            <w:pPr>
              <w:jc w:val="center"/>
              <w:ind w:left="1795"/>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COCO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27, 2025, there were 56,948,258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60" w:type="dxa"/>
            <w:vAlign w:val="bottom"/>
            <w:gridSpan w:val="11"/>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1"/>
            <w:vMerge w:val="continue"/>
          </w:tcPr>
          <w:p>
            <w:pPr>
              <w:spacing w:after="0"/>
              <w:rPr>
                <w:sz w:val="20"/>
                <w:szCs w:val="20"/>
                <w:color w:val="auto"/>
              </w:rPr>
            </w:pPr>
          </w:p>
        </w:tc>
        <w:tc>
          <w:tcPr>
            <w:tcW w:w="7260" w:type="dxa"/>
            <w:vAlign w:val="bottom"/>
            <w:gridSpan w:val="11"/>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40" w:type="dxa"/>
            <w:vAlign w:val="bottom"/>
            <w:gridSpan w:val="8"/>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2025 and December 31, 2024</w:t>
            </w:r>
          </w:p>
        </w:tc>
        <w:tc>
          <w:tcPr>
            <w:tcW w:w="288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&amp; Other Comprehensive Income (Loss) for the three and nine months ended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September 30, 2025 and 2024</w:t>
            </w:r>
          </w:p>
        </w:tc>
        <w:tc>
          <w:tcPr>
            <w:tcW w:w="704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2025 and 2024</w:t>
            </w:r>
          </w:p>
        </w:tc>
        <w:tc>
          <w:tcPr>
            <w:tcW w:w="1380" w:type="dxa"/>
            <w:vAlign w:val="bottom"/>
            <w:tcBorders>
              <w:top w:val="single" w:sz="8" w:color="0000FF"/>
            </w:tcBorders>
            <w:gridSpan w:val="2"/>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60" w:type="dxa"/>
            <w:vAlign w:val="bottom"/>
            <w:gridSpan w:val="9"/>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0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2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4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15"/>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2024.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164,669</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$3,469 at September 30, 2025, and $2,255 at December 31, 2024</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83,600</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Supplier advances, current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27,236</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advances, long-term</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461,294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362,381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Notes payable, 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Derivative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103,266</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137,561</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103,564</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7)</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500,000,000 shares authorized; 64,027,120 and 63,702,387 shares issued at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162"/>
        </w:trPr>
        <w:tc>
          <w:tcPr>
            <w:tcW w:w="8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September 30, 2025 and December 31, 2024, respectively; 56,948,258 and 56,961,941 shares outstanding at</w:t>
            </w: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September 30, 2025 and December 31, 2024, respectively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7,078,862 shares at cost as of September 30, 2025, and 6,740,446 shares at cost as of December 31, 2024.</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(81,935)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(71,731)</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323,733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258,817</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461,294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362,381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&amp;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231,244</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157,476</w:t>
            </w: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69,535</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69,137</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The Vita Coco Company,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56,850,812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56,769,410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56,879,627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56,688,362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59,878,602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59,314,805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59,832,067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59,099,179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1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7"/>
        </w:trPr>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vMerge w:val="restart"/>
          </w:tcPr>
          <w:p>
            <w:pPr>
              <w:jc w:val="center"/>
              <w:ind w:left="248"/>
              <w:spacing w:after="0" w:line="151" w:lineRule="exact"/>
              <w:rPr>
                <w:sz w:val="20"/>
                <w:szCs w:val="20"/>
                <w:color w:val="auto"/>
              </w:rPr>
            </w:pPr>
            <w:r>
              <w:rPr>
                <w:rFonts w:ascii="Times New Roman" w:cs="Times New Roman" w:eastAsia="Times New Roman" w:hAnsi="Times New Roman"/>
                <w:sz w:val="14"/>
                <w:szCs w:val="14"/>
                <w:b w:val="1"/>
                <w:bCs w:val="1"/>
                <w:color w:val="auto"/>
              </w:rPr>
              <w:t>with Exit</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vMerge w:val="restart"/>
          </w:tcPr>
          <w:p>
            <w:pPr>
              <w:ind w:left="260"/>
              <w:spacing w:after="0" w:line="151" w:lineRule="exact"/>
              <w:rPr>
                <w:sz w:val="20"/>
                <w:szCs w:val="20"/>
                <w:color w:val="auto"/>
              </w:rPr>
            </w:pPr>
            <w:r>
              <w:rPr>
                <w:rFonts w:ascii="Times New Roman" w:cs="Times New Roman" w:eastAsia="Times New Roman" w:hAnsi="Times New Roman"/>
                <w:sz w:val="14"/>
                <w:szCs w:val="14"/>
                <w:b w:val="1"/>
                <w:bCs w:val="1"/>
                <w:color w:val="auto"/>
              </w:rPr>
              <w:t>Total Common</w:t>
            </w:r>
          </w:p>
        </w:tc>
        <w:tc>
          <w:tcPr>
            <w:tcW w:w="820" w:type="dxa"/>
            <w:vAlign w:val="bottom"/>
            <w:gridSpan w:val="3"/>
            <w:vMerge w:val="restart"/>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138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40" w:type="dxa"/>
            <w:vAlign w:val="bottom"/>
            <w:gridSpan w:val="3"/>
            <w:vMerge w:val="restart"/>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to The Vita</w:t>
            </w:r>
          </w:p>
        </w:tc>
        <w:tc>
          <w:tcPr>
            <w:tcW w:w="0" w:type="dxa"/>
            <w:vAlign w:val="bottom"/>
          </w:tcPr>
          <w:p>
            <w:pPr>
              <w:spacing w:after="0"/>
              <w:rPr>
                <w:sz w:val="1"/>
                <w:szCs w:val="1"/>
                <w:color w:val="auto"/>
              </w:rPr>
            </w:pPr>
          </w:p>
        </w:tc>
      </w:tr>
      <w:tr>
        <w:trPr>
          <w:trHeight w:val="92"/>
        </w:trPr>
        <w:tc>
          <w:tcPr>
            <w:tcW w:w="148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0" w:type="dxa"/>
            <w:vAlign w:val="bottom"/>
            <w:gridSpan w:val="3"/>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80" w:type="dxa"/>
            <w:vAlign w:val="bottom"/>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320"/>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14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9"/>
              <w:spacing w:after="0" w:line="103" w:lineRule="exact"/>
              <w:rPr>
                <w:sz w:val="20"/>
                <w:szCs w:val="20"/>
                <w:color w:val="auto"/>
              </w:rPr>
            </w:pPr>
            <w:r>
              <w:rPr>
                <w:rFonts w:ascii="Times New Roman" w:cs="Times New Roman" w:eastAsia="Times New Roman" w:hAnsi="Times New Roman"/>
                <w:sz w:val="11"/>
                <w:szCs w:val="11"/>
                <w:b w:val="1"/>
                <w:bCs w:val="1"/>
                <w:color w:val="auto"/>
              </w:rPr>
              <w:t>Coco</w:t>
            </w: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3"/>
                <w:szCs w:val="13"/>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00" w:type="dxa"/>
            <w:vAlign w:val="bottom"/>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8"/>
        </w:trPr>
        <w:tc>
          <w:tcPr>
            <w:tcW w:w="14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continue"/>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17"/>
                <w:szCs w:val="17"/>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7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55,022,348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63,135,453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161,414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$ 100,742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6,236,200</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(59,701)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202,437</w:t>
            </w:r>
          </w:p>
        </w:tc>
        <w:tc>
          <w:tcPr>
            <w:tcW w:w="0" w:type="dxa"/>
            <w:vAlign w:val="bottom"/>
          </w:tcPr>
          <w:p>
            <w:pPr>
              <w:spacing w:after="0"/>
              <w:rPr>
                <w:sz w:val="1"/>
                <w:szCs w:val="1"/>
                <w:color w:val="auto"/>
              </w:rPr>
            </w:pPr>
          </w:p>
        </w:tc>
      </w:tr>
      <w:tr>
        <w:trPr>
          <w:trHeight w:val="205"/>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14,238</w:t>
            </w:r>
          </w:p>
        </w:tc>
        <w:tc>
          <w:tcPr>
            <w:tcW w:w="0" w:type="dxa"/>
            <w:vAlign w:val="bottom"/>
          </w:tcPr>
          <w:p>
            <w:pPr>
              <w:spacing w:after="0"/>
              <w:rPr>
                <w:sz w:val="1"/>
                <w:szCs w:val="1"/>
                <w:color w:val="auto"/>
              </w:rPr>
            </w:pPr>
          </w:p>
        </w:tc>
      </w:tr>
      <w:tr>
        <w:trPr>
          <w:trHeight w:val="146"/>
        </w:trPr>
        <w:tc>
          <w:tcPr>
            <w:tcW w:w="1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Purchase of treasury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391,544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193"/>
        </w:trPr>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39"/>
        </w:trPr>
        <w:tc>
          <w:tcPr>
            <w:tcW w:w="1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55,198,632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552</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63,311,737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163,674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114,980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6,627,744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209,690</w:t>
            </w:r>
          </w:p>
        </w:tc>
        <w:tc>
          <w:tcPr>
            <w:tcW w:w="0" w:type="dxa"/>
            <w:vAlign w:val="bottom"/>
          </w:tcPr>
          <w:p>
            <w:pPr>
              <w:spacing w:after="0"/>
              <w:rPr>
                <w:sz w:val="1"/>
                <w:szCs w:val="1"/>
                <w:color w:val="auto"/>
              </w:rPr>
            </w:pPr>
          </w:p>
        </w:tc>
      </w:tr>
      <w:tr>
        <w:trPr>
          <w:trHeight w:val="20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19,093</w:t>
            </w:r>
          </w:p>
        </w:tc>
        <w:tc>
          <w:tcPr>
            <w:tcW w:w="0" w:type="dxa"/>
            <w:vAlign w:val="bottom"/>
          </w:tcPr>
          <w:p>
            <w:pPr>
              <w:spacing w:after="0"/>
              <w:rPr>
                <w:sz w:val="1"/>
                <w:szCs w:val="1"/>
                <w:color w:val="auto"/>
              </w:rPr>
            </w:pPr>
          </w:p>
        </w:tc>
      </w:tr>
      <w:tr>
        <w:trPr>
          <w:trHeight w:val="146"/>
        </w:trPr>
        <w:tc>
          <w:tcPr>
            <w:tcW w:w="1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2,399</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2,399</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46"/>
        </w:trPr>
        <w:tc>
          <w:tcPr>
            <w:tcW w:w="1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 at June 30,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55,290,008</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553</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63,403,113</w:t>
            </w:r>
          </w:p>
        </w:tc>
        <w:tc>
          <w:tcPr>
            <w:tcW w:w="8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634</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166,863</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$ 134,073</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(628)</w:t>
            </w:r>
          </w:p>
        </w:tc>
        <w:tc>
          <w:tcPr>
            <w:tcW w:w="2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6,627,744</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(68,936)</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232,006</w:t>
            </w:r>
          </w:p>
        </w:tc>
        <w:tc>
          <w:tcPr>
            <w:tcW w:w="0" w:type="dxa"/>
            <w:vAlign w:val="bottom"/>
          </w:tcPr>
          <w:p>
            <w:pPr>
              <w:spacing w:after="0"/>
              <w:rPr>
                <w:sz w:val="1"/>
                <w:szCs w:val="1"/>
                <w:color w:val="auto"/>
              </w:rPr>
            </w:pPr>
          </w:p>
        </w:tc>
      </w:tr>
      <w:tr>
        <w:trPr>
          <w:trHeight w:val="195"/>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19,251</w:t>
            </w:r>
          </w:p>
        </w:tc>
        <w:tc>
          <w:tcPr>
            <w:tcW w:w="0" w:type="dxa"/>
            <w:vAlign w:val="bottom"/>
          </w:tcPr>
          <w:p>
            <w:pPr>
              <w:spacing w:after="0"/>
              <w:rPr>
                <w:sz w:val="1"/>
                <w:szCs w:val="1"/>
                <w:color w:val="auto"/>
              </w:rPr>
            </w:pPr>
          </w:p>
        </w:tc>
      </w:tr>
      <w:tr>
        <w:trPr>
          <w:trHeight w:val="139"/>
        </w:trPr>
        <w:tc>
          <w:tcPr>
            <w:tcW w:w="1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Purchase of treasury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112,702</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2,141</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2,141</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69,172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146"/>
        </w:trPr>
        <w:tc>
          <w:tcPr>
            <w:tcW w:w="1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55,359,180</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554</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63,472,285</w:t>
            </w:r>
          </w:p>
        </w:tc>
        <w:tc>
          <w:tcPr>
            <w:tcW w:w="8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635</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169,736</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$ 153,324</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156</w:t>
            </w:r>
          </w:p>
        </w:tc>
        <w:tc>
          <w:tcPr>
            <w:tcW w:w="2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6,740,446</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(71,731)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252,120</w:t>
            </w:r>
          </w:p>
        </w:tc>
        <w:tc>
          <w:tcPr>
            <w:tcW w:w="0" w:type="dxa"/>
            <w:vAlign w:val="bottom"/>
          </w:tcPr>
          <w:p>
            <w:pPr>
              <w:spacing w:after="0"/>
              <w:rPr>
                <w:sz w:val="1"/>
                <w:szCs w:val="1"/>
                <w:color w:val="auto"/>
              </w:rPr>
            </w:pPr>
          </w:p>
        </w:tc>
      </w:tr>
      <w:tr>
        <w:trPr>
          <w:trHeight w:val="190"/>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7"/>
        </w:trPr>
        <w:tc>
          <w:tcPr>
            <w:tcW w:w="1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vMerge w:val="restart"/>
          </w:tcPr>
          <w:p>
            <w:pPr>
              <w:jc w:val="center"/>
              <w:ind w:left="268"/>
              <w:spacing w:after="0" w:line="151" w:lineRule="exact"/>
              <w:rPr>
                <w:sz w:val="20"/>
                <w:szCs w:val="20"/>
                <w:color w:val="auto"/>
              </w:rPr>
            </w:pPr>
            <w:r>
              <w:rPr>
                <w:rFonts w:ascii="Times New Roman" w:cs="Times New Roman" w:eastAsia="Times New Roman" w:hAnsi="Times New Roman"/>
                <w:sz w:val="14"/>
                <w:szCs w:val="14"/>
                <w:b w:val="1"/>
                <w:bCs w:val="1"/>
                <w:color w:val="auto"/>
              </w:rPr>
              <w:t>with Exit</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vMerge w:val="restart"/>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Total Common</w:t>
            </w:r>
          </w:p>
        </w:tc>
        <w:tc>
          <w:tcPr>
            <w:tcW w:w="820" w:type="dxa"/>
            <w:vAlign w:val="bottom"/>
            <w:gridSpan w:val="3"/>
            <w:vMerge w:val="restart"/>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138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to The Vita</w:t>
            </w:r>
          </w:p>
        </w:tc>
        <w:tc>
          <w:tcPr>
            <w:tcW w:w="0" w:type="dxa"/>
            <w:vAlign w:val="bottom"/>
          </w:tcPr>
          <w:p>
            <w:pPr>
              <w:spacing w:after="0"/>
              <w:rPr>
                <w:sz w:val="1"/>
                <w:szCs w:val="1"/>
                <w:color w:val="auto"/>
              </w:rPr>
            </w:pPr>
          </w:p>
        </w:tc>
      </w:tr>
      <w:tr>
        <w:trPr>
          <w:trHeight w:val="92"/>
        </w:trPr>
        <w:tc>
          <w:tcPr>
            <w:tcW w:w="160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0" w:type="dxa"/>
            <w:vAlign w:val="bottom"/>
            <w:gridSpan w:val="3"/>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600" w:type="dxa"/>
            <w:vAlign w:val="bottom"/>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14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9"/>
              <w:spacing w:after="0" w:line="103" w:lineRule="exact"/>
              <w:rPr>
                <w:sz w:val="20"/>
                <w:szCs w:val="20"/>
                <w:color w:val="auto"/>
              </w:rPr>
            </w:pPr>
            <w:r>
              <w:rPr>
                <w:rFonts w:ascii="Times New Roman" w:cs="Times New Roman" w:eastAsia="Times New Roman" w:hAnsi="Times New Roman"/>
                <w:sz w:val="11"/>
                <w:szCs w:val="11"/>
                <w:b w:val="1"/>
                <w:bCs w:val="1"/>
                <w:color w:val="auto"/>
              </w:rPr>
              <w:t>Coco</w:t>
            </w: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3"/>
                <w:szCs w:val="13"/>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continue"/>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17"/>
                <w:szCs w:val="17"/>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8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22"/>
        </w:trPr>
        <w:tc>
          <w:tcPr>
            <w:tcW w:w="160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55,589,282</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556</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63,702,387</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174,077</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$ 156,694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(860)</w:t>
            </w: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6,740,446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(71,731)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258,817</w:t>
            </w:r>
          </w:p>
        </w:tc>
        <w:tc>
          <w:tcPr>
            <w:tcW w:w="0" w:type="dxa"/>
            <w:vAlign w:val="bottom"/>
          </w:tcPr>
          <w:p>
            <w:pPr>
              <w:spacing w:after="0"/>
              <w:rPr>
                <w:sz w:val="1"/>
                <w:szCs w:val="1"/>
                <w:color w:val="auto"/>
              </w:rPr>
            </w:pPr>
          </w:p>
        </w:tc>
      </w:tr>
      <w:tr>
        <w:trPr>
          <w:trHeight w:val="20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18,882</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95"/>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39"/>
        </w:trPr>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55,694,614</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557</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63,807,719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175,241</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$ 175,576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6,789,419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(73,232)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277,858</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22,908</w:t>
            </w:r>
          </w:p>
        </w:tc>
        <w:tc>
          <w:tcPr>
            <w:tcW w:w="0" w:type="dxa"/>
            <w:vAlign w:val="bottom"/>
          </w:tcPr>
          <w:p>
            <w:pPr>
              <w:spacing w:after="0"/>
              <w:rPr>
                <w:sz w:val="1"/>
                <w:szCs w:val="1"/>
                <w:color w:val="auto"/>
              </w:rPr>
            </w:pPr>
          </w:p>
        </w:tc>
      </w:tr>
      <w:tr>
        <w:trPr>
          <w:trHeight w:val="195"/>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284,728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r>
        <w:trPr>
          <w:trHeight w:val="195"/>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69,409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46"/>
        </w:trPr>
        <w:tc>
          <w:tcPr>
            <w:tcW w:w="16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55,764,023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558</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63,877,128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178,774</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$ 198,484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7,074,147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(81,784)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296,939</w:t>
            </w: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24,003</w:t>
            </w:r>
          </w:p>
        </w:tc>
        <w:tc>
          <w:tcPr>
            <w:tcW w:w="0" w:type="dxa"/>
            <w:vAlign w:val="bottom"/>
          </w:tcPr>
          <w:p>
            <w:pPr>
              <w:spacing w:after="0"/>
              <w:rPr>
                <w:sz w:val="1"/>
                <w:szCs w:val="1"/>
                <w:color w:val="auto"/>
              </w:rPr>
            </w:pPr>
          </w:p>
        </w:tc>
      </w:tr>
      <w:tr>
        <w:trPr>
          <w:trHeight w:val="146"/>
        </w:trPr>
        <w:tc>
          <w:tcPr>
            <w:tcW w:w="16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Purchase of Treasury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2,975</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2,975</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149,992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39"/>
        </w:trPr>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93"/>
        </w:trPr>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55,914,015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559</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64,027,120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181,992</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$ 222,487</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7,078,862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(81,935)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323,733</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CASH FLOWS (UNAUDITED)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52,582</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required to reconcile net income to cash flows from operating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Impairment loss on Runa assets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r>
      <w:tr>
        <w:trPr>
          <w:trHeight w:val="230"/>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net supplier advances, and other assets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30"/>
        </w:trPr>
        <w:tc>
          <w:tcPr>
            <w:tcW w:w="79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35,977</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awards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on notes payable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paid to acquire treasury stock</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132,867</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76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$1,278 and $1,258 of restricted cash as of September 30, 2025 and 2024, respectively, reported in other current assets on the condensed consolidated balance sheet.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NOTES TO CONDENSED CONSOLIDATED FINANCIAL STATEMENTS (UNAUDITED) (Amounts in thousands, except share and per share amounts)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21"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("Private Label"), predominantly in the United States ("U.S."). Other products include coconut milk, coconut oil,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and other revenue transactions (e.g., bulk product sales). The Company completed an initial public offering (the "IPO") of its Common Stock in October 2021.</w:t>
      </w:r>
    </w:p>
    <w:p>
      <w:pPr>
        <w:spacing w:after="0" w:line="18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(the "Board")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ten wholly-owned subsidiaries, including four wholly-owned Asian subsidiaries established between fiscal 2012 and 2015, four North American subsidiaries established between 2012 and 2018, All Market Europe, Ltd. (“AME”) in the United Kingdom established in 2009, and one subsidiary in Germany established during 2024. Through one of its subsidiaries, the Company has a 60% joint venture interest in a company, Coco Ventures Limited, which provides for the development, marketing, distribution and branding of coconut water-based products under the Vita Coco brand in China. See Note 16,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2025 or for any other interim period or for any other future year. The condensed consolidated financial statements included herein should be read in conjunction with the audited consolidated financial statements and the related notes thereto for the fiscal year ended December 31, 2024.</w:t>
      </w:r>
    </w:p>
    <w:p>
      <w:pPr>
        <w:spacing w:after="0" w:line="1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significant changes to the Company’s significant accounting policies as described in the Company’s audited consolidated financial statements as of and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U.S. GAAP.</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the accounts of the wholly-owned subsidiaries. All intercompany accounts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as well as recently imposed tariffs)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45% and 48% of total net sales for the nine months ended September 30, 2025 and 2024, respectively. In addition, the two customers in aggregate also accounted for 36% and 30% of total accounts receivable as of September 30, 2025 and December 31, 2024, respectively. The Company has not experienced credit issues with these customers. Refer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regarding additional information on the Company's major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Accounting Standards Codification ("ASC") - Topic 280 on an interim and annual basis. ASU 2023-07 is effective for fiscal years beginning after December 15, 2023, and for interim periods within fiscal years beginning after December 15, 2024, with early adoption permitted. The Company adopted the standard for the year ended December 31, 2024. The adoption of the standard did not have a material impact on the Company’s condensed consolidated statements of operations and disclosures.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78" w:lineRule="exact"/>
        <w:rPr>
          <w:sz w:val="20"/>
          <w:szCs w:val="20"/>
          <w:color w:val="auto"/>
        </w:rPr>
      </w:pPr>
    </w:p>
    <w:p>
      <w:pPr>
        <w:ind w:right="80" w:firstLine="648"/>
        <w:spacing w:after="0" w:line="228"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Intangibles—Goodwill and Other—Internal-Use Software (Subtopic 350-40): Targeted Improvements to the Accounting for Internal-Use Software ("ASU 2025-06"). ASU 2025-06 removes the existing project stage model and introduces new capitalization criteria based on management authorization and the probability of project completion. It also clarifies the treatment of software development uncertainty and incorporates guidance on website development costs. ASU 2025-06 is effective for annual periods beginning after December 15, 2027, with early adoption permitted. The Company is currently evaluating the impact of ASU 2025-06 on its consolidated financial statements.</w:t>
      </w:r>
    </w:p>
    <w:p>
      <w:pPr>
        <w:spacing w:after="0" w:line="293"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In July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Instruments—Credit Losses (“Topic 326”): Measurement of Credit Losses for Accounts Receivable and Contract Assets (“ASU 2025-05”)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2025-05 introduces a practical expedient that allows entities to estimate expected credit losses for current trade receivables and contract assets (within the scope of ASC 606) based on the assumption that current economic conditions will persist over the asset’s remaining life.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expedient applies only to receivables and contract assets that are expected to be collected within one year (or the operating cycle, if longer) and is intended to reduce complexity in applying the credit loss model under Topic 326. The standard is effective for the Company for fiscal years beginning after December 15, 2025, including interim periods within those fiscal years. Early adoption is permitted. The amendments must be applied prospectively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is currently evaluating the impact of ASU 2025-05 on its consolidated financial statements and related disclosures.</w:t>
      </w:r>
    </w:p>
    <w:p>
      <w:pPr>
        <w:spacing w:after="0" w:line="20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expenses in the consolidated statement of operations to be disaggregated into functional categories and separate significant individual expense items that are material to the understanding of the financial statements. ASU 2024-03 is effective for fiscal years beginning after December 15, 2026. In January 2025, the FASB issued ASU 2025-01, which clarified the adoption date to include interim periods with annual reporting periods after December 31, 2027. The Company is currently evaluating the impact of adopting ASU 2024-03 on its consolidated financial statements and related disclosures.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effective tax rate reconciliation, as well as disclosure of income taxes paid disaggregated by jurisdiction. ASU 2023-09 is effective for fiscal years beginning after December 15, 2024, with early adoption permitted. The Company does not expect the adoption to have a material effect on its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Revenues are accounted for in accordance with ASC Topic 606, Revenue Recognition ("ASC 606"). The Company disaggregates revenue into the following product categories:</w:t>
      </w:r>
    </w:p>
    <w:p>
      <w:pPr>
        <w:spacing w:after="0" w:line="50" w:lineRule="exact"/>
        <w:rPr>
          <w:sz w:val="20"/>
          <w:szCs w:val="20"/>
          <w:color w:val="auto"/>
        </w:rPr>
      </w:pPr>
    </w:p>
    <w:p>
      <w:pPr>
        <w:ind w:left="820" w:hanging="326"/>
        <w:spacing w:after="0" w:line="259"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1" w:lineRule="exact"/>
        <w:rPr>
          <w:rFonts w:ascii="Times New Roman" w:cs="Times New Roman" w:eastAsia="Times New Roman" w:hAnsi="Times New Roman"/>
          <w:sz w:val="18"/>
          <w:szCs w:val="18"/>
          <w:color w:val="auto"/>
        </w:rPr>
      </w:pPr>
    </w:p>
    <w:p>
      <w:pPr>
        <w:ind w:left="820" w:right="60" w:hanging="326"/>
        <w:spacing w:after="0" w:line="26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Private Label</w:t>
      </w:r>
      <w:r>
        <w:rPr>
          <w:rFonts w:ascii="Times New Roman" w:cs="Times New Roman" w:eastAsia="Times New Roman" w:hAnsi="Times New Roman"/>
          <w:sz w:val="18"/>
          <w:szCs w:val="18"/>
          <w:color w:val="auto"/>
        </w:rPr>
        <w:t>—This product category consists of all Private Label products, which includes coconut water and oil. The Company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8" w:lineRule="exact"/>
        <w:rPr>
          <w:rFonts w:ascii="Times New Roman" w:cs="Times New Roman" w:eastAsia="Times New Roman" w:hAnsi="Times New Roman"/>
          <w:sz w:val="18"/>
          <w:szCs w:val="18"/>
          <w:color w:val="auto"/>
        </w:rPr>
      </w:pPr>
    </w:p>
    <w:p>
      <w:pPr>
        <w:ind w:left="820" w:right="140" w:hanging="326"/>
        <w:spacing w:after="0" w:line="26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12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5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gridSpan w:val="10"/>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21,939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154,377</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151,724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30,589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94,013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14,883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108,896</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20,660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360" w:type="dxa"/>
            <w:vAlign w:val="bottom"/>
            <w:tcBorders>
              <w:bottom w:val="single" w:sz="8" w:color="auto"/>
            </w:tcBorders>
            <w:gridSpan w:val="10"/>
            <w:shd w:val="clear" w:color="auto" w:fill="CCEEFF"/>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54,998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394,004</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406,285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481,993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262,029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38,500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300,529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78,665</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55,881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3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3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80,881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80,064</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w:t>
            </w: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3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5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3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0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firstLine="486"/>
        <w:spacing w:after="0" w:line="312" w:lineRule="auto"/>
        <w:rPr>
          <w:sz w:val="20"/>
          <w:szCs w:val="20"/>
          <w:color w:val="auto"/>
        </w:rPr>
      </w:pPr>
      <w:r>
        <w:rPr>
          <w:rFonts w:ascii="Times New Roman" w:cs="Times New Roman" w:eastAsia="Times New Roman" w:hAnsi="Times New Roman"/>
          <w:sz w:val="17"/>
          <w:szCs w:val="17"/>
          <w:color w:val="auto"/>
        </w:rPr>
        <w:t>All of the Company’s goodwill is associated with a June 2018 acquisition. The goodwill is allocated to the Americas reporting unit and is tax deductible. The Company has not recognized any impairment since the acquisition in accordance with ASC Topic 350 - Intangibles, Goodwill &amp; Other.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debt as of September 30, 2025 and December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Vehicle loans</w:t>
            </w: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Credit Facility</w:t>
      </w:r>
    </w:p>
    <w:p>
      <w:pPr>
        <w:spacing w:after="0" w:line="121" w:lineRule="exact"/>
        <w:rPr>
          <w:sz w:val="20"/>
          <w:szCs w:val="20"/>
          <w:color w:val="auto"/>
        </w:rPr>
      </w:pPr>
    </w:p>
    <w:p>
      <w:pPr>
        <w:ind w:right="160" w:firstLine="551"/>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a five-year credit facility with Wells Fargo Bank, National Association consisting of a revolving line of credit, which provides for committed borrowings of $60,000 (the "2020 Credit Facility"). On February 14, 2025, the 2020 Credit Facility was amended, extending the maturity date five years to February 13, 2030. In connection with the amendment, the Company capitalized $90 of deferred financing costs, which are being amortized over the term of the facility. As of September 30, 2025, the unamortized deferred financing fees related to the revolver totaled $79 and are included in Other assets on the Company’s condensed consolidated balance sheet.</w:t>
      </w:r>
    </w:p>
    <w:p>
      <w:pPr>
        <w:spacing w:after="0" w:line="75" w:lineRule="exact"/>
        <w:rPr>
          <w:sz w:val="20"/>
          <w:szCs w:val="20"/>
          <w:color w:val="auto"/>
        </w:rPr>
      </w:pPr>
    </w:p>
    <w:p>
      <w:pPr>
        <w:ind w:right="20" w:firstLine="551"/>
        <w:spacing w:after="0" w:line="243"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in the year ended December 31, 2024, with the rate based on the Company’s leverage ratio (as defined in the 2020 Credit Facility). Starting February 14, 2025, the unused commitment fees range from 0.13% and 0.23% on the unused amount of the line of credit, with the rate being based on the Company’s leverage ratio (as defined in the 2020 Credit Facility).</w:t>
      </w:r>
    </w:p>
    <w:p>
      <w:pPr>
        <w:spacing w:after="0" w:line="186"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no outstanding balance and $60,000 undrawn and available under its amended 2020 Credit Facility. The Company incurred no interest expense for the 2020 Credit Facility for the nine months ended September 30, 2025 and September 30, 2024, respectively. The unused commitment fee for the 2020 Credit Facility amounted to $19 and $15 for the three months ended September 30, 2025 and September 30, 2024, respectively. The unused commitment fee for the 2020 Credit Facility amounted to $54 and $46 for the nine months ended September 30, 2025 and September 30, 2024, respectively.</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12" w:lineRule="exact"/>
        <w:rPr>
          <w:sz w:val="20"/>
          <w:szCs w:val="20"/>
          <w:color w:val="auto"/>
        </w:rPr>
      </w:pPr>
    </w:p>
    <w:p>
      <w:pPr>
        <w:ind w:right="160" w:firstLine="551"/>
        <w:spacing w:after="0" w:line="247"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September 30, 2025, the Company was in compliance with all financial covenants.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Loans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4.6% to 5.7%.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matters in the ordinary course of business. The Company intends to vigorously defend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in such matters, based upon the advice of legal counsel, and is of the opinion that the resolution of these matters will not have a material effect on the condensed consolidated financial statements. The Company records a liability when it is probable that a loss has been incurred and the amount is reasonably estimable. The Company also discloses when it is reasonably possible that a material loss may be incurred. As of September 30, 2025 and December 31, 2024, the Company has not recorded any liabilities relating to such legal matters.</w:t>
      </w:r>
    </w:p>
    <w:p>
      <w:pPr>
        <w:spacing w:after="0" w:line="179"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Asian countries.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may be subject to certain business risks due to potential instability in these regions.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4720" w:type="dxa"/>
            <w:vAlign w:val="bottom"/>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20" w:type="dxa"/>
            <w:vAlign w:val="bottom"/>
          </w:tcPr>
          <w:p>
            <w:pPr>
              <w:spacing w:after="0"/>
              <w:rPr>
                <w:sz w:val="16"/>
                <w:szCs w:val="16"/>
                <w:color w:val="auto"/>
              </w:rPr>
            </w:pPr>
          </w:p>
        </w:tc>
        <w:tc>
          <w:tcPr>
            <w:tcW w:w="272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720" w:type="dxa"/>
            <w:vAlign w:val="bottom"/>
          </w:tcPr>
          <w:p>
            <w:pPr>
              <w:spacing w:after="0"/>
              <w:rPr>
                <w:sz w:val="17"/>
                <w:szCs w:val="17"/>
                <w:color w:val="auto"/>
              </w:rPr>
            </w:pPr>
          </w:p>
        </w:tc>
        <w:tc>
          <w:tcPr>
            <w:tcW w:w="10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74" w:lineRule="exact"/>
        <w:rPr>
          <w:sz w:val="20"/>
          <w:szCs w:val="20"/>
          <w:color w:val="auto"/>
        </w:rPr>
      </w:pPr>
    </w:p>
    <w:p>
      <w:pPr>
        <w:ind w:right="180" w:firstLine="486"/>
        <w:spacing w:after="0" w:line="232" w:lineRule="auto"/>
        <w:rPr>
          <w:sz w:val="20"/>
          <w:szCs w:val="20"/>
          <w:color w:val="auto"/>
        </w:rPr>
      </w:pPr>
      <w:r>
        <w:rPr>
          <w:rFonts w:ascii="Times New Roman" w:cs="Times New Roman" w:eastAsia="Times New Roman" w:hAnsi="Times New Roman"/>
          <w:sz w:val="18"/>
          <w:szCs w:val="18"/>
          <w:color w:val="auto"/>
        </w:rPr>
        <w:t xml:space="preserve">Net sales include branded and Private Label products. One of the customers acquired less than 5% ownership in the Company upon consummation of the IPO. As discussed in Note 11,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same customer also was granted 200,000 restricted stock awards at the time of the IPO, of which 100,000 vested on March 31, 2023 and 100,000 vested on March 31, 2024. The customer monetized its investment in the Company during the first quarter of 2025.</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63"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accounts for derivative instruments in accordance with the ASC Topic 815, Derivatives and Hedging ("ASC 815"). These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that all derivative instruments be recognized at fair value on each balance sheet date unless they qualify for a scope exclusion as a normal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sales transaction, which is accounted for under the accrual method of accounting. In addition, these principles permit derivative instruments that qualify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hedge accounting to reflect the changes in the fair value of the derivative instruments through earnings or stockholders’ equity as other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on a net basis until the hedged item is settled and recognized in earnings, depending on whether the derivative is being used to hedge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or cash flows. The ineffective portion of a derivative instrument’s change in fair value is immediately recognized in earnings.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 the Company did not have any derivative instruments that it had designated as fair value or cash flow hedges.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1"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Inventory Purchases from Brazilian, Malaysian and Thai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into a series of forward currency swaps to buy BRL, MYR and THB.</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 AMS enters into foreign currency swaps to sell British pounds ("GBP").</w:t>
      </w:r>
    </w:p>
    <w:p>
      <w:pPr>
        <w:spacing w:after="0" w:line="15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condensed consolidated balance sheets consist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top w:val="single" w:sz="8" w:color="auto"/>
            </w:tcBorders>
          </w:tcPr>
          <w:p>
            <w:pPr>
              <w:jc w:val="center"/>
              <w:ind w:left="1434"/>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68"/>
        </w:trPr>
        <w:tc>
          <w:tcPr>
            <w:tcW w:w="4440" w:type="dxa"/>
            <w:vAlign w:val="bottom"/>
            <w:vMerge w:val="restart"/>
          </w:tcPr>
          <w:p>
            <w:pPr>
              <w:jc w:val="center"/>
              <w:ind w:left="1454"/>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440" w:type="dxa"/>
            <w:vAlign w:val="bottom"/>
            <w:vMerge w:val="restart"/>
          </w:tcPr>
          <w:p>
            <w:pPr>
              <w:jc w:val="center"/>
              <w:ind w:left="1434"/>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44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Eur/pay USD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USD/sell THB</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517"/>
        </w:trPr>
        <w:tc>
          <w:tcPr>
            <w:tcW w:w="4440" w:type="dxa"/>
            <w:vAlign w:val="bottom"/>
          </w:tcPr>
          <w:p>
            <w:pPr>
              <w:spacing w:after="0"/>
              <w:rPr>
                <w:sz w:val="24"/>
                <w:szCs w:val="24"/>
                <w:color w:val="auto"/>
              </w:rPr>
            </w:pP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tcPr>
          <w:p>
            <w:pPr>
              <w:jc w:val="center"/>
              <w:ind w:left="1474"/>
              <w:spacing w:after="0" w:line="12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7"/>
              </w:rPr>
              <w:t>Fair</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440" w:type="dxa"/>
            <w:vAlign w:val="bottom"/>
            <w:vMerge w:val="restart"/>
          </w:tcPr>
          <w:p>
            <w:pPr>
              <w:jc w:val="center"/>
              <w:ind w:left="1474"/>
              <w:spacing w:after="0" w:line="139"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72"/>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440" w:type="dxa"/>
            <w:vAlign w:val="bottom"/>
            <w:vMerge w:val="restart"/>
          </w:tcPr>
          <w:p>
            <w:pPr>
              <w:jc w:val="center"/>
              <w:ind w:left="1474"/>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and location of realized and unrealized gains and losses of the derivative instruments in the condensed consolidated statements of operations for the three and nine months ended September 30, 2025 and 2024 are as follows: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00" w:type="dxa"/>
            <w:vAlign w:val="bottom"/>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7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Foreign currency gain/(loss)</w:t>
            </w: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6"/>
        </w:trPr>
        <w:tc>
          <w:tcPr>
            <w:tcW w:w="70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2"/>
        </w:trPr>
        <w:tc>
          <w:tcPr>
            <w:tcW w:w="70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6,275</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(5,896)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gain/(loss)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4"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observable market data.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internally developed models and methodologies utilizing significant unobservable inputs.</w:t>
      </w:r>
    </w:p>
    <w:p>
      <w:pPr>
        <w:spacing w:after="0" w:line="203" w:lineRule="exact"/>
        <w:rPr>
          <w:sz w:val="20"/>
          <w:szCs w:val="20"/>
          <w:color w:val="auto"/>
        </w:rPr>
      </w:pPr>
    </w:p>
    <w:p>
      <w:pPr>
        <w:ind w:right="9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Forward Currency Swap Contracts</w:t>
      </w: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a description of these contracts. The Company’s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15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September 30, 2025 and December 31, 2024,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9"/>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6"/>
        </w:trPr>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4"/>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03"/>
        </w:trPr>
        <w:tc>
          <w:tcPr>
            <w:tcW w:w="4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(5,513)</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7"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and Treasury Stock</w:t>
      </w:r>
      <w:r>
        <w:rPr>
          <w:rFonts w:ascii="Times New Roman" w:cs="Times New Roman" w:eastAsia="Times New Roman" w:hAnsi="Times New Roman"/>
          <w:sz w:val="18"/>
          <w:szCs w:val="18"/>
          <w:color w:val="auto"/>
        </w:rPr>
        <w:t>—Each share of Common Stock entitles its holder to one vote on matters required to be voted 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and to receive dividends, when and if declared by the Company’s Board.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Company held 7,078,862 and 6,740,446 shares, respectively, in treasury stock. As of September 30, 2025 and December 31, 2024, the Company had 2,810,185 and 3,254,762 shares, respectively, of Common Stock available for issuance upon the conversion of outstanding equity awards under the 2021 Incentive Award Plan ("2021 Plan").</w:t>
      </w:r>
    </w:p>
    <w:p>
      <w:pPr>
        <w:spacing w:after="0" w:line="162"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7"/>
          <w:szCs w:val="17"/>
          <w:color w:val="auto"/>
        </w:rPr>
        <w:t>On October 30, 2023, the Company's Board approved a share repurchase program (the "Repurchase Program") authorizing the Company to repurchase up to $40,000 of Common Stock. On April 28, 2025, the Company's Board approved an additional $25,000 to the Repurchase Program, authorizing the Company to repurchase up to a total of $65,000 of the Company's Common Stock. There were no other changes made to the terms of the Repurchase Program.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Repurchase Program has no time limits and may be suspended or discontinued at any time.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4,715 shares during the three months ended September 30, 2025 at a cost of $151. The Company repurchased 338,416 shares</w:t>
      </w:r>
    </w:p>
    <w:p>
      <w:pPr>
        <w:spacing w:after="0" w:line="27"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8"/>
          <w:szCs w:val="18"/>
          <w:color w:val="auto"/>
        </w:rPr>
        <w:t>under the Repurchase Program at a cost of $10,204 during the nine months ended September 30, 2025. The Company repurchased 504,246 shares under the Repurchase Program at a cost of $12,030 during the year ended December 31, 2024. As of September 30, 2025, the Company had $41,993 remaining under the Repurchase Program.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stockholders of the Company approved the adoption of the Company’s 2014 Stock Option and Restricted Stock 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The 2014 Plan includes only outstanding stock options, all of which were granted before the Company's IPO. Generally, stock options issued pursuant to the 2014 Plan contain exercise prices no less than the fair value of Common Stock on the date of grant and have a ten-year contractual term.</w:t>
      </w:r>
    </w:p>
    <w:p>
      <w:pPr>
        <w:spacing w:after="0" w:line="189" w:lineRule="exact"/>
        <w:rPr>
          <w:sz w:val="20"/>
          <w:szCs w:val="20"/>
          <w:color w:val="auto"/>
        </w:rPr>
      </w:pPr>
    </w:p>
    <w:p>
      <w:pPr>
        <w:ind w:right="60" w:firstLine="551"/>
        <w:spacing w:after="0" w:line="253" w:lineRule="auto"/>
        <w:rPr>
          <w:sz w:val="20"/>
          <w:szCs w:val="20"/>
          <w:color w:val="auto"/>
        </w:rPr>
      </w:pPr>
      <w:r>
        <w:rPr>
          <w:rFonts w:ascii="Times New Roman" w:cs="Times New Roman" w:eastAsia="Times New Roman" w:hAnsi="Times New Roman"/>
          <w:sz w:val="18"/>
          <w:szCs w:val="18"/>
          <w:color w:val="auto"/>
        </w:rPr>
        <w:t>In October 2021, the stockholders of the Company approved the adoption of the 2021 Incentive Award Plan ("2021 Plan"), which became effective after the closing of the IPO. On and after closing of the offering and the effectiveness of the 2021 Plan, no further grants have been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 (B) such lesser amount as determined by our Board; provided, however, no more than 3,431,312 shares may be issued upon the exercise of incentive stock options ("ISOs"). The 2021 Plan provides for the grant of stock options, including ISOs and nonqualified stock options ("NSOs"), dividend equivalents, stock payments, service-based restricted stock units ("RSUs"), performance-based restricted stock units ("PSUs"), other incentive awards, stock appreciation rights ("SARs"), and cash awards. For the year beginning January 1, 2025, the Board elected not to increase the shares available for the 2021 Plan. As of September 30, 2025, only stock options, RSUs, and PSUs have been granted under the 2021 Plan.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recorded stock compensation costs totaling: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shd w:val="clear" w:color="auto" w:fill="CCEEFF"/>
          </w:tcPr>
          <w:p>
            <w:pPr>
              <w:spacing w:after="0"/>
              <w:rPr>
                <w:sz w:val="13"/>
                <w:szCs w:val="13"/>
                <w:color w:val="auto"/>
              </w:rPr>
            </w:pPr>
          </w:p>
        </w:tc>
        <w:tc>
          <w:tcPr>
            <w:tcW w:w="2280" w:type="dxa"/>
            <w:vAlign w:val="bottom"/>
            <w:gridSpan w:val="4"/>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4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Reduction in revenue </w:t>
            </w:r>
            <w:r>
              <w:rPr>
                <w:rFonts w:ascii="Times New Roman" w:cs="Times New Roman" w:eastAsia="Times New Roman" w:hAnsi="Times New Roman"/>
                <w:sz w:val="23"/>
                <w:szCs w:val="23"/>
                <w:color w:val="auto"/>
                <w:vertAlign w:val="superscript"/>
              </w:rPr>
              <w:t>(1)</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3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8"/>
        <w:spacing w:after="0" w:line="258" w:lineRule="auto"/>
        <w:tabs>
          <w:tab w:leader="none" w:pos="181"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cost recognized as a reduction in revenue is related to the RSUs previously granted to a major customer based on guidance in ASC 606 as stock-based sales incentive. These awards are shares of restricted Common Stock valued at $3,000 granted at the time of the IPO to an entity affiliated with a significant customer, at a price per share granted at the IPO of $15.00, or 200,000 restricted shares, in connection with an amendment to extend the distributor agreement term to June 10, 2026. Since the distribution agreement had not been terminated by either party for cause as of March 31, 2023, 50% of the shares were released on March 31, 2023. The remaining 50% were released on March 31,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Service-based Vesting Conditions</w:t>
      </w:r>
    </w:p>
    <w:p>
      <w:pPr>
        <w:spacing w:after="0" w:line="5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Most of the stock option awards granted under the 2014 Plan and 2021 Plan vest based on continuous service. The options awarded to the employees have differing vesting schedules as specified in each grant agreement. The following table summarizes the service-based stock option activity during the nine months ended September 30, 2025:</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8"/>
        </w:trPr>
        <w:tc>
          <w:tcPr>
            <w:tcW w:w="958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195"/>
        </w:trPr>
        <w:tc>
          <w:tcPr>
            <w:tcW w:w="958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5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3,054,060</w:t>
            </w:r>
          </w:p>
        </w:tc>
      </w:tr>
      <w:tr>
        <w:trPr>
          <w:trHeight w:val="25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201,100</w:t>
            </w:r>
          </w:p>
        </w:tc>
      </w:tr>
      <w:tr>
        <w:trPr>
          <w:trHeight w:val="26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216,231</w:t>
            </w:r>
          </w:p>
        </w:tc>
      </w:tr>
      <w:tr>
        <w:trPr>
          <w:trHeight w:val="250"/>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25,443</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Outstanding—September 30,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3,013,486</w:t>
            </w:r>
          </w:p>
        </w:tc>
      </w:tr>
      <w:tr>
        <w:trPr>
          <w:trHeight w:val="228"/>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Exercisable—September 30,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2,290,300</w:t>
            </w:r>
          </w:p>
        </w:tc>
      </w:tr>
    </w:tbl>
    <w:p>
      <w:pPr>
        <w:spacing w:after="0" w:line="287" w:lineRule="exact"/>
        <w:rPr>
          <w:sz w:val="20"/>
          <w:szCs w:val="20"/>
          <w:color w:val="auto"/>
        </w:rPr>
      </w:pPr>
    </w:p>
    <w:p>
      <w:pPr>
        <w:ind w:right="80" w:firstLine="551"/>
        <w:spacing w:after="0" w:line="282" w:lineRule="auto"/>
        <w:rPr>
          <w:sz w:val="20"/>
          <w:szCs w:val="20"/>
          <w:color w:val="auto"/>
        </w:rPr>
      </w:pPr>
      <w:r>
        <w:rPr>
          <w:rFonts w:ascii="Times New Roman" w:cs="Times New Roman" w:eastAsia="Times New Roman" w:hAnsi="Times New Roman"/>
          <w:sz w:val="18"/>
          <w:szCs w:val="18"/>
          <w:color w:val="auto"/>
        </w:rPr>
        <w:t>The fair value of the service-based stock options granted in 2025 and 2024 pursuant to the 2021 Plan was estimated on a grant or on a modification date using the Black-Scholes option-pricing model. The weighted average assumptions used in the Black-Scholes option-pricing model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7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6.25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 years</w:t>
            </w: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Performance and Market-based Vesting Conditions</w:t>
      </w:r>
    </w:p>
    <w:p>
      <w:pPr>
        <w:spacing w:after="0" w:line="119" w:lineRule="exact"/>
        <w:rPr>
          <w:sz w:val="20"/>
          <w:szCs w:val="20"/>
          <w:color w:val="auto"/>
        </w:rPr>
      </w:pPr>
    </w:p>
    <w:p>
      <w:pPr>
        <w:ind w:right="280" w:firstLine="551"/>
        <w:spacing w:after="0" w:line="266" w:lineRule="auto"/>
        <w:rPr>
          <w:sz w:val="20"/>
          <w:szCs w:val="20"/>
          <w:color w:val="auto"/>
        </w:rPr>
      </w:pPr>
      <w:r>
        <w:rPr>
          <w:rFonts w:ascii="Times New Roman" w:cs="Times New Roman" w:eastAsia="Times New Roman" w:hAnsi="Times New Roman"/>
          <w:sz w:val="18"/>
          <w:szCs w:val="18"/>
          <w:color w:val="auto"/>
        </w:rPr>
        <w:t>The Company also has outstanding stock option awards containing performance-based vesting conditions, subject to achievement of various performance goals by a future period, such as revenue and Adjusted EBITDA targets. During the nine months ended September 30, 2025, there were no grants of stock option awards with performance-based vesting conditions.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and Performance-based Restricted Stock</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nine months ended September 30, 2025 and September 30, 2024, the Company also granted PSUs, which are subject 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various performance goals in the future, specifically net sales growth and Adjusted EBITDA targets. The following table summarizes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and PSU activity for the nine months ended September 30, 2025:</w:t>
      </w:r>
    </w:p>
    <w:p>
      <w:pPr>
        <w:spacing w:after="0" w:line="200" w:lineRule="exact"/>
        <w:rPr>
          <w:sz w:val="20"/>
          <w:szCs w:val="20"/>
          <w:color w:val="auto"/>
        </w:rPr>
      </w:pP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RSU Awards</w:t>
            </w:r>
          </w:p>
        </w:tc>
        <w:tc>
          <w:tcPr>
            <w:tcW w:w="1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PSU Awards</w:t>
            </w:r>
          </w:p>
        </w:tc>
      </w:tr>
      <w:tr>
        <w:trPr>
          <w:trHeight w:val="23"/>
        </w:trPr>
        <w:tc>
          <w:tcPr>
            <w:tcW w:w="67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634,803</w:t>
            </w:r>
          </w:p>
        </w:tc>
        <w:tc>
          <w:tcPr>
            <w:tcW w:w="1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w:t>
            </w:r>
          </w:p>
        </w:tc>
      </w:tr>
      <w:tr>
        <w:trPr>
          <w:trHeight w:val="25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206,506</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71,140</w:t>
            </w:r>
          </w:p>
        </w:tc>
      </w:tr>
      <w:tr>
        <w:trPr>
          <w:trHeight w:val="26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183,611</w:t>
            </w: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16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8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September 30,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636,850</w:t>
            </w:r>
          </w:p>
        </w:tc>
        <w:tc>
          <w:tcPr>
            <w:tcW w:w="1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recorded income tax expense of $6,676 and $6,362, respectively, in its condensed consolidated statements of operations. For the nine months ended September 30, 2025 and 2024, the Company recorded income tax expense of $17,420 and $16,555, respectively, in its condensed consolidated statements of operations.</w:t>
      </w:r>
    </w:p>
    <w:p>
      <w:pPr>
        <w:spacing w:after="0" w:line="20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21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As of September 30, 2025 and December 31, 2024, the Company recorded a liability of $88 and $106, respectively, for income tax uncertainties recorded in the Company's condensed consolidated balance sheet and consolidated balance sheet, respectively. The Company’s policy is to record interest and penalties related to income taxes as part of its income tax provision. The Company does not expect its uncertain tax positions to change significantly over the next twelve months. The Company recognized interest and penalties related to income tax uncertainties of $6 and $0, respectively, in its condensed consolidated statement of operations for the nine months ended September 30, 2025 and 2024. The Company is subject to income tax examinations by the Internal Revenue Service ("IRS") and various state and local jurisdictions for the open tax years between December 31, 2022 and December 31, 2024.</w:t>
      </w:r>
    </w:p>
    <w:p>
      <w:pPr>
        <w:spacing w:after="0" w:line="2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passage of H.R.1, One Big Beautiful Bill Act, which changes existing U.S. tax laws, including extending or making permanent certain provisions of the 2017 Tax Cuts and Jobs Act, and repealing certain clean energy initiatives, in addition to other changes. The Company continues to evaluate the impact that the new legislation will have on the consolidated financial statements but does not anticipate a significant impact to deferred tax assets and liabilities or to income taxes payable in the period of enactment.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40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56,850,812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56,769,410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56,879,627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56,688,362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Effect of conversion of stock options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3,027,790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2,952,440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2,410,817</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used in earnings per share—</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59,878,602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59,314,805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59,832,067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59,099,179</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CCEEFF"/>
            </w:tcBorders>
            <w:shd w:val="clear" w:color="auto" w:fill="CCEEFF"/>
          </w:tcPr>
          <w:p>
            <w:pPr>
              <w:spacing w:after="0"/>
              <w:rPr>
                <w:sz w:val="8"/>
                <w:szCs w:val="8"/>
                <w:color w:val="auto"/>
              </w:rPr>
            </w:pPr>
          </w:p>
        </w:tc>
        <w:tc>
          <w:tcPr>
            <w:tcW w:w="5840" w:type="dxa"/>
            <w:vAlign w:val="bottom"/>
            <w:tcBorders>
              <w:bottom w:val="single" w:sz="8" w:color="CCEEFF"/>
            </w:tcBorders>
            <w:gridSpan w:val="3"/>
            <w:vMerge w:val="continue"/>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560" w:type="dxa"/>
            <w:vAlign w:val="bottom"/>
          </w:tcPr>
          <w:p>
            <w:pPr>
              <w:spacing w:after="0"/>
              <w:rPr>
                <w:sz w:val="17"/>
                <w:szCs w:val="17"/>
                <w:color w:val="auto"/>
              </w:rPr>
            </w:pPr>
          </w:p>
        </w:tc>
        <w:tc>
          <w:tcPr>
            <w:tcW w:w="1840" w:type="dxa"/>
            <w:vAlign w:val="bottom"/>
            <w:tcBorders>
              <w:bottom w:val="single" w:sz="8" w:color="auto"/>
            </w:tcBorders>
            <w:gridSpan w:val="3"/>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201,443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203,880</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ind w:left="820" w:right="8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aluminum bottle canned water (</w:t>
      </w:r>
      <w:r>
        <w:rPr>
          <w:rFonts w:ascii="Times New Roman" w:cs="Times New Roman" w:eastAsia="Times New Roman" w:hAnsi="Times New Roman"/>
          <w:sz w:val="18"/>
          <w:szCs w:val="18"/>
          <w:i w:val="1"/>
          <w:iCs w:val="1"/>
          <w:color w:val="auto"/>
        </w:rPr>
        <w:t>Ever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are marketed only in the Americas segment.</w:t>
      </w:r>
    </w:p>
    <w:p>
      <w:pPr>
        <w:spacing w:after="0" w:line="67" w:lineRule="exact"/>
        <w:rPr>
          <w:rFonts w:ascii="Times New Roman" w:cs="Times New Roman" w:eastAsia="Times New Roman" w:hAnsi="Times New Roman"/>
          <w:sz w:val="18"/>
          <w:szCs w:val="18"/>
          <w:color w:val="auto"/>
        </w:rPr>
      </w:pPr>
    </w:p>
    <w:p>
      <w:pPr>
        <w:ind w:left="820" w:right="42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International—The International segment is comprised primarily of Europe, the Middle East, and Asia Pacific. Asia Pacific includes the Company’s procurement arm and derives its revenues from the marketing and distribution of various coconut water and non-coconut water products, including product that is shipped directly to customers outside of Asia Pacific regions.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 intercompany transactions between the segments have been eliminated.</w:t>
      </w:r>
    </w:p>
    <w:p>
      <w:pPr>
        <w:spacing w:after="0" w:line="11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 budget-to-actual variances on a monthly basis for both measures when making decisions about allocating capital and personnel to the segments and also uses segment gross profit for evaluating product pricing.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by operating segment as of and for the three and nine months ended September 30, 2025 and 2024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0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481,993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388,720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406,285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113,645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81,344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303,975</w:t>
            </w:r>
          </w:p>
        </w:tc>
        <w:tc>
          <w:tcPr>
            <w:tcW w:w="3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255,062</w:t>
            </w:r>
          </w:p>
        </w:tc>
        <w:tc>
          <w:tcPr>
            <w:tcW w:w="36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48,913</w:t>
            </w:r>
          </w:p>
        </w:tc>
        <w:tc>
          <w:tcPr>
            <w:tcW w:w="3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178,018</w:t>
            </w:r>
          </w:p>
        </w:tc>
        <w:tc>
          <w:tcPr>
            <w:tcW w:w="36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151,224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9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461,294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362,381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6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40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1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0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178,018</w:t>
            </w:r>
          </w:p>
        </w:tc>
        <w:tc>
          <w:tcPr>
            <w:tcW w:w="60" w:type="dxa"/>
            <w:vAlign w:val="bottom"/>
            <w:gridSpan w:val="2"/>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6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83,213</w:t>
            </w:r>
          </w:p>
        </w:tc>
        <w:tc>
          <w:tcPr>
            <w:tcW w:w="60" w:type="dxa"/>
            <w:vAlign w:val="bottom"/>
            <w:tcBorders>
              <w:top w:val="single" w:sz="8" w:color="auto"/>
              <w:bottom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4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sales by country, which is presented on the basis of the location that revenue from customers is recorded: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311,168</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40,801</w:t>
            </w:r>
          </w:p>
        </w:tc>
      </w:tr>
      <w:tr>
        <w:trPr>
          <w:trHeight w:val="229"/>
        </w:trPr>
        <w:tc>
          <w:tcPr>
            <w:tcW w:w="8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countries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481,993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388,720</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net sales for the nine months ended September 30, 2025 and 2024.</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Company’s property and equipment, net by country: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countries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right="400" w:hanging="394"/>
        <w:spacing w:after="0" w:line="266" w:lineRule="auto"/>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property and equipment, net as of September 30, 2025 and December 31, 2024. The Company impaired the land held for use in Ecuador on September 30, 2025.</w:t>
      </w:r>
    </w:p>
    <w:p>
      <w:pPr>
        <w:spacing w:after="0" w:line="37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4"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Director Nominee Agreement </w:t>
      </w:r>
      <w:r>
        <w:rPr>
          <w:rFonts w:ascii="Times New Roman" w:cs="Times New Roman" w:eastAsia="Times New Roman" w:hAnsi="Times New Roman"/>
          <w:sz w:val="18"/>
          <w:szCs w:val="18"/>
          <w:color w:val="auto"/>
        </w:rPr>
        <w:t>- On May 24, 2022, a member of the Board appointed as a nominee under the Investor Rights Agreement by Verlinvest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Beverages SA ("Verlinvest"), a stockholder of the Company, entered into a nominee agreement instructing the Company to pay all cash and equity compensation earned in connection with his board of director service to Verlinvest. Based on the aforementioned nominee agreement, until the termination of the agreement, RSUs granted to this director were held by him as a nominee for Verlinvest and, upon vesting of the RSUs, the shares were transferred to Verlinvest. The nominee agreement terminated on June 3, 2025 and is no longer in effect. Following termination of the agreement, the director will receive all cash and equity compensation directly. The nominee agreement was primarily between the director and Verlinvest. The Company was a party to this arrangement solely to agree to the manner in which it would satisfy the compensation obligations to this director.</w:t>
      </w:r>
    </w:p>
    <w:p>
      <w:pPr>
        <w:spacing w:after="0" w:line="73" w:lineRule="exact"/>
        <w:rPr>
          <w:sz w:val="20"/>
          <w:szCs w:val="20"/>
          <w:color w:val="auto"/>
        </w:rPr>
      </w:pPr>
    </w:p>
    <w:p>
      <w:pPr>
        <w:ind w:right="20" w:firstLine="48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 by Verlinvest in May 2023, Verlinvest agreed to waive its right to reimbursement of legal fees for its counsel in the fourth quarter of 2023, and those expenses, in the amount of $140, were not reimbursed by the Company. In connection with the secondary share offering by Verlinvest in November 2023, in April 2024, Verlinvest agreed to waive its right to reimbursement of legal fees for its counsel, and those expenses, in the amount of $324, were not reimbursed by the Company.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INVESTMENT IN UNCONSOLIDATED JOINT VENTURE</w:t>
      </w:r>
    </w:p>
    <w:p>
      <w:pPr>
        <w:spacing w:after="0" w:line="229"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condensed consolidated statements of operations.</w:t>
      </w:r>
    </w:p>
    <w:p>
      <w:pPr>
        <w:spacing w:after="0" w:line="197"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color w:val="auto"/>
        </w:rPr>
        <w:t>Through one of its subsidiaries, the Company has a 60% joint venture interest in a company, Coco Ventures Limited, which provides for the development, marketing, distribution and branding of coconut water-based products under the Vita Coco brand in China. Coco Ventures Limited purchases coconut water products from the Company. The Company acquired this interest on August 2, 2024, the date on which the Company obtained significant influence, for $585. Per the joint venture agreement, the Company shall contribute its portion of capital funding per the operational funding requirement of the joint venture's business operations. The Company recorded the initial investment in the joint venture upon cash payment. Since the Company is deemed not to have a controlling interest in Coco Ventures Limited, the Company’s investment is accounted for using the equity method of accounting in accordance with ASC 323. In the nine months ended September 30, 2025, the Company contributed $104 as a part of initial capital funding. Coco Ventures Limited commenced operations in February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August 2024, the Company signed a lease agreement for a new office in New York, New York. The Company's existing New York office lease expired on April 30, 2025, and was extended to October 31, 2025 to allow for a smooth transition to the Company's new New York office. The operating lease commenced on January 1, 2025 and terminates in December 2034, with an option to extend for an additional two years. The Company recognized right-of-use assets and lease liabilities of $10,002 and $11,692, respectively, upon lease commencement on the Company’s condensed consolidated balance sheet. Additionally, upon signing the agreement, the Company was required to establish a letter of credit of $920 as a security deposit which may be used in case of delinquency, which is accounted for as restricted cash. In addition, in November 2024, the Company signed a lease agreement for a new office in London, United Kingdom. The operating lease commenced on January 2, 2025 and terminates in December 2030. The Company recognized right-of-use</w:t>
      </w:r>
    </w:p>
    <w:p>
      <w:pPr>
        <w:spacing w:after="0" w:line="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assets and lease liabilities of $1,140 and $1,252 respectively, upon lease commencement on the Company’s condensed consolidated balance sheet</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In April 2025, the Company signed an agreement for a new office in Singapore. The operating lease commenced on April 1, 2025 and terminates in June 2030. The Company recognized right-of-use assets and lease liabilities of $1,564 and $1,564 respectively, upon lease commencement on the Company’s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w:t>
      </w:r>
      <w:r>
        <w:rPr>
          <w:rFonts w:ascii="Arial" w:cs="Arial" w:eastAsia="Arial" w:hAnsi="Arial"/>
          <w:sz w:val="21"/>
          <w:szCs w:val="2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for the Company’s operating leases: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60" w:type="dxa"/>
            <w:vAlign w:val="bottom"/>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Balance Sheet</w:t>
            </w:r>
          </w:p>
        </w:tc>
        <w:tc>
          <w:tcPr>
            <w:tcW w:w="21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1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Right-of-use assets, net</w:t>
            </w:r>
          </w:p>
        </w:tc>
        <w:tc>
          <w:tcPr>
            <w:tcW w:w="8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11,896</w:t>
            </w:r>
          </w:p>
        </w:tc>
        <w:tc>
          <w:tcPr>
            <w:tcW w:w="10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176"/>
        </w:trPr>
        <w:tc>
          <w:tcPr>
            <w:tcW w:w="466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Accrued expenses and other</w:t>
            </w:r>
          </w:p>
        </w:tc>
        <w:tc>
          <w:tcPr>
            <w:tcW w:w="8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current liabilities</w:t>
            </w:r>
          </w:p>
        </w:tc>
        <w:tc>
          <w:tcPr>
            <w:tcW w:w="8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0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175"/>
        </w:trPr>
        <w:tc>
          <w:tcPr>
            <w:tcW w:w="46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Operating lease liabilities,</w:t>
            </w:r>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long-term</w:t>
            </w:r>
          </w:p>
        </w:tc>
        <w:tc>
          <w:tcPr>
            <w:tcW w:w="8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14,006</w:t>
            </w:r>
          </w:p>
        </w:tc>
        <w:tc>
          <w:tcPr>
            <w:tcW w:w="10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2024 and filed with the Securities and Exchange Commission ("SEC") on February 26, 2025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previously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("Runa"). We supply Private Label products to key retailers in both the coconut water and coconut oil categories. Additionally, we generate revenue from bulk product sales to beverage and food companies.</w:t>
      </w:r>
    </w:p>
    <w:p>
      <w:pPr>
        <w:spacing w:after="0" w:line="250"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2025, we source our products from a diversified global network of approximately 20 factories and co-packers, supported by coconut farmers across seven countries. As we do not own any of these facilities, our supply chain is a fixed asset-lite model designed to better service our customers and react to changes in the market or consumer preferences.</w:t>
      </w:r>
    </w:p>
    <w:p>
      <w:pPr>
        <w:spacing w:after="0" w:line="188"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35 countries, with our primary markets located in North America, the United Kingdom, and Germany.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and the changes noted below. Those factors also pose risks and challenges, including those discussed in Part I, Item 1A. “Risk Factors” of the Form 10-K.</w:t>
      </w:r>
    </w:p>
    <w:p>
      <w:pPr>
        <w:spacing w:after="0" w:line="312" w:lineRule="exact"/>
        <w:rPr>
          <w:sz w:val="20"/>
          <w:szCs w:val="20"/>
          <w:color w:val="auto"/>
        </w:rPr>
      </w:pPr>
    </w:p>
    <w:p>
      <w:pPr>
        <w:ind w:left="660" w:right="60" w:hanging="328"/>
        <w:spacing w:after="0" w:line="236"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Uncertainty in the macroeconomic environment resulting from geopolitical and economic instability (including the effects of current wars and other international conflicts) and variability in interest rates, foreign exchange rates, tariffs and other import related fees, and inflation and instability on transportation costs may affect our global supply chain. Additionally, as further discussed below, the extent and duration of tariffs imposed by the U.S. government on other countries and reciprocal tariffs placed on U.S. goods in response thereto remains uncertain and may depend on various factors, including negotiations and relationships between the U.S. and affected countries, tariff exemptions, negative sentiment toward U.S. companies and products, and availability of domestic alternatives in our supply chain. It is not currently possible to ascertain the overall impact of these macroeconomic uncertainties on our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of the Form 10-K.</w:t>
      </w:r>
    </w:p>
    <w:p>
      <w:pPr>
        <w:spacing w:after="0" w:line="246" w:lineRule="exact"/>
        <w:rPr>
          <w:rFonts w:ascii="Times New Roman" w:cs="Times New Roman" w:eastAsia="Times New Roman" w:hAnsi="Times New Roman"/>
          <w:sz w:val="18"/>
          <w:szCs w:val="18"/>
          <w:b w:val="1"/>
          <w:bCs w:val="1"/>
          <w:color w:val="auto"/>
        </w:rPr>
      </w:pPr>
    </w:p>
    <w:p>
      <w:pPr>
        <w:ind w:left="660" w:right="300" w:hanging="328"/>
        <w:spacing w:after="0" w:line="238" w:lineRule="auto"/>
        <w:tabs>
          <w:tab w:leader="none" w:pos="63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U.S. government implemented a 10% baseline tariff, plus country-specific rates, effective April 2, 2025, with revised reciprocal tariffs announced in early August 2025, of approximately 20% (including the baseline tariff) for Asian countries from which we source, and 50% for Brazil. We source to the U.S. primarily from the Philippines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60" w:right="40"/>
        <w:spacing w:after="0" w:line="236" w:lineRule="auto"/>
        <w:rPr>
          <w:sz w:val="20"/>
          <w:szCs w:val="20"/>
          <w:color w:val="auto"/>
        </w:rPr>
      </w:pPr>
      <w:r>
        <w:rPr>
          <w:rFonts w:ascii="Times New Roman" w:cs="Times New Roman" w:eastAsia="Times New Roman" w:hAnsi="Times New Roman"/>
          <w:sz w:val="18"/>
          <w:szCs w:val="18"/>
          <w:color w:val="auto"/>
        </w:rPr>
        <w:t>and Brazil, with additional supply from Thailand, Vietnam, Malaysia, Sri Lanka, Canada, Mexico, and Indonesia; however, currently, our Mexico and Canada imports remain exempt under the United States-Mexico-Canada Agreement (“USMCA”). The tariffs are being challenged in the U.S. legal system and will be reviewed by the Supreme Court in November 2025. The tariffs currently remain in effect, and we are assuming for purposes of our business operations that the tariffs will be in effect indefinitely at a current blended tariff rate of approximately 23% based on end-of-quarter sourcing. It has been suggested that in individual country trade deals, waivers for tariffs may be granted for natural resources not available in the U.S. at scale to meet U.S. demand. We believe this classification could be applicable to coconut water and we are lobbying to encourage that coconut water is included in any trade agreements with our sourcing countries. The uncertainty around the long-term tariff rates presents significant challenges to our operations and supply chain, and may result in future results being significantly different than any outlook given. The uncertainty could also cause disturbances in ocean shipping capacity and create inflationary effects on our costs. We are monitoring the evolving tariff landscape and pursuing pricing adjustments, sourcing strategy modifications, and other cost-mitigation measures. However, there can be no assurance that we will be able to fully mitigate the impacts of such tariffs or that the imposition of tariffs, and the resulting economic impact on the U.S. market and consumer, will not materially affect our financial results. The overall impact on our business related to tariffs depends on multiple factors, including the timing, duration and size of any tariffs, future changes to tariff rates, scope, or enforcement of such tariffs, reciprocal measures by impacted trade partners, inflationary effects, changes to consumer purchasing behavior, and the effectiveness of our responses in managing these challenges. The tariffs, any retaliatory measures, or other trade restrictions, could materially and adversely affect our business.</w:t>
      </w:r>
    </w:p>
    <w:p>
      <w:pPr>
        <w:spacing w:after="0" w:line="213" w:lineRule="exact"/>
        <w:rPr>
          <w:sz w:val="20"/>
          <w:szCs w:val="20"/>
          <w:color w:val="auto"/>
        </w:rPr>
      </w:pPr>
    </w:p>
    <w:p>
      <w:pPr>
        <w:ind w:left="660" w:right="100" w:hanging="328"/>
        <w:spacing w:after="0" w:line="24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to one of our major customers include branded and Private Label product. As discussed in the Form 10-K, the Private Label coconut oil business with this customer discontinued in early 2024 and we expect Private Label coconut water net sales in 2025 with this customer to be impacted by the loss of some regions, which started primarily in the second quarter of 2025. During the third quarter of 2025, we were requested to restart supply for one of these lost regions in early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81"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We provide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 accompanying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duties and tariffs, shipping and packaging supplies, and warehouse fulfillment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prices, warehouse costs, tariffs, and transportation rates. We expect that our gross margin will fluctuate from period to period depending on the interplay of these variables.</w:t>
      </w:r>
    </w:p>
    <w:p>
      <w:pPr>
        <w:spacing w:after="0" w:line="176" w:lineRule="exact"/>
        <w:rPr>
          <w:sz w:val="20"/>
          <w:szCs w:val="20"/>
          <w:color w:val="auto"/>
        </w:rPr>
      </w:pPr>
    </w:p>
    <w:p>
      <w:pPr>
        <w:jc w:val="both"/>
        <w:ind w:right="280" w:firstLine="551"/>
        <w:spacing w:after="0" w:line="250"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21"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right="12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13" w:lineRule="exact"/>
        <w:rPr>
          <w:sz w:val="20"/>
          <w:szCs w:val="20"/>
          <w:color w:val="auto"/>
        </w:rPr>
      </w:pPr>
    </w:p>
    <w:p>
      <w:pPr>
        <w:ind w:left="820" w:hanging="245"/>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103" w:lineRule="exact"/>
        <w:rPr>
          <w:rFonts w:ascii="Times New Roman" w:cs="Times New Roman" w:eastAsia="Times New Roman" w:hAnsi="Times New Roman"/>
          <w:sz w:val="18"/>
          <w:szCs w:val="18"/>
          <w:color w:val="auto"/>
        </w:rPr>
      </w:pPr>
    </w:p>
    <w:p>
      <w:pPr>
        <w:ind w:left="820" w:right="280" w:hanging="245"/>
        <w:spacing w:after="0" w:line="286"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the Company’s procurement arm.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40" w:hanging="245"/>
        <w:spacing w:after="0" w:line="260"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56" w:lineRule="exact"/>
        <w:rPr>
          <w:rFonts w:ascii="Times New Roman" w:cs="Times New Roman" w:eastAsia="Times New Roman" w:hAnsi="Times New Roman"/>
          <w:sz w:val="18"/>
          <w:szCs w:val="18"/>
          <w:color w:val="auto"/>
        </w:rPr>
      </w:pPr>
    </w:p>
    <w:p>
      <w:pPr>
        <w:ind w:left="820" w:right="180" w:hanging="245"/>
        <w:spacing w:after="0" w:line="247"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82" w:lineRule="exact"/>
        <w:rPr>
          <w:rFonts w:ascii="Times New Roman" w:cs="Times New Roman" w:eastAsia="Times New Roman" w:hAnsi="Times New Roman"/>
          <w:sz w:val="18"/>
          <w:szCs w:val="18"/>
          <w:color w:val="auto"/>
        </w:rPr>
      </w:pPr>
    </w:p>
    <w:p>
      <w:pPr>
        <w:ind w:left="820" w:right="160" w:hanging="245"/>
        <w:spacing w:after="0" w:line="25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2025 and 2024</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2025 and 2024, respectively: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231,244</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157,476</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69,535</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69,137</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65,793</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net sales by operating segment and product category: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160" w:type="dxa"/>
            <w:vAlign w:val="bottom"/>
            <w:gridSpan w:val="4"/>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3"/>
                <w:szCs w:val="13"/>
                <w:color w:val="auto"/>
              </w:rPr>
            </w:pPr>
          </w:p>
        </w:tc>
        <w:tc>
          <w:tcPr>
            <w:tcW w:w="18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2040" w:type="dxa"/>
            <w:vAlign w:val="bottom"/>
            <w:gridSpan w:val="3"/>
            <w:vMerge w:val="restart"/>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76,977</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151,724</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332,839</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73,446</w:t>
            </w: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93,273</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2025, the primary driver of the consolidated net sales increase of 37.2% was strong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volume growth.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sales increased 41.8%, underpinned by a case equivalents ("CE") volume increase of 31.2%. Other category growth of 99.9% was driven by the continued U.S.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Private Label net sales increased 5.7% driven by growth in the International segment. For the nine months ended September 30, 2025, the consolidated net sales increase of 24.0% was driven by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which had a 31.1% net sales increase, with a case equivalents CE volume increase of 25.8%. Other category growth of 95.6% was driven by the continued U.S.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This was partially offset by Private Label net sales decline of 11.8% resulting from the loss of Private Label coconut water service regions for multiple customers in the U.S. in addition to the transition out of Private Label coconut oil sales to a major customer that began in the first quarter of 2024.</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in Case Equivalents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percentage change in our volume in CE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compared to the three and nine months ended September 30, 2024,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314325</wp:posOffset>
            </wp:positionV>
            <wp:extent cx="44145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Percentage Change - Three Months Ended September 30, 2025 vs. 2024</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6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tcBorders>
              <w:top w:val="single" w:sz="8" w:color="auto"/>
              <w:bottom w:val="single" w:sz="8" w:color="auto"/>
            </w:tcBorders>
          </w:tcPr>
          <w:p>
            <w:pPr>
              <w:spacing w:after="0"/>
              <w:rPr>
                <w:sz w:val="18"/>
                <w:szCs w:val="18"/>
                <w:color w:val="auto"/>
              </w:rPr>
            </w:pPr>
          </w:p>
        </w:tc>
      </w:tr>
      <w:tr>
        <w:trPr>
          <w:trHeight w:val="22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30"/>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236.6 %</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195.8 %</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r>
      <w:tr>
        <w:trPr>
          <w:trHeight w:val="20"/>
        </w:trPr>
        <w:tc>
          <w:tcPr>
            <w:tcW w:w="36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08"/>
        </w:trPr>
        <w:tc>
          <w:tcPr>
            <w:tcW w:w="3660" w:type="dxa"/>
            <w:vAlign w:val="bottom"/>
          </w:tcPr>
          <w:p>
            <w:pPr>
              <w:spacing w:after="0"/>
              <w:rPr>
                <w:sz w:val="18"/>
                <w:szCs w:val="18"/>
                <w:color w:val="auto"/>
              </w:rPr>
            </w:pPr>
          </w:p>
        </w:tc>
        <w:tc>
          <w:tcPr>
            <w:tcW w:w="6120" w:type="dxa"/>
            <w:vAlign w:val="bottom"/>
            <w:tcBorders>
              <w:bottom w:val="single" w:sz="8" w:color="auto"/>
            </w:tcBorders>
            <w:gridSpan w:val="7"/>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Percentage Change - Nine Months Ended September 30, 2025 vs. 2024</w:t>
            </w:r>
          </w:p>
        </w:tc>
        <w:tc>
          <w:tcPr>
            <w:tcW w:w="82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tcBorders>
              <w:bottom w:val="single" w:sz="8" w:color="auto"/>
            </w:tcBorders>
          </w:tcPr>
          <w:p>
            <w:pPr>
              <w:spacing w:after="0"/>
              <w:rPr>
                <w:sz w:val="18"/>
                <w:szCs w:val="18"/>
                <w:color w:val="auto"/>
              </w:rPr>
            </w:pPr>
          </w:p>
        </w:tc>
      </w:tr>
      <w:tr>
        <w:trPr>
          <w:trHeight w:val="22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30"/>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211.6 %</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191.2 %</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0"/>
        </w:trPr>
        <w:tc>
          <w:tcPr>
            <w:tcW w:w="36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 We may have immaterial sales of raw materials at times that are treated as zero CEs for the purposes of these calculations.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 Segment</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Net sales in the Americas segment increased $39.5 million, or 35.2%, to $151.7 million for the three months ended September 30, 2025 from $112.2 million for the three months ended September 30, 2024. The increase was primarily driven by CE volume growth of 30.3%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partially offset by a decrease in volume due to the loss of Private Label coconut water service regions for several customers beginning in the first half of 2025. For the nine months ended September 30, 2025, Americas net sales increased $73.4 million, or 22.1%, to $406.3 million from $332.8 million for the nine months ended September 30, 2024. The increase was primarily driven by CE volume growth of 24.8%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partially offset by the Private Label decline.</w:t>
      </w:r>
    </w:p>
    <w:p>
      <w:pPr>
        <w:spacing w:after="0" w:line="185" w:lineRule="exact"/>
        <w:rPr>
          <w:sz w:val="20"/>
          <w:szCs w:val="20"/>
          <w:color w:val="auto"/>
        </w:rPr>
      </w:pPr>
    </w:p>
    <w:p>
      <w:pPr>
        <w:ind w:right="60" w:firstLine="48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Vita Coco </w:t>
      </w:r>
      <w:r>
        <w:rPr>
          <w:rFonts w:ascii="Times New Roman" w:cs="Times New Roman" w:eastAsia="Times New Roman" w:hAnsi="Times New Roman"/>
          <w:sz w:val="17"/>
          <w:szCs w:val="17"/>
          <w:color w:val="auto"/>
        </w:rPr>
        <w:t>Coconut Water net sales increased $38.4 million, or 40.9%, to $132.4 million for the three months ended September 30, 2025, from $94.0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million for the three months ended September 30, 2024. The increase was the result of CE volume growth of 30.3% due to increased demand coupled with pricing benefits from higher front line price increases implemented in the quarter. </w:t>
      </w:r>
      <w:r>
        <w:rPr>
          <w:rFonts w:ascii="Times New Roman" w:cs="Times New Roman" w:eastAsia="Times New Roman" w:hAnsi="Times New Roman"/>
          <w:sz w:val="17"/>
          <w:szCs w:val="17"/>
          <w:i w:val="1"/>
          <w:iCs w:val="1"/>
          <w:color w:val="auto"/>
        </w:rPr>
        <w:t>Vita Coco</w:t>
      </w:r>
      <w:r>
        <w:rPr>
          <w:rFonts w:ascii="Times New Roman" w:cs="Times New Roman" w:eastAsia="Times New Roman" w:hAnsi="Times New Roman"/>
          <w:sz w:val="17"/>
          <w:szCs w:val="17"/>
          <w:color w:val="auto"/>
        </w:rPr>
        <w:t xml:space="preserve"> Coconut Water net sales increased $77.0 million, or 29.4%, to $339.0 million for the nine months ended September 30, 2025, from $262.0 million for the nine months ended September 30, 2024. The increase was the result of CE volume growth of 24.8% due to strong consumer demand coupled with the impact of the aforementioned price increases.</w:t>
      </w:r>
    </w:p>
    <w:p>
      <w:pPr>
        <w:spacing w:after="0" w:line="17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Private Label net sales decreased $2.1 million, or 12.9%, to $14.4 million for the three months ended September 30, 2025, from $16.5 million for the three months ended September 30, 2024, due to a decrease in the Private Label business as outlined above, resulting in a CE volume decrease of 11.7%. Private Label net sales decreased $13.7 million, or 21.4%, to $50.2 million for the nine months ended September 30, 2025, from $63.9 million for the nine months ended September 30, 2024. The decrease was the result of CE volume decline of 16.6% due to the aforementioned losses of Private Label coconut oil and coconut water business.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sales from Other products increased by $3.2 million, or 182.5%, to $4.9 million for the three months ended September 30, 2025 from</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$1.7 million for the three months ended September 30, 2024, primarily due to the continued national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in the U.S. Net sales from Other products increased by $10.1 million, or 146.4%, to $17.0 million for the nine months ended September 30, 2025 from $6.9 million for the nine months ended September 30, 2024, driven by CE volume increase of 211.6%, driven by the continued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Segment</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International net sales increased by $9.9 million, or 48.1%, to $30.6 million for the three months ended September 30, 2025, from $20.7 million for the three months ended September 30, 2024. The growth was primarily driven by a 44.1% increase in CE volume, reflecting strong performance in Germany and the United Kingdom, partially offset by softness in China. For the nine months ended September 30, 2025, International net sales increased by $19.8 million, or 35.5%, to $75.7 million, up from $55.9 million for the nine months ended September 30, 2024. The increase was largely attributable to CE volume growth of 32.2%, led by Germany and the United Kingdom, partially offset by softness in China.</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$7.1 million, or 47.4%, to $21.9 million, for the three months ended September 30, 2025,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$14.9 million, for the three months ended September 30, 2024. The increase was primarily driven by higher volume in Europe due to strong demand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products, along with some favorable pricing and foreign exchange rate benefits. </w:t>
      </w:r>
      <w:r>
        <w:rPr>
          <w:rFonts w:ascii="Times New Roman" w:cs="Times New Roman" w:eastAsia="Times New Roman" w:hAnsi="Times New Roman"/>
          <w:sz w:val="17"/>
          <w:szCs w:val="17"/>
          <w:i w:val="1"/>
          <w:iCs w:val="1"/>
          <w:color w:val="auto"/>
        </w:rPr>
        <w:t>Vita Coco</w:t>
      </w:r>
      <w:r>
        <w:rPr>
          <w:rFonts w:ascii="Times New Roman" w:cs="Times New Roman" w:eastAsia="Times New Roman" w:hAnsi="Times New Roman"/>
          <w:sz w:val="17"/>
          <w:szCs w:val="17"/>
          <w:color w:val="auto"/>
        </w:rPr>
        <w:t xml:space="preserve"> Coconut Water net sales increased by $16.5 million, or 42.9%,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million for the nine months ended September 30, 2025, from $38.5 million, for the nine months ended September 30, 2024. The increase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driven by strong CE volume growth in Europe coupled with pricing benefits.</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Private Label net sales increased $3.3 million, or 69.5%, to $8.1 million for the three months ended September 30, 2025 from $4.8 million for the three months ended September 30, 2024. The increase was driven primarily by Private Label coconut water CE volume growth in Europe. Private Label net sales increased $4.4 million, or 29.5%, to $19.1 million for the nine months ended September 30, 2025 from $14.8 million for the nine months ended September 30, 2024. The increase was driven primarily by CE volume growth in Europe Private Label coconut water sales.</w:t>
      </w:r>
    </w:p>
    <w:p>
      <w:pPr>
        <w:spacing w:after="0" w:line="18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 xml:space="preserve">Net sales from Other products decreased 47.5% and 39.1% for the three and nine months ended September 30, 2025, respectively, compared to the same periods in the prior year, primarily driven by the decrease in sales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3"/>
                <w:szCs w:val="13"/>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60" w:type="dxa"/>
            <w:vAlign w:val="bottom"/>
          </w:tcPr>
          <w:p>
            <w:pPr>
              <w:spacing w:after="0"/>
              <w:rPr>
                <w:sz w:val="13"/>
                <w:szCs w:val="13"/>
                <w:color w:val="auto"/>
              </w:rPr>
            </w:pPr>
          </w:p>
        </w:tc>
        <w:tc>
          <w:tcPr>
            <w:tcW w:w="1940" w:type="dxa"/>
            <w:vAlign w:val="bottom"/>
            <w:gridSpan w:val="3"/>
            <w:vMerge w:val="restart"/>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93,859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68,681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255,062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196,195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58,867</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113,645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81,344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303,975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231,244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72,731</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57,866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43,563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151,224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136,643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68,668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51,562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178,018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157,476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 bps</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bps</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 bps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bps</w:t>
            </w:r>
          </w:p>
        </w:tc>
        <w:tc>
          <w:tcPr>
            <w:tcW w:w="0" w:type="dxa"/>
            <w:vAlign w:val="bottom"/>
          </w:tcPr>
          <w:p>
            <w:pPr>
              <w:spacing w:after="0"/>
              <w:rPr>
                <w:sz w:val="1"/>
                <w:szCs w:val="1"/>
                <w:color w:val="auto"/>
              </w:rPr>
            </w:pPr>
          </w:p>
        </w:tc>
      </w:tr>
      <w:tr>
        <w:trPr>
          <w:trHeight w:val="256"/>
        </w:trPr>
        <w:tc>
          <w:tcPr>
            <w:tcW w:w="2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 bps</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bps</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firstLine="486"/>
        <w:spacing w:after="0" w:line="239" w:lineRule="auto"/>
        <w:rPr>
          <w:sz w:val="20"/>
          <w:szCs w:val="20"/>
          <w:color w:val="auto"/>
        </w:rPr>
      </w:pPr>
      <w:r>
        <w:rPr>
          <w:rFonts w:ascii="Times New Roman" w:cs="Times New Roman" w:eastAsia="Times New Roman" w:hAnsi="Times New Roman"/>
          <w:sz w:val="18"/>
          <w:szCs w:val="18"/>
          <w:color w:val="auto"/>
        </w:rPr>
        <w:t>On a consolidated basis, cost of goods sold increased $32.3 million, or 39.7%, to $113.6 million for the three months ended September 30, 2025, from $81.3 million for the three months ended September 30, 2024. On a consolidated and segment basis, the increase was primarily driven by higher CE volume, higher rates for finished goods, and tariffs, partially offset by lower year on year ocean freight. Cost of goods sold increased by $72.7 million, or 31.5%, to $304.0 million for the nine months ended September 30, 2025, from $231.2 million for the nine months ended September 30, 2024. On a consolidated basis, the increase was primarily related to increased CE volume, higher finished goods and the impact of tariffs.</w:t>
      </w:r>
    </w:p>
    <w:p>
      <w:pPr>
        <w:spacing w:after="0" w:line="19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consolidated gross profit increased $17.1 million, or 33.2%, to $68.7 million, from $51.6 million for the three months ended September 30, 2024, primarily driven by higher CE volume and increased pricing. The increase was partially offset by increased rates for finished goods and tariff costs which altogether resulted in gross margin decline. For the nine months ended September 30, 2025, consolidated gross profit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increased $20.5 million, or 13.0%, to $178.0 million, from $157.5 million for the nine months ended September 30, 2024, also primarily driven by higher CE volume and increased pricing, partially offset by increased rates for finished goods and transportation costs and the impact of tariffs. Gross margin decline for the nine months as compared to prior year resulted from higher finished goods and ocean freight costs in addition to the impact of tariffs, which were partially offset by branded coconut water pricing and favorable product mix.</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9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280" w:type="dxa"/>
            <w:vAlign w:val="bottom"/>
            <w:gridSpan w:val="3"/>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9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2080" w:type="dxa"/>
            <w:vAlign w:val="bottom"/>
            <w:gridSpan w:val="4"/>
            <w:vMerge w:val="continue"/>
          </w:tcPr>
          <w:p>
            <w:pPr>
              <w:spacing w:after="0"/>
              <w:rPr>
                <w:sz w:val="16"/>
                <w:szCs w:val="16"/>
                <w:color w:val="auto"/>
              </w:rPr>
            </w:pPr>
          </w:p>
        </w:tc>
        <w:tc>
          <w:tcPr>
            <w:tcW w:w="19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8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8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40,745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87,941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ind w:right="120" w:firstLine="486"/>
        <w:spacing w:after="0" w:line="237"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2025, SG&amp;A increased $9.8 million, or 31.6%, versus the three months ended September 30, 2024. This was primarily driven by an increase of $4.3 million in people-related expenses, which includes increased headcount, bonus expenses and stock based compensation. Additionally, there was a $2.8 million increase in marketing expense primarily due to new product awareness campaigns for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and increased sales promotions costs, an increase of $1.2 million in higher reserves for bad debt, and $0.4 million related to an overlap of rent expense for the new New York office with the prior New York office. During the nine months ended September 30, 2025, SG&amp;A increased $17.7 million, or 20.2%, versus the nine months ended September 30, 2024. The increase was primarily driven by an increase of $8.9 million in people-related expenses, $5.8 million in marketing expense due to new product awareness campaigns for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and sales promotions costs, $2.0 million of higher reserves for bad debt expenses, and $1.1 million related to the overlap of rent expense for the new New York office with the prior New York office. The increases were partially offset by a reduction of $2.5 million in sales related expenses.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20" w:type="dxa"/>
            <w:vAlign w:val="bottom"/>
            <w:gridSpan w:val="2"/>
            <w:vMerge w:val="restart"/>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2020" w:type="dxa"/>
            <w:vAlign w:val="bottom"/>
            <w:gridSpan w:val="2"/>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bottom w:val="single" w:sz="8" w:color="CCEEFF"/>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top w:val="single" w:sz="8" w:color="auto"/>
              <w:bottom w:val="single" w:sz="8" w:color="CCEEFF"/>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Unrealized gain/(loss) on derivative</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Gain/(Loss) on Derivative Instruments</w:t>
      </w:r>
    </w:p>
    <w:p>
      <w:pPr>
        <w:spacing w:after="0" w:line="11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and 2024, we recorded gains of $2.4 million and $2.6 million, respectively, for the mark-to-market changes in fair value on the outstanding derivative instruments for forward foreign currency exchange contracts, with the largest gain for the three months ended September 30, 2025 related to the hedging contracts for the BRL and THB. For the nine months ended September 30, 2025 and 2024, we recorded gains of $6.3 million and losses of $5.9 million, respectively, for the mark-to-market changes in fair value on the outstanding derivative instruments for forward foreign currency exchange contracts, with the largest gain for the nine months ended September 30, 2025 related to the hedging contracts for the BRL and THB, partially offset by the loss on hedging contracts for the GBP and EUR.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Gain/(Loss)</w:t>
      </w:r>
    </w:p>
    <w:p>
      <w:pPr>
        <w:spacing w:after="0" w:line="11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 change in foreign currency loss was $2.0 million as compared to September 30, 2024. For the nine months ended September 30, 2025, the change in foreign currency loss was $0.8 million as compared to September 30, 2024. The change in all periods was a result of movements in various foreign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currency exchange rates related to transactions denominated in currencies other than the functional currency. See "Quantitative and Qualitative Disclosures about Market Risk - </w:t>
      </w:r>
      <w:r>
        <w:rPr>
          <w:rFonts w:ascii="Times New Roman" w:cs="Times New Roman" w:eastAsia="Times New Roman" w:hAnsi="Times New Roman"/>
          <w:sz w:val="18"/>
          <w:szCs w:val="18"/>
          <w:i w:val="1"/>
          <w:iCs w:val="1"/>
          <w:color w:val="auto"/>
        </w:rPr>
        <w:t>Foreign Currency Exchange Risk</w:t>
      </w:r>
      <w:r>
        <w:rPr>
          <w:rFonts w:ascii="Times New Roman" w:cs="Times New Roman" w:eastAsia="Times New Roman" w:hAnsi="Times New Roman"/>
          <w:sz w:val="18"/>
          <w:szCs w:val="18"/>
          <w:color w:val="auto"/>
        </w:rPr>
        <w:t>" for further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interest income decreased $0.1 million compared to September 30, 2024 primarily due to lower interest rates in the 2025 period compared to the 2024 period. For the nine months ended September 30, 2025, interest income decreased $0.2 million as compared to September 30, 2024. The decrease in interest income was due to lower interest rates compared to prior year.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30, 2025, Other income of $0.2 million is due to the sale of intellectual property.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8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1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3"/>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21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4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4.9 % $   17,420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16,555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and 2024, our effective tax rate was 20.9% and 23.9%, respectively. The effective tax rate for the current period is lower than the U.S. statutory rate of 21% primarily as a result of discrete items recorded during the period. The effective tax rate for the period ending September 30, 2024 was higher than the U.S. statutory rate of 21% primarily as a result of state income taxes for the U.S. entity. The change in effective tax rates between the periods is primarily driven by the jurisdictional mix of the Company’s pre-tax profits and the windfall benefit of stock compensation exercises.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80"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These non-GAAP measures are a key metric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2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5"/>
        </w:trPr>
        <w:tc>
          <w:tcPr>
            <w:tcW w:w="6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5"/>
        </w:trPr>
        <w:tc>
          <w:tcPr>
            <w:tcW w:w="6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64,651</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Secondary Offering Costs (c)</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 (d)</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420" w:hanging="332"/>
        <w:spacing w:after="0" w:line="261" w:lineRule="auto"/>
        <w:tabs>
          <w:tab w:leader="none" w:pos="3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340" w:right="76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ind w:left="340" w:right="140" w:hanging="332"/>
        <w:spacing w:after="0" w:line="250" w:lineRule="auto"/>
        <w:tabs>
          <w:tab w:leader="none" w:pos="3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for the nine months ended September 30, 2024 relate to an expense waiver of certain costs incurred during the November 9, 2023 block trade. The Company did not receive any proceeds from the sale of the shares. For additional information regarding the expense waiver for the nine months ended September 30, 2024, see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1"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September 30, 2025 includes $0.6 million and $1.8 million, respectively, related to a one-time 2023 incentive program that is measured based on full-year 2025 performance structured differently from our other ongoing employee incentive programs, $0.4 million and $1.1 million, respectively, of overlapping rent expense related to our New York City office and $0.2 million of impairment loss related to the sale of Runa. The three months ended September 30, 2025 also includes $0.1 million of provision for credit losses related to the partially recovered prepaid inventory from a supplier recorded in the first half of 2025 (refer to the Form 10-K and the Form 10-Q for the quarterly period ended June 30, 2025 for further details). In the nine months ended September 30, 2025, these amounts were offset by $0.1 million of partial recoveries of prepaid inventory from a supplier (refer to the Form 10-K for further details) and a gain of $0.2 million from a sale of intellectual property.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$203.7 million and $164.7 million of cash and cash equivalents as of September 30, 2025 and December 31, 2024, respectively. From time to time, we may supplement our liquidity needs with incremental borrowing capacity under the 2020 Credit Facility.</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1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62"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provided by operating activities increased $15.1 million compared to the nine months ended September 30, 2024. The higher cash generation was driven by the increase in net income after adjusting for non-cash items and working capital improvement primarily due to higher cash spent for inventory purchases in the quarter ended September 30, 2024.</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investing activities was $4.9 million compared to $0.8 million for the nine months ended September 30, 2024. The increase was primarily due to leasehold improvements related to the new New York, London, and Singapore offices.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 w:lineRule="exact"/>
        <w:rPr>
          <w:sz w:val="20"/>
          <w:szCs w:val="20"/>
          <w:color w:val="auto"/>
        </w:rPr>
      </w:pPr>
    </w:p>
    <w:p>
      <w:pPr>
        <w:ind w:right="40" w:firstLine="486"/>
        <w:spacing w:after="0" w:line="234"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compared to the nine months ended September 30, 2024, net cash used by financing activities decreased by $2.4 million, primarily driven by lower volume of share repurchases in the nine months ended September 30, 2025 compared to the prior year period offset by increased proceeds from the exercise of stock options. See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our condensed consolidated financial statements included in this Quarterly Report on Form 10-Q, for further discussion on share repurchases.</w:t>
      </w: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an immaterial amount of debt outstanding as of September 30, 2025 and December 31, 2024, which was related to vehicle loans.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40" w:firstLine="55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the 2020 Credit Facility, which currently provides for committed borrowings of $60 million. On February 14, 2025, the 2020 Credit Facility was amended, extending the maturity five years to February 13, 2030.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in the year ended December 31, 2024, with the rate based on the Company’s leverage ratio (as defined in the credit agreement). As of February 14, 2025, the unused commitment fees range from 0.13% and 0.23% on the unused amount of the line of credit, with the rate being based on the Company’s leverage ratio (as defined in the credit agreement).</w:t>
      </w:r>
    </w:p>
    <w:p>
      <w:pPr>
        <w:spacing w:after="0" w:line="73" w:lineRule="exact"/>
        <w:rPr>
          <w:sz w:val="20"/>
          <w:szCs w:val="20"/>
          <w:color w:val="auto"/>
        </w:rPr>
      </w:pPr>
    </w:p>
    <w:p>
      <w:pPr>
        <w:ind w:right="180" w:firstLine="551"/>
        <w:spacing w:after="0" w:line="282" w:lineRule="auto"/>
        <w:rPr>
          <w:sz w:val="20"/>
          <w:szCs w:val="20"/>
          <w:color w:val="auto"/>
        </w:rPr>
      </w:pPr>
      <w:r>
        <w:rPr>
          <w:rFonts w:ascii="Times New Roman" w:cs="Times New Roman" w:eastAsia="Times New Roman" w:hAnsi="Times New Roman"/>
          <w:sz w:val="18"/>
          <w:szCs w:val="18"/>
          <w:color w:val="auto"/>
        </w:rPr>
        <w:t>The outstanding balance on the Revolving Facility was zero as of September 30, 2025 and December 31, 2024, respectively. As of September 30, 2025, we were compliant with all financial covenants.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September 30, 2025 was immaterial.</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For additional information,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included in this Quarterly Report on Form 10-Q. During the nine months ended September 30, 2025, there were no material changes to our critical accounting policies from those discussed in the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adopted and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00" w:firstLine="567"/>
        <w:spacing w:after="0" w:line="222" w:lineRule="auto"/>
        <w:rPr>
          <w:sz w:val="20"/>
          <w:szCs w:val="20"/>
          <w:color w:val="auto"/>
        </w:rPr>
      </w:pPr>
      <w:r>
        <w:rPr>
          <w:rFonts w:ascii="Times New Roman" w:cs="Times New Roman" w:eastAsia="Times New Roman" w:hAnsi="Times New Roman"/>
          <w:sz w:val="18"/>
          <w:szCs w:val="18"/>
          <w:color w:val="auto"/>
        </w:rPr>
        <w:t>As of September 30, 2025 and December 31, 2024, the outstanding amounts related to our 2020 Credit Facility incur interest fees at variable interest rates and are affected by changes in the general level of market interest rates. However, there was no outstanding balance on the 2020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as of September 30, 2025 and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189" w:lineRule="exact"/>
        <w:rPr>
          <w:sz w:val="20"/>
          <w:szCs w:val="20"/>
          <w:color w:val="auto"/>
        </w:rPr>
      </w:pPr>
    </w:p>
    <w:p>
      <w:pPr>
        <w:ind w:right="100" w:firstLine="486"/>
        <w:spacing w:after="0" w:line="263"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$59.3 million and $107.4 million as of September 30, 2025 and December 31, 2024, respectively. The derivatives on the forward exchange contracts resulted in an unrealized gain of $6.3 million for the nine months ended September 30, 2025, and we estimate that a 10% strengthening or weakening of the U.S. dollar would have resulted in an approximately $2.0 million gain or loss.</w:t>
      </w:r>
    </w:p>
    <w:p>
      <w:pPr>
        <w:spacing w:after="0" w:line="4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portion of our cash and cash equivalents are denominated in foreign currencies. As of September 30, 2025, a 1% change in the value of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compared to foreign currencies would have caused our cash and cash equivalents to decrease or increase by $0.2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 and Inflation Risks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and to changes in the strength of the U.S. dollar. In the nine months ended September 30, 2025, general inflationary pressures continue to increase the other elements of our cost of goods and operating expenses. During the first quarter of 2025, various tariffs were announced on imports into the U.S. On April 2, 2025, the U.S. announced a new universal baseline tariff of 10%, plus significant additional country-specific reciprocal tariffs for select trading partners, on all U.S. imports. The reciprocal tariffs were initially paused, followed by an early August announcement of their implementation at revised increased rates of approximately 20% for our Asian sourcing countries, and 50% for Brazil (including the baseline 10% rate previously announced). The actual future tariff environment is quite uncertain, with the potential that the tariffs could be declared illegal, and discussions of individual country specific trade deals occurring, with the potential for agreed tariff waivers for natural resources not available in the U.S. at the scale to meet U.S. demand. It is possible that coconut water might be suitable for such negotiated waivers. The imposition of the tariffs has increased our costs of goods sold. The uncertainty of future tariffs could also cause disturbances in ocean shipping capacity that could effect our ability to secure ocean freight containers for our products, and create inflationary effects on our costs, in addition to the direct impact of tariffs.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360" w:firstLine="486"/>
        <w:spacing w:after="0" w:line="281" w:lineRule="auto"/>
        <w:rPr>
          <w:sz w:val="20"/>
          <w:szCs w:val="20"/>
          <w:color w:val="auto"/>
        </w:rPr>
      </w:pPr>
      <w:r>
        <w:rPr>
          <w:rFonts w:ascii="Times New Roman" w:cs="Times New Roman" w:eastAsia="Times New Roman" w:hAnsi="Times New Roman"/>
          <w:sz w:val="17"/>
          <w:szCs w:val="17"/>
          <w:color w:val="auto"/>
        </w:rPr>
        <w:t>We are exposed to concentration of credit risk from our major customers. In the nine months ended September 30, 2025, sales to two customers represented approximately 45%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2025,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Please refer to Part I, Item 1A. "Risk Factors" of our Form 10-K for the fiscal year ended December 31, 2024 for a description of certain significant risks and uncertainties to which our business, financial condition and results of operations are subject. There have been no material changes to these risk factors as of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three months ended September 30, 2025 that were not registered under the Securities</w:t>
      </w:r>
    </w:p>
    <w:p>
      <w:pPr>
        <w:spacing w:after="0"/>
        <w:rPr>
          <w:sz w:val="20"/>
          <w:szCs w:val="20"/>
          <w:color w:val="auto"/>
        </w:rPr>
      </w:pPr>
      <w:r>
        <w:rPr>
          <w:rFonts w:ascii="Times New Roman" w:cs="Times New Roman" w:eastAsia="Times New Roman" w:hAnsi="Times New Roman"/>
          <w:sz w:val="18"/>
          <w:szCs w:val="18"/>
          <w:color w:val="auto"/>
        </w:rPr>
        <w:t>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September 30,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shd w:val="clear" w:color="auto" w:fill="CCEEFF"/>
          </w:tcPr>
          <w:p>
            <w:pPr>
              <w:spacing w:after="0"/>
              <w:rPr>
                <w:sz w:val="17"/>
                <w:szCs w:val="17"/>
                <w:color w:val="auto"/>
              </w:rPr>
            </w:pP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5"/>
        </w:trPr>
        <w:tc>
          <w:tcPr>
            <w:tcW w:w="252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Period</w:t>
            </w:r>
          </w:p>
        </w:tc>
        <w:tc>
          <w:tcPr>
            <w:tcW w:w="216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49"/>
        </w:trPr>
        <w:tc>
          <w:tcPr>
            <w:tcW w:w="2520" w:type="dxa"/>
            <w:vAlign w:val="bottom"/>
            <w:vMerge w:val="continue"/>
            <w:shd w:val="clear" w:color="auto" w:fill="CCEEFF"/>
          </w:tcPr>
          <w:p>
            <w:pPr>
              <w:spacing w:after="0"/>
              <w:rPr>
                <w:sz w:val="12"/>
                <w:szCs w:val="12"/>
                <w:color w:val="auto"/>
              </w:rPr>
            </w:pPr>
          </w:p>
        </w:tc>
        <w:tc>
          <w:tcPr>
            <w:tcW w:w="216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Share</w:t>
            </w:r>
          </w:p>
        </w:tc>
        <w:tc>
          <w:tcPr>
            <w:tcW w:w="222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40"/>
        </w:trPr>
        <w:tc>
          <w:tcPr>
            <w:tcW w:w="2520" w:type="dxa"/>
            <w:vAlign w:val="bottom"/>
            <w:shd w:val="clear" w:color="auto" w:fill="CCEEFF"/>
          </w:tcPr>
          <w:p>
            <w:pPr>
              <w:spacing w:after="0"/>
              <w:rPr>
                <w:sz w:val="3"/>
                <w:szCs w:val="3"/>
                <w:color w:val="auto"/>
              </w:rPr>
            </w:pPr>
          </w:p>
        </w:tc>
        <w:tc>
          <w:tcPr>
            <w:tcW w:w="2160" w:type="dxa"/>
            <w:vAlign w:val="bottom"/>
            <w:vMerge w:val="continue"/>
            <w:shd w:val="clear" w:color="auto" w:fill="CCEEFF"/>
          </w:tcPr>
          <w:p>
            <w:pPr>
              <w:spacing w:after="0"/>
              <w:rPr>
                <w:sz w:val="3"/>
                <w:szCs w:val="3"/>
                <w:color w:val="auto"/>
              </w:rPr>
            </w:pPr>
          </w:p>
        </w:tc>
        <w:tc>
          <w:tcPr>
            <w:tcW w:w="2080" w:type="dxa"/>
            <w:vAlign w:val="bottom"/>
            <w:vMerge w:val="continue"/>
            <w:shd w:val="clear" w:color="auto" w:fill="CCEEFF"/>
          </w:tcPr>
          <w:p>
            <w:pPr>
              <w:spacing w:after="0"/>
              <w:rPr>
                <w:sz w:val="3"/>
                <w:szCs w:val="3"/>
                <w:color w:val="auto"/>
              </w:rPr>
            </w:pPr>
          </w:p>
        </w:tc>
        <w:tc>
          <w:tcPr>
            <w:tcW w:w="2220" w:type="dxa"/>
            <w:vAlign w:val="bottom"/>
            <w:vMerge w:val="continue"/>
            <w:shd w:val="clear" w:color="auto" w:fill="CCEEFF"/>
          </w:tcPr>
          <w:p>
            <w:pPr>
              <w:spacing w:after="0"/>
              <w:rPr>
                <w:sz w:val="3"/>
                <w:szCs w:val="3"/>
                <w:color w:val="auto"/>
              </w:rPr>
            </w:pPr>
          </w:p>
        </w:tc>
        <w:tc>
          <w:tcPr>
            <w:tcW w:w="21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7"/>
              </w:rPr>
              <w:t xml:space="preserve">or Programs </w:t>
            </w:r>
            <w:r>
              <w:rPr>
                <w:rFonts w:ascii="Times New Roman" w:cs="Times New Roman" w:eastAsia="Times New Roman" w:hAnsi="Times New Roman"/>
                <w:sz w:val="23"/>
                <w:szCs w:val="23"/>
                <w:color w:val="auto"/>
                <w:w w:val="97"/>
                <w:vertAlign w:val="superscript"/>
              </w:rPr>
              <w:t>(1)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 July 31, 2025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1, 2025 - August 31,</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4,715</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$31.92</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872,662</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$42.0</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16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September 1, 2025 - September</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30, 2025</w:t>
            </w:r>
          </w:p>
        </w:tc>
        <w:tc>
          <w:tcPr>
            <w:tcW w:w="2160" w:type="dxa"/>
            <w:vAlign w:val="bottom"/>
            <w:vMerge w:val="continue"/>
            <w:shd w:val="clear" w:color="auto" w:fill="CCEEFF"/>
          </w:tcPr>
          <w:p>
            <w:pPr>
              <w:spacing w:after="0"/>
              <w:rPr>
                <w:sz w:val="12"/>
                <w:szCs w:val="12"/>
                <w:color w:val="auto"/>
              </w:rPr>
            </w:pPr>
          </w:p>
        </w:tc>
        <w:tc>
          <w:tcPr>
            <w:tcW w:w="2080" w:type="dxa"/>
            <w:vAlign w:val="bottom"/>
            <w:vMerge w:val="continue"/>
            <w:shd w:val="clear" w:color="auto" w:fill="CCEEFF"/>
          </w:tcPr>
          <w:p>
            <w:pPr>
              <w:spacing w:after="0"/>
              <w:rPr>
                <w:sz w:val="12"/>
                <w:szCs w:val="12"/>
                <w:color w:val="auto"/>
              </w:rPr>
            </w:pPr>
          </w:p>
        </w:tc>
        <w:tc>
          <w:tcPr>
            <w:tcW w:w="2220" w:type="dxa"/>
            <w:vAlign w:val="bottom"/>
            <w:vMerge w:val="continue"/>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20" w:type="dxa"/>
            <w:vAlign w:val="bottom"/>
            <w:vMerge w:val="continue"/>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(1) On October 30, 2023, the Company's Board of Directors approved a share repurchase program ("Repurchase Program") authorizing the Company to repurchase up to $40.0 million of Common Stock, which was increased to a total of $65.0 million on April 28, 2025.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Repurchase Program has no time limits, and may be suspended or discontinued at any time. During the three months ended September 30, 2025, the Company repurchased 4,715 shares at a cost of $0.2 million under the Repurchase Program.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ind w:right="60" w:firstLine="486"/>
        <w:spacing w:after="0" w:line="250" w:lineRule="auto"/>
        <w:rPr>
          <w:sz w:val="20"/>
          <w:szCs w:val="20"/>
          <w:color w:val="auto"/>
        </w:rPr>
      </w:pPr>
      <w:r>
        <w:rPr>
          <w:rFonts w:ascii="Times New Roman" w:cs="Times New Roman" w:eastAsia="Times New Roman" w:hAnsi="Times New Roman"/>
          <w:sz w:val="18"/>
          <w:szCs w:val="18"/>
          <w:color w:val="auto"/>
        </w:rPr>
        <w:t>On September 17, 2025, Verlinvest Beverages SA completed a block sale of 3,000,000 shares of the Company’s common stock at a price of $42.30 per share in a private transaction facilitated by Morgan Stanley &amp; Co. LLC. This transaction was executed pursuant to Rule 144 under the Securities Act of 1933, as amended.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Following this transaction, Verlinvest Beverages SA beneficially owns approximately 7.2% of the Company’s outstanding common stock, down from 12.5% prior to this transaction.</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This transaction did not affect the Company’s capital structure or operations. This sale was undertaken as part of Verlinvest Beverages SA’s ongoing portfolio management strategy and did not reflect any disagreement with the Company’s management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Filed /</w:t>
            </w:r>
          </w:p>
        </w:tc>
        <w:tc>
          <w:tcPr>
            <w:tcW w:w="0" w:type="dxa"/>
            <w:vAlign w:val="bottom"/>
          </w:tcPr>
          <w:p>
            <w:pPr>
              <w:spacing w:after="0"/>
              <w:rPr>
                <w:sz w:val="1"/>
                <w:szCs w:val="1"/>
                <w:color w:val="auto"/>
              </w:rPr>
            </w:pPr>
          </w:p>
        </w:tc>
      </w:tr>
      <w:tr>
        <w:trPr>
          <w:trHeight w:val="107"/>
        </w:trPr>
        <w:tc>
          <w:tcPr>
            <w:tcW w:w="1320" w:type="dxa"/>
            <w:vAlign w:val="bottom"/>
            <w:gridSpan w:val="2"/>
            <w:vMerge w:val="restart"/>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Exhibit</w:t>
            </w: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23"/>
        </w:trPr>
        <w:tc>
          <w:tcPr>
            <w:tcW w:w="1320" w:type="dxa"/>
            <w:vAlign w:val="bottom"/>
            <w:gridSpan w:val="2"/>
            <w:vMerge w:val="continue"/>
          </w:tcPr>
          <w:p>
            <w:pPr>
              <w:spacing w:after="0"/>
              <w:rPr>
                <w:sz w:val="2"/>
                <w:szCs w:val="2"/>
                <w:color w:val="auto"/>
              </w:rPr>
            </w:pPr>
          </w:p>
        </w:tc>
        <w:tc>
          <w:tcPr>
            <w:tcW w:w="33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Exhibit Description</w:t>
            </w:r>
          </w:p>
        </w:tc>
        <w:tc>
          <w:tcPr>
            <w:tcW w:w="8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w:t>
            </w: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17" w:right="339" w:bottom="1440" w:gutter="0" w:footer="0" w:header="0"/>
        </w:sectPr>
      </w:pPr>
    </w:p>
    <w:tbl>
      <w:tblPr>
        <w:tblLayout w:type="fixed"/>
        <w:tblInd w:w="20" w:type="dxa"/>
        <w:tblCellMar>
          <w:top w:w="0" w:type="dxa"/>
          <w:left w:w="0" w:type="dxa"/>
          <w:bottom w:w="0" w:type="dxa"/>
          <w:right w:w="0" w:type="dxa"/>
        </w:tblCellMar>
      </w:tblPr>
      <w:tr>
        <w:trPr>
          <w:trHeight w:val="22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Second Amended and Restated Certificate of</w:t>
              </w:r>
            </w:hyperlink>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57">
              <w:r>
                <w:rPr>
                  <w:rFonts w:ascii="Times New Roman" w:cs="Times New Roman" w:eastAsia="Times New Roman" w:hAnsi="Times New Roman"/>
                  <w:sz w:val="18"/>
                  <w:szCs w:val="18"/>
                  <w:color w:val="0000FF"/>
                  <w:w w:val="97"/>
                </w:rPr>
                <w:t>Incorporation.</w:t>
              </w:r>
            </w:hyperlink>
          </w:p>
        </w:tc>
        <w:tc>
          <w:tcPr>
            <w:tcW w:w="2220" w:type="dxa"/>
            <w:vAlign w:val="bottom"/>
            <w:tcBorders>
              <w:top w:val="single" w:sz="8" w:color="0000FF"/>
            </w:tcBorders>
            <w:gridSpan w:val="15"/>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Amended and Restated Bylaws.</w:t>
              </w:r>
            </w:hyperlink>
          </w:p>
        </w:tc>
        <w:tc>
          <w:tcPr>
            <w:tcW w:w="1240" w:type="dxa"/>
            <w:vAlign w:val="bottom"/>
            <w:gridSpan w:val="12"/>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Specimen Common Stock Certificate of The</w:t>
              </w:r>
            </w:hyperlink>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Vita Coco Company, Inc.</w:t>
              </w:r>
            </w:hyperlink>
          </w:p>
        </w:tc>
        <w:tc>
          <w:tcPr>
            <w:tcW w:w="1400" w:type="dxa"/>
            <w:vAlign w:val="bottom"/>
            <w:tcBorders>
              <w:top w:val="single" w:sz="8" w:color="0000FF"/>
            </w:tcBorders>
            <w:gridSpan w:val="11"/>
          </w:tcPr>
          <w:p>
            <w:pPr>
              <w:spacing w:after="0"/>
              <w:rPr>
                <w:sz w:val="13"/>
                <w:szCs w:val="13"/>
                <w:color w:val="auto"/>
              </w:rPr>
            </w:pPr>
          </w:p>
        </w:tc>
        <w:tc>
          <w:tcPr>
            <w:tcW w:w="320" w:type="dxa"/>
            <w:vAlign w:val="bottom"/>
            <w:gridSpan w:val="2"/>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Registration Rights Agreement, by and</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3540" w:type="dxa"/>
            <w:vAlign w:val="bottom"/>
            <w:gridSpan w:val="18"/>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among The Vita Coco Company, Inc. and</w:t>
              </w:r>
            </w:hyperlink>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9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2021.</w:t>
              </w:r>
            </w:hyperlink>
          </w:p>
        </w:tc>
        <w:tc>
          <w:tcPr>
            <w:tcW w:w="6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Investor Rights Agreement, among The Vita</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32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Coco Company, Inc., Verlinvest Beverages</w:t>
              </w:r>
            </w:hyperlink>
          </w:p>
        </w:tc>
        <w:tc>
          <w:tcPr>
            <w:tcW w:w="34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3100" w:type="dxa"/>
            <w:vAlign w:val="bottom"/>
            <w:gridSpan w:val="14"/>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of October 20, 2021.</w:t>
              </w:r>
            </w:hyperlink>
          </w:p>
        </w:tc>
        <w:tc>
          <w:tcPr>
            <w:tcW w:w="440" w:type="dxa"/>
            <w:vAlign w:val="bottom"/>
            <w:gridSpan w:val="4"/>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Form of Indenture</w:t>
              </w:r>
            </w:hyperlink>
          </w:p>
        </w:tc>
        <w:tc>
          <w:tcPr>
            <w:tcW w:w="160" w:type="dxa"/>
            <w:vAlign w:val="bottom"/>
            <w:tcBorders>
              <w:top w:val="single" w:sz="8" w:color="0000FF"/>
            </w:tcBorders>
          </w:tcPr>
          <w:p>
            <w:pPr>
              <w:spacing w:after="0"/>
              <w:rPr>
                <w:sz w:val="18"/>
                <w:szCs w:val="18"/>
                <w:color w:val="auto"/>
              </w:rPr>
            </w:pPr>
          </w:p>
        </w:tc>
        <w:tc>
          <w:tcPr>
            <w:tcW w:w="2060" w:type="dxa"/>
            <w:vAlign w:val="bottom"/>
            <w:gridSpan w:val="14"/>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333-271583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5/2/23</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 13a-14(a)/15d-14(a).</w:t>
            </w:r>
          </w:p>
        </w:tc>
        <w:tc>
          <w:tcPr>
            <w:tcW w:w="60" w:type="dxa"/>
            <w:vAlign w:val="bottom"/>
            <w:tcBorders>
              <w:top w:val="single" w:sz="8" w:color="0000FF"/>
            </w:tcBorders>
            <w:gridSpan w:val="2"/>
          </w:tcPr>
          <w:p>
            <w:pPr>
              <w:spacing w:after="0"/>
              <w:rPr>
                <w:sz w:val="13"/>
                <w:szCs w:val="13"/>
                <w:color w:val="auto"/>
              </w:rPr>
            </w:pPr>
          </w:p>
        </w:tc>
        <w:tc>
          <w:tcPr>
            <w:tcW w:w="68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 13a-14(a)/15d-14(a).</w:t>
            </w:r>
          </w:p>
        </w:tc>
        <w:tc>
          <w:tcPr>
            <w:tcW w:w="20" w:type="dxa"/>
            <w:vAlign w:val="bottom"/>
            <w:tcBorders>
              <w:top w:val="single" w:sz="8" w:color="0000FF"/>
            </w:tcBorders>
          </w:tcPr>
          <w:p>
            <w:pPr>
              <w:spacing w:after="0"/>
              <w:rPr>
                <w:sz w:val="13"/>
                <w:szCs w:val="13"/>
                <w:color w:val="auto"/>
              </w:rPr>
            </w:pPr>
          </w:p>
        </w:tc>
        <w:tc>
          <w:tcPr>
            <w:tcW w:w="720" w:type="dxa"/>
            <w:vAlign w:val="bottom"/>
            <w:gridSpan w:val="9"/>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w:t>
            </w:r>
          </w:p>
        </w:tc>
        <w:tc>
          <w:tcPr>
            <w:tcW w:w="68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w:t>
            </w:r>
          </w:p>
        </w:tc>
        <w:tc>
          <w:tcPr>
            <w:tcW w:w="720" w:type="dxa"/>
            <w:vAlign w:val="bottom"/>
            <w:gridSpan w:val="9"/>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Document—the</w:t>
            </w: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354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auto"/>
              </w:rPr>
              <w:t>instance document does not appear in the</w:t>
            </w: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3540" w:type="dxa"/>
            <w:vAlign w:val="bottom"/>
            <w:gridSpan w:val="18"/>
          </w:tcPr>
          <w:p>
            <w:pPr>
              <w:spacing w:after="0" w:line="181" w:lineRule="exact"/>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35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are embedded within the Inline XBRL</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5" w:lineRule="exact"/>
        <w:rPr>
          <w:sz w:val="20"/>
          <w:szCs w:val="20"/>
          <w:color w:val="auto"/>
        </w:rPr>
      </w:pPr>
    </w:p>
    <w:p>
      <w:pPr>
        <w:sectPr>
          <w:pgSz w:w="11900" w:h="16838" w:orient="portrait"/>
          <w:cols w:equalWidth="0" w:num="2">
            <w:col w:w="9540" w:space="480"/>
            <w:col w:w="1220"/>
          </w:cols>
          <w:pgMar w:left="320" w:top="117"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Cover Page Interactive Data File (formatted</w:t>
      </w:r>
    </w:p>
    <w:p>
      <w:pPr>
        <w:ind w:left="1340"/>
        <w:spacing w:after="0" w:line="219" w:lineRule="auto"/>
        <w:rPr>
          <w:sz w:val="20"/>
          <w:szCs w:val="20"/>
          <w:color w:val="auto"/>
        </w:rPr>
      </w:pPr>
      <w:r>
        <w:rPr>
          <w:rFonts w:ascii="Times New Roman" w:cs="Times New Roman" w:eastAsia="Times New Roman" w:hAnsi="Times New Roman"/>
          <w:sz w:val="18"/>
          <w:szCs w:val="18"/>
          <w:color w:val="auto"/>
        </w:rPr>
        <w:t>as Inline XBRL and contained in Exhibit</w:t>
      </w:r>
    </w:p>
    <w:p>
      <w:pPr>
        <w:ind w:left="1340" w:hanging="131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20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by “####”) have been redacted pursuant to Regulation S-K, Item 601(a)(6).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Certain portions of this exhibit (indicated by "[***]") have been redacted pursuant to Regulations S-K, Item 601(b)(10)(iv).</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THE VITA COCO COMPANY, INC.</w:t>
            </w:r>
          </w:p>
        </w:tc>
      </w:tr>
      <w:tr>
        <w:trPr>
          <w:trHeight w:val="50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Roper</w:t>
            </w:r>
          </w:p>
        </w:tc>
      </w:tr>
      <w:tr>
        <w:trPr>
          <w:trHeight w:val="214"/>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Roper</w:t>
            </w:r>
          </w:p>
        </w:tc>
      </w:tr>
      <w:tr>
        <w:trPr>
          <w:trHeight w:val="232"/>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6"/>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Baker</w:t>
            </w:r>
          </w:p>
        </w:tc>
      </w:tr>
      <w:tr>
        <w:trPr>
          <w:trHeight w:val="214"/>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r>
      <w:tr>
        <w:trPr>
          <w:trHeight w:val="232"/>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18"/>
        </w:trPr>
        <w:tc>
          <w:tcPr>
            <w:tcW w:w="3560" w:type="dxa"/>
            <w:vAlign w:val="bottom"/>
          </w:tcPr>
          <w:p>
            <w:pPr>
              <w:spacing w:after="0"/>
              <w:rPr>
                <w:sz w:val="24"/>
                <w:szCs w:val="24"/>
                <w:color w:val="auto"/>
              </w:rPr>
            </w:pPr>
          </w:p>
        </w:tc>
        <w:tc>
          <w:tcPr>
            <w:tcW w:w="2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76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3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34"/>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76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3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20"/>
          </w:cols>
          <w:pgMar w:left="320" w:top="114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September 30, 2025 as filed with the Securities and Exchange Commission on the date hereof (the “Report”), I, Martin Roper, certify, pursuant to 18 U.S.C. § 1350, as adopted pursuant to § 906 of the Sarbanes-Oxley Act of 2002, that, to the best of my knowledge:</w:t>
      </w:r>
    </w:p>
    <w:p>
      <w:pPr>
        <w:spacing w:after="0" w:line="176"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September 30, 2025 as filed with the Securities and Exchange Commission on the date hereof (the “Report”), I, Corey Baker, certify, pursuant to 18 U.S.C. § 1350, as adopted pursuant to § 906 of the Sarbanes-Oxley Act of 2002, that, to the best of my knowledge:</w:t>
      </w:r>
    </w:p>
    <w:p>
      <w:pPr>
        <w:spacing w:after="0" w:line="17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lvl w:ilvl="1">
      <w:lvlJc w:val="left"/>
      <w:lvlText w:val="(%2)"/>
      <w:numFmt w:val="decimal"/>
      <w:start w:val="1"/>
    </w:lvl>
  </w:abstractNum>
  <w:abstractNum w:abstractNumId="8">
    <w:nsid w:val="7FDCC233"/>
    <w:multiLevelType w:val="hybridMultilevel"/>
    <w:lvl w:ilvl="0">
      <w:lvlJc w:val="left"/>
      <w:lvlText w:val="%1."/>
      <w:numFmt w:val="decimal"/>
      <w:start w:val="15"/>
    </w:lvl>
    <w:lvl w:ilvl="1">
      <w:lvlJc w:val="left"/>
      <w:lvlText w:val="%2"/>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57" Type="http://schemas.openxmlformats.org/officeDocument/2006/relationships/hyperlink" Target="https://www.sec.gov/Archives/edgar/data/0001482981/000119312521306737/d222890dex31.htm" TargetMode="External"/><Relationship Id="rId58" Type="http://schemas.openxmlformats.org/officeDocument/2006/relationships/hyperlink" Target="https://www.sec.gov/Archives/edgar/data/0001482981/000119312521306737/d222890dex32.htm" TargetMode="External"/><Relationship Id="rId59" Type="http://schemas.openxmlformats.org/officeDocument/2006/relationships/hyperlink" Target="https://www.sec.gov/Archives/edgar/data/0001482981/000119312521284306/d197386dex41.htm" TargetMode="External"/><Relationship Id="rId60" Type="http://schemas.openxmlformats.org/officeDocument/2006/relationships/hyperlink" Target="https://www.sec.gov/Archives/edgar/data/0001482981/000119312521306737/d222890dex101.htm" TargetMode="External"/><Relationship Id="rId61" Type="http://schemas.openxmlformats.org/officeDocument/2006/relationships/hyperlink" Target="https://www.sec.gov/Archives/edgar/data/0001482981/000119312521306737/d222890dex102.htm" TargetMode="External"/><Relationship Id="rId62" Type="http://schemas.openxmlformats.org/officeDocument/2006/relationships/hyperlink" Target="https://www.sec.gov/Archives/edgar/data/1482981/000119312523132638/d49759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2025-10-29T08:03:02Z</dcterms:created>
  <dcterms:modified xsi:type="dcterms:W3CDTF">2025-10-29T08:03:02Z</dcterms:modified>
</cp:coreProperties>
</file>